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AFE9A" w14:textId="09AD4130" w:rsidR="00CC092A" w:rsidRDefault="007C28D8" w:rsidP="0009489B">
      <w:pPr>
        <w:pStyle w:val="Name"/>
        <w:ind w:left="90" w:right="47"/>
      </w:pPr>
      <w:r>
        <w:rPr>
          <w:noProof/>
        </w:rPr>
        <mc:AlternateContent>
          <mc:Choice Requires="wpg">
            <w:drawing>
              <wp:anchor distT="0" distB="0" distL="114300" distR="114300" simplePos="0" relativeHeight="251703309" behindDoc="0" locked="0" layoutInCell="1" allowOverlap="1" wp14:anchorId="56AA8A61" wp14:editId="7DF57CFF">
                <wp:simplePos x="0" y="0"/>
                <wp:positionH relativeFrom="column">
                  <wp:posOffset>-20097</wp:posOffset>
                </wp:positionH>
                <wp:positionV relativeFrom="paragraph">
                  <wp:posOffset>-331470</wp:posOffset>
                </wp:positionV>
                <wp:extent cx="7811504" cy="10135359"/>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1504" cy="10135359"/>
                          <a:chOff x="24908" y="-11450"/>
                          <a:chExt cx="7791000" cy="10058418"/>
                        </a:xfrm>
                      </wpg:grpSpPr>
                      <wpg:grpSp>
                        <wpg:cNvPr id="34" name="Group 34"/>
                        <wpg:cNvGrpSpPr/>
                        <wpg:grpSpPr>
                          <a:xfrm>
                            <a:off x="30886" y="-11450"/>
                            <a:ext cx="7785022" cy="9098297"/>
                            <a:chOff x="11120" y="-37592"/>
                            <a:chExt cx="8040740" cy="9258783"/>
                          </a:xfrm>
                        </wpg:grpSpPr>
                        <wps:wsp>
                          <wps:cNvPr id="35" name="Rectangle: Single Corner Snipped 230" title="Shape"/>
                          <wps:cNvSpPr/>
                          <wps:spPr>
                            <a:xfrm rot="10800000" flipV="1">
                              <a:off x="779703" y="-37575"/>
                              <a:ext cx="7272157" cy="9258766"/>
                            </a:xfrm>
                            <a:prstGeom prst="snip1Rect">
                              <a:avLst>
                                <a:gd name="adj" fmla="val 28339"/>
                              </a:avLst>
                            </a:prstGeom>
                            <a:solidFill>
                              <a:schemeClr val="accent5">
                                <a:lumMod val="75000"/>
                                <a:alpha val="9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32185" w14:textId="77777777" w:rsidR="00567853" w:rsidRPr="00DC4F4E" w:rsidRDefault="00567853" w:rsidP="008767A7">
                                <w:pPr>
                                  <w:pStyle w:val="Title"/>
                                  <w:spacing w:before="480"/>
                                  <w:ind w:right="10"/>
                                  <w:rPr>
                                    <w:rFonts w:ascii="Franklin Gothic Medium" w:hAnsi="Franklin Gothic Medium" w:cs="Times New Roman (Body CS)"/>
                                    <w:bCs/>
                                    <w:caps/>
                                    <w:sz w:val="32"/>
                                    <w:szCs w:val="32"/>
                                  </w:rPr>
                                </w:pPr>
                              </w:p>
                            </w:txbxContent>
                          </wps:txbx>
                          <wps:bodyPr rot="0" spcFirstLastPara="0" vertOverflow="overflow" horzOverflow="overflow" vert="horz" wrap="square" lIns="0" tIns="274320" rIns="0" bIns="0" numCol="1" spcCol="0" rtlCol="0" fromWordArt="0" anchor="b" anchorCtr="0" forceAA="0" upright="1" compatLnSpc="1">
                            <a:prstTxWarp prst="textNoShape">
                              <a:avLst/>
                            </a:prstTxWarp>
                            <a:noAutofit/>
                          </wps:bodyPr>
                        </wps:wsp>
                        <wps:wsp>
                          <wps:cNvPr id="36" name="Parallelogram 36" descr="Front page with name of Author: "/>
                          <wps:cNvSpPr/>
                          <wps:spPr>
                            <a:xfrm>
                              <a:off x="37930" y="3638242"/>
                              <a:ext cx="7210581" cy="5117261"/>
                            </a:xfrm>
                            <a:prstGeom prst="parallelogram">
                              <a:avLst>
                                <a:gd name="adj" fmla="val 93711"/>
                              </a:avLst>
                            </a:prstGeom>
                            <a:solidFill>
                              <a:srgbClr val="00B0F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9C8D5" w14:textId="77777777" w:rsidR="00567853" w:rsidRPr="00BD738E" w:rsidRDefault="00567853" w:rsidP="008767A7">
                                <w:pPr>
                                  <w:spacing w:after="0" w:line="240" w:lineRule="auto"/>
                                  <w:ind w:right="35"/>
                                  <w:rPr>
                                    <w:rFonts w:ascii="Franklin Gothic Medium" w:hAnsi="Franklin Gothic Medium"/>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utoShape 412" descr="Lisa A. Mills, Ph.D.&#10;ODEP Subject Matter Expert&#10;"/>
                          <wps:cNvSpPr>
                            <a:spLocks noChangeArrowheads="1"/>
                          </wps:cNvSpPr>
                          <wps:spPr bwMode="auto">
                            <a:xfrm rot="5400000">
                              <a:off x="-353856" y="327384"/>
                              <a:ext cx="8757244" cy="8027292"/>
                            </a:xfrm>
                            <a:prstGeom prst="snip1Rect">
                              <a:avLst>
                                <a:gd name="adj" fmla="val 50000"/>
                              </a:avLst>
                            </a:prstGeom>
                            <a:solidFill>
                              <a:srgbClr val="0067F4"/>
                            </a:solidFill>
                            <a:ln w="3175">
                              <a:noFill/>
                              <a:miter lim="800000"/>
                              <a:headEnd/>
                              <a:tailEnd/>
                            </a:ln>
                          </wps:spPr>
                          <wps:txbx>
                            <w:txbxContent>
                              <w:p w14:paraId="529125EC" w14:textId="77777777" w:rsidR="00567853" w:rsidRPr="000E7D1D" w:rsidRDefault="00567853" w:rsidP="008767A7">
                                <w:pPr>
                                  <w:pStyle w:val="Heading2"/>
                                  <w:spacing w:after="0"/>
                                  <w:rPr>
                                    <w:rFonts w:ascii="Franklin Gothic Medium" w:hAnsi="Franklin Gothic Medium" w:cs="Times New Roman (Body CS)"/>
                                    <w:bCs/>
                                    <w:caps/>
                                    <w:color w:val="FFFFFF" w:themeColor="background1"/>
                                    <w:sz w:val="32"/>
                                    <w:szCs w:val="32"/>
                                  </w:rPr>
                                </w:pPr>
                              </w:p>
                              <w:p w14:paraId="2568AF52" w14:textId="77777777" w:rsidR="00567853" w:rsidRPr="000E7D1D" w:rsidRDefault="00567853" w:rsidP="008767A7">
                                <w:pPr>
                                  <w:pStyle w:val="1Spine"/>
                                  <w:jc w:val="left"/>
                                  <w:rPr>
                                    <w:rFonts w:ascii="Franklin Gothic Medium" w:hAnsi="Franklin Gothic Medium"/>
                                    <w:color w:val="FFFFFF" w:themeColor="background1"/>
                                    <w:sz w:val="32"/>
                                    <w:szCs w:val="32"/>
                                  </w:rPr>
                                </w:pPr>
                                <w:r>
                                  <w:rPr>
                                    <w:rFonts w:ascii="Franklin Gothic Medium" w:hAnsi="Franklin Gothic Medium"/>
                                    <w:color w:val="FFFFFF" w:themeColor="background1"/>
                                    <w:sz w:val="32"/>
                                    <w:szCs w:val="32"/>
                                  </w:rPr>
                                  <w:t>`-``````````````````````````````````</w:t>
                                </w:r>
                              </w:p>
                            </w:txbxContent>
                          </wps:txbx>
                          <wps:bodyPr rot="0" vert="horz" wrap="square" lIns="0" tIns="0" rIns="0" bIns="0" anchor="ctr" anchorCtr="0" upright="1">
                            <a:noAutofit/>
                          </wps:bodyPr>
                        </wps:wsp>
                        <wps:wsp>
                          <wps:cNvPr id="37" name="Rectangle: Single Corner Snipped 230" title="Shape"/>
                          <wps:cNvSpPr>
                            <a:spLocks/>
                          </wps:cNvSpPr>
                          <wps:spPr>
                            <a:xfrm rot="10800000" flipV="1">
                              <a:off x="3554745" y="4844995"/>
                              <a:ext cx="4488938" cy="3910143"/>
                            </a:xfrm>
                            <a:prstGeom prst="snip1Rect">
                              <a:avLst>
                                <a:gd name="adj" fmla="val 28339"/>
                              </a:avLst>
                            </a:prstGeom>
                            <a:solidFill>
                              <a:srgbClr val="00B0F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A3ADD" w14:textId="77777777" w:rsidR="00567853" w:rsidRPr="00DC4F4E" w:rsidRDefault="00567853" w:rsidP="008767A7">
                                <w:pPr>
                                  <w:spacing w:after="0"/>
                                  <w:rPr>
                                    <w:rFonts w:ascii="Franklin Gothic Medium" w:hAnsi="Franklin Gothic Medium" w:cs="Times New Roman (Body CS)"/>
                                    <w:bCs/>
                                    <w:color w:val="FFFFFF" w:themeColor="background1"/>
                                    <w:sz w:val="32"/>
                                    <w:szCs w:val="32"/>
                                  </w:rPr>
                                </w:pPr>
                              </w:p>
                            </w:txbxContent>
                          </wps:txbx>
                          <wps:bodyPr rot="0" spcFirstLastPara="0" vertOverflow="overflow" horzOverflow="overflow" vert="horz" wrap="square" lIns="0" tIns="274320" rIns="0" bIns="0" numCol="1" spcCol="0" rtlCol="0" fromWordArt="0" anchor="ctr" anchorCtr="0" forceAA="0" upright="1" compatLnSpc="1">
                            <a:prstTxWarp prst="textNoShape">
                              <a:avLst/>
                            </a:prstTxWarp>
                            <a:noAutofit/>
                          </wps:bodyPr>
                        </wps:wsp>
                      </wpg:grpSp>
                      <wpg:grpSp>
                        <wpg:cNvPr id="3" name="Group 3"/>
                        <wpg:cNvGrpSpPr/>
                        <wpg:grpSpPr>
                          <a:xfrm>
                            <a:off x="24908" y="-11432"/>
                            <a:ext cx="7784566" cy="10058400"/>
                            <a:chOff x="-13192" y="-62232"/>
                            <a:chExt cx="7784566" cy="10058400"/>
                          </a:xfrm>
                        </wpg:grpSpPr>
                        <wpg:grpSp>
                          <wpg:cNvPr id="40" name="Group 40" descr="Front page"/>
                          <wpg:cNvGrpSpPr/>
                          <wpg:grpSpPr>
                            <a:xfrm>
                              <a:off x="-13192" y="-62232"/>
                              <a:ext cx="7784566" cy="10058400"/>
                              <a:chOff x="-523640" y="-298745"/>
                              <a:chExt cx="7722398" cy="10058400"/>
                            </a:xfrm>
                          </wpg:grpSpPr>
                          <wps:wsp>
                            <wps:cNvPr id="41" name="Parallelogram 41" title="Shape"/>
                            <wps:cNvSpPr/>
                            <wps:spPr>
                              <a:xfrm rot="10800000">
                                <a:off x="-504982" y="5817682"/>
                                <a:ext cx="7691621" cy="2981473"/>
                              </a:xfrm>
                              <a:prstGeom prst="parallelogram">
                                <a:avLst>
                                  <a:gd name="adj" fmla="val 0"/>
                                </a:avLst>
                              </a:prstGeom>
                              <a:solidFill>
                                <a:schemeClr val="tx2">
                                  <a:lumMod val="60000"/>
                                  <a:lumOff val="40000"/>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arallelogram 46" title="Shape"/>
                            <wps:cNvSpPr/>
                            <wps:spPr>
                              <a:xfrm>
                                <a:off x="-511574" y="4500869"/>
                                <a:ext cx="7709599" cy="2377440"/>
                              </a:xfrm>
                              <a:prstGeom prst="parallelogram">
                                <a:avLst>
                                  <a:gd name="adj" fmla="val 92649"/>
                                </a:avLst>
                              </a:prstGeom>
                              <a:solidFill>
                                <a:srgbClr val="00206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Single Corner Snipped 229"/>
                            <wps:cNvSpPr/>
                            <wps:spPr>
                              <a:xfrm flipH="1">
                                <a:off x="-511573" y="-298745"/>
                                <a:ext cx="7710331" cy="10058400"/>
                              </a:xfrm>
                              <a:prstGeom prst="rect">
                                <a:avLst/>
                              </a:prstGeom>
                              <a:solidFill>
                                <a:schemeClr val="bg1">
                                  <a:lumMod val="65000"/>
                                  <a:alpha val="5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4CAEB" w14:textId="77777777" w:rsidR="00567853" w:rsidRPr="00E15436" w:rsidRDefault="00567853" w:rsidP="008767A7">
                                  <w:pPr>
                                    <w:pStyle w:val="1Spine"/>
                                    <w:ind w:left="-2430" w:right="2350"/>
                                    <w:jc w:val="left"/>
                                    <w:rPr>
                                      <w:rFonts w:ascii="Franklin Gothic Medium" w:hAnsi="Franklin Gothic Medium"/>
                                      <w:b w:val="0"/>
                                      <w:bCs/>
                                      <w:color w:val="92CDDC" w:themeColor="accent5" w:themeTint="99"/>
                                    </w:rPr>
                                  </w:pPr>
                                </w:p>
                              </w:txbxContent>
                            </wps:txbx>
                            <wps:bodyPr rot="0" spcFirstLastPara="0" vertOverflow="overflow" horzOverflow="overflow" vert="horz" wrap="square" lIns="1554480" tIns="914400" rIns="91440" bIns="45720" numCol="1" spcCol="0" rtlCol="0" fromWordArt="0" anchor="t" anchorCtr="0" forceAA="0" upright="1" compatLnSpc="1">
                              <a:prstTxWarp prst="textNoShape">
                                <a:avLst/>
                              </a:prstTxWarp>
                              <a:noAutofit/>
                            </wps:bodyPr>
                          </wps:wsp>
                          <wps:wsp>
                            <wps:cNvPr id="47" name="Rectangle: Single Corner Snipped 245"/>
                            <wps:cNvSpPr/>
                            <wps:spPr>
                              <a:xfrm flipH="1">
                                <a:off x="-512306" y="-165015"/>
                                <a:ext cx="7710330" cy="8983839"/>
                              </a:xfrm>
                              <a:prstGeom prst="snip1Rect">
                                <a:avLst>
                                  <a:gd name="adj" fmla="val 0"/>
                                </a:avLst>
                              </a:prstGeom>
                              <a:solidFill>
                                <a:schemeClr val="bg1">
                                  <a:lumMod val="85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D7C80" w14:textId="77777777" w:rsidR="00567853" w:rsidRPr="000D0FB4" w:rsidRDefault="00567853" w:rsidP="0059414C">
                                  <w:pPr>
                                    <w:tabs>
                                      <w:tab w:val="left" w:pos="9540"/>
                                    </w:tabs>
                                    <w:jc w:val="both"/>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3" name="AutoShape 412"/>
                            <wps:cNvSpPr>
                              <a:spLocks noChangeArrowheads="1"/>
                            </wps:cNvSpPr>
                            <wps:spPr bwMode="auto">
                              <a:xfrm rot="5400000">
                                <a:off x="960978" y="3027405"/>
                                <a:ext cx="1316830" cy="4263359"/>
                              </a:xfrm>
                              <a:prstGeom prst="snip1Rect">
                                <a:avLst>
                                  <a:gd name="adj" fmla="val 49226"/>
                                </a:avLst>
                              </a:prstGeom>
                              <a:solidFill>
                                <a:srgbClr val="7030A0"/>
                              </a:solidFill>
                              <a:ln w="3175">
                                <a:noFill/>
                                <a:miter lim="800000"/>
                                <a:headEnd/>
                                <a:tailEnd/>
                              </a:ln>
                            </wps:spPr>
                            <wps:txbx>
                              <w:txbxContent>
                                <w:p w14:paraId="1926CF51" w14:textId="6A38125B" w:rsidR="00567853" w:rsidRPr="000F158B" w:rsidRDefault="00567853" w:rsidP="00A25317">
                                  <w:pPr>
                                    <w:pStyle w:val="Title"/>
                                    <w:spacing w:before="0" w:after="600" w:line="276" w:lineRule="auto"/>
                                    <w:ind w:left="806"/>
                                    <w:contextualSpacing w:val="0"/>
                                    <w:rPr>
                                      <w:rFonts w:ascii="Franklin Gothic Medium" w:hAnsi="Franklin Gothic Medium" w:cs="Times New Roman (Body CS)"/>
                                      <w:bCs/>
                                      <w:color w:val="FFFFFF" w:themeColor="background1"/>
                                      <w:spacing w:val="-8"/>
                                      <w:sz w:val="32"/>
                                      <w:szCs w:val="32"/>
                                    </w:rPr>
                                  </w:pPr>
                                  <w:r w:rsidRPr="000F158B">
                                    <w:rPr>
                                      <w:rFonts w:ascii="Franklin Gothic Medium" w:hAnsi="Franklin Gothic Medium" w:cs="Times New Roman (Body CS)"/>
                                      <w:bCs/>
                                      <w:color w:val="FFFFFF" w:themeColor="background1"/>
                                      <w:spacing w:val="-8"/>
                                      <w:sz w:val="32"/>
                                      <w:szCs w:val="32"/>
                                    </w:rPr>
                                    <w:t>Lisa A. Mills, Ph.D.</w:t>
                                  </w:r>
                                  <w:r w:rsidRPr="000F158B">
                                    <w:rPr>
                                      <w:rFonts w:ascii="Franklin Gothic Medium" w:hAnsi="Franklin Gothic Medium" w:cs="Times New Roman (Body CS)"/>
                                      <w:bCs/>
                                      <w:color w:val="FFFFFF" w:themeColor="background1"/>
                                      <w:spacing w:val="-8"/>
                                      <w:sz w:val="28"/>
                                      <w:szCs w:val="28"/>
                                    </w:rPr>
                                    <w:br/>
                                  </w:r>
                                  <w:r w:rsidRPr="000F158B">
                                    <w:rPr>
                                      <w:rFonts w:ascii="Franklin Gothic Medium" w:hAnsi="Franklin Gothic Medium" w:cs="Times New Roman (Body CS)"/>
                                      <w:bCs/>
                                      <w:color w:val="FFFFFF" w:themeColor="background1"/>
                                      <w:spacing w:val="-8"/>
                                      <w:sz w:val="32"/>
                                      <w:szCs w:val="32"/>
                                    </w:rPr>
                                    <w:t>Employment First Subject Matter Expert</w:t>
                                  </w:r>
                                </w:p>
                              </w:txbxContent>
                            </wps:txbx>
                            <wps:bodyPr rot="0" vert="horz" wrap="square" lIns="0" tIns="0" rIns="0" bIns="0" anchor="ctr" anchorCtr="0" upright="1">
                              <a:noAutofit/>
                            </wps:bodyPr>
                          </wps:wsp>
                          <wps:wsp>
                            <wps:cNvPr id="192" name="AutoShape 412" descr="Title of document"/>
                            <wps:cNvSpPr>
                              <a:spLocks noChangeArrowheads="1"/>
                            </wps:cNvSpPr>
                            <wps:spPr bwMode="auto">
                              <a:xfrm rot="5400000">
                                <a:off x="2168118" y="-1955182"/>
                                <a:ext cx="2338672" cy="7710330"/>
                              </a:xfrm>
                              <a:prstGeom prst="snip1Rect">
                                <a:avLst>
                                  <a:gd name="adj" fmla="val 31784"/>
                                </a:avLst>
                              </a:prstGeom>
                              <a:solidFill>
                                <a:srgbClr val="431FAA">
                                  <a:alpha val="93000"/>
                                </a:srgbClr>
                              </a:solidFill>
                              <a:ln w="3175">
                                <a:noFill/>
                                <a:miter lim="800000"/>
                                <a:headEnd/>
                                <a:tailEnd/>
                              </a:ln>
                            </wps:spPr>
                            <wps:txbx>
                              <w:txbxContent>
                                <w:p w14:paraId="00EC228F" w14:textId="71019005" w:rsidR="00567853" w:rsidRPr="00612907" w:rsidRDefault="00567853" w:rsidP="00D12029">
                                  <w:pPr>
                                    <w:pStyle w:val="1Spine"/>
                                    <w:tabs>
                                      <w:tab w:val="left" w:pos="9990"/>
                                      <w:tab w:val="left" w:pos="10800"/>
                                    </w:tabs>
                                    <w:spacing w:line="276" w:lineRule="auto"/>
                                    <w:ind w:left="810" w:right="-42"/>
                                    <w:jc w:val="left"/>
                                    <w:rPr>
                                      <w:rFonts w:ascii="Franklin Gothic Medium" w:hAnsi="Franklin Gothic Medium" w:cs="Times New Roman (Body CS)"/>
                                      <w:b w:val="0"/>
                                      <w:bCs/>
                                      <w:color w:val="FFFFFF" w:themeColor="background1"/>
                                      <w:spacing w:val="20"/>
                                      <w:sz w:val="40"/>
                                      <w:szCs w:val="40"/>
                                    </w:rPr>
                                  </w:pPr>
                                  <w:r w:rsidRPr="00612907">
                                    <w:rPr>
                                      <w:rFonts w:ascii="Franklin Gothic Medium" w:hAnsi="Franklin Gothic Medium" w:cs="Times New Roman (Body CS)"/>
                                      <w:b w:val="0"/>
                                      <w:bCs/>
                                      <w:color w:val="FFFFFF" w:themeColor="background1"/>
                                      <w:spacing w:val="20"/>
                                      <w:sz w:val="40"/>
                                      <w:szCs w:val="40"/>
                                    </w:rPr>
                                    <w:t>Value-Based Payment Methodologies to Advance</w:t>
                                  </w:r>
                                  <w:r w:rsidRPr="00612907">
                                    <w:rPr>
                                      <w:rFonts w:ascii="Franklin Gothic Medium" w:hAnsi="Franklin Gothic Medium" w:cs="Times New Roman (Body CS)"/>
                                      <w:b w:val="0"/>
                                      <w:bCs/>
                                      <w:color w:val="FFFFFF" w:themeColor="background1"/>
                                      <w:spacing w:val="20"/>
                                      <w:sz w:val="40"/>
                                      <w:szCs w:val="40"/>
                                    </w:rPr>
                                    <w:br/>
                                    <w:t>Competitive Integrated Employment:</w:t>
                                  </w:r>
                                </w:p>
                                <w:p w14:paraId="7DF66A0A" w14:textId="77777777" w:rsidR="00567853" w:rsidRPr="00612907" w:rsidRDefault="00567853" w:rsidP="00E34C3A">
                                  <w:pPr>
                                    <w:pStyle w:val="1Spine"/>
                                    <w:tabs>
                                      <w:tab w:val="left" w:pos="9990"/>
                                      <w:tab w:val="left" w:pos="10800"/>
                                    </w:tabs>
                                    <w:spacing w:before="120" w:after="600" w:line="276" w:lineRule="auto"/>
                                    <w:ind w:left="810" w:right="-14"/>
                                    <w:jc w:val="left"/>
                                    <w:rPr>
                                      <w:rFonts w:ascii="Franklin Gothic Medium" w:hAnsi="Franklin Gothic Medium" w:cs="Times New Roman (Body CS)"/>
                                      <w:b w:val="0"/>
                                      <w:bCs/>
                                      <w:i/>
                                      <w:iCs/>
                                      <w:color w:val="FFFFFF" w:themeColor="background1"/>
                                      <w:spacing w:val="20"/>
                                      <w:sz w:val="40"/>
                                      <w:szCs w:val="40"/>
                                    </w:rPr>
                                  </w:pPr>
                                  <w:r w:rsidRPr="00612907">
                                    <w:rPr>
                                      <w:rFonts w:ascii="Franklin Gothic Medium" w:hAnsi="Franklin Gothic Medium" w:cs="Times New Roman (Body CS)"/>
                                      <w:b w:val="0"/>
                                      <w:bCs/>
                                      <w:i/>
                                      <w:iCs/>
                                      <w:color w:val="FFFFFF" w:themeColor="background1"/>
                                      <w:spacing w:val="20"/>
                                      <w:sz w:val="40"/>
                                      <w:szCs w:val="40"/>
                                    </w:rPr>
                                    <w:t>A Mix of Inspiring Examples from Across the Country</w:t>
                                  </w:r>
                                </w:p>
                              </w:txbxContent>
                            </wps:txbx>
                            <wps:bodyPr rot="0" vert="horz" wrap="square" lIns="0" tIns="0" rIns="0" bIns="0" anchor="ctr" anchorCtr="0" upright="1">
                              <a:noAutofit/>
                            </wps:bodyPr>
                          </wps:wsp>
                          <wps:wsp>
                            <wps:cNvPr id="48" name="Rectangle: Single Corner Snipped 230" descr="Figure with text &quot;U.S. Department of Labor&#10;Office of Disability Employment&quot;&#10;"/>
                            <wps:cNvSpPr/>
                            <wps:spPr>
                              <a:xfrm rot="10800000" flipV="1">
                                <a:off x="3105052" y="5551865"/>
                                <a:ext cx="4086978" cy="1316736"/>
                              </a:xfrm>
                              <a:prstGeom prst="snip1Rect">
                                <a:avLst>
                                  <a:gd name="adj" fmla="val 50000"/>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E298B" w14:textId="28DD167A" w:rsidR="00567853" w:rsidRPr="000F158B" w:rsidRDefault="00567853" w:rsidP="00A25317">
                                  <w:pPr>
                                    <w:pStyle w:val="TabName"/>
                                    <w:spacing w:before="640" w:after="0"/>
                                    <w:ind w:left="900" w:right="-180"/>
                                    <w:jc w:val="left"/>
                                    <w:rPr>
                                      <w:rFonts w:ascii="Franklin Gothic Medium" w:hAnsi="Franklin Gothic Medium" w:cs="Times New Roman (Body CS)"/>
                                      <w:bCs/>
                                      <w:color w:val="FFFFFF" w:themeColor="background1"/>
                                      <w:spacing w:val="-8"/>
                                      <w:szCs w:val="32"/>
                                    </w:rPr>
                                  </w:pPr>
                                  <w:r w:rsidRPr="000F158B">
                                    <w:rPr>
                                      <w:rFonts w:ascii="Franklin Gothic Medium" w:hAnsi="Franklin Gothic Medium" w:cs="Times New Roman (Body CS)"/>
                                      <w:bCs/>
                                      <w:color w:val="FFFFFF" w:themeColor="background1"/>
                                      <w:spacing w:val="-8"/>
                                      <w:szCs w:val="32"/>
                                    </w:rPr>
                                    <w:t>U.S. Department of Labor</w:t>
                                  </w:r>
                                  <w:r w:rsidRPr="000F158B">
                                    <w:rPr>
                                      <w:rFonts w:ascii="Franklin Gothic Medium" w:hAnsi="Franklin Gothic Medium" w:cs="Times New Roman (Body CS)"/>
                                      <w:bCs/>
                                      <w:color w:val="FFFFFF" w:themeColor="background1"/>
                                      <w:spacing w:val="-8"/>
                                      <w:szCs w:val="32"/>
                                    </w:rPr>
                                    <w:br/>
                                    <w:t>Office of Disability Employment Policy</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4" name="Parallelogram 44"/>
                            <wps:cNvSpPr/>
                            <wps:spPr>
                              <a:xfrm>
                                <a:off x="-523640" y="8823799"/>
                                <a:ext cx="7708921" cy="736595"/>
                              </a:xfrm>
                              <a:prstGeom prst="parallelogram">
                                <a:avLst>
                                  <a:gd name="adj" fmla="val 10037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97EAD" w14:textId="77777777" w:rsidR="00567853" w:rsidRPr="00CB0383" w:rsidRDefault="00567853" w:rsidP="002514A2">
                                  <w:pPr>
                                    <w:spacing w:before="0" w:after="0" w:line="240" w:lineRule="auto"/>
                                    <w:ind w:right="9"/>
                                    <w:jc w:val="both"/>
                                    <w:rPr>
                                      <w:rFonts w:ascii="Franklin Gothic Book" w:hAnsi="Franklin Gothic Book"/>
                                      <w:color w:val="244061" w:themeColor="accent1" w:themeShade="80"/>
                                      <w:sz w:val="18"/>
                                      <w:szCs w:val="18"/>
                                    </w:rPr>
                                  </w:pPr>
                                  <w:r w:rsidRPr="00CB0383">
                                    <w:rPr>
                                      <w:rFonts w:ascii="Franklin Gothic Book" w:hAnsi="Franklin Gothic Book"/>
                                      <w:color w:val="244061" w:themeColor="accent1" w:themeShade="80"/>
                                      <w:sz w:val="18"/>
                                      <w:szCs w:val="18"/>
                                    </w:rPr>
                                    <w:t>Disclaimer: This document was funded by the U.S. Department of Labor (DOL) Office of Disability Employment Policy (ODEP) to Economic Systems Inc. (EconSys) under Contract No. DOL-OPS-14-D-005; Order No. 1605DC-18-F-00315. The views expressed are those of the author and should not be attributed to DOL, nor does mention of trade names, commercial products, or organizations imply endorsement by the U.S. Government.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9" name="AutoShape 412"/>
                          <wps:cNvSpPr>
                            <a:spLocks noChangeArrowheads="1"/>
                          </wps:cNvSpPr>
                          <wps:spPr bwMode="auto">
                            <a:xfrm rot="5400000">
                              <a:off x="6397210" y="7526886"/>
                              <a:ext cx="544475" cy="1188720"/>
                            </a:xfrm>
                            <a:custGeom>
                              <a:avLst/>
                              <a:gdLst>
                                <a:gd name="connsiteX0" fmla="*/ 0 w 603250"/>
                                <a:gd name="connsiteY0" fmla="*/ 0 h 1783080"/>
                                <a:gd name="connsiteX1" fmla="*/ 301625 w 603250"/>
                                <a:gd name="connsiteY1" fmla="*/ 0 h 1783080"/>
                                <a:gd name="connsiteX2" fmla="*/ 603250 w 603250"/>
                                <a:gd name="connsiteY2" fmla="*/ 301625 h 1783080"/>
                                <a:gd name="connsiteX3" fmla="*/ 603250 w 603250"/>
                                <a:gd name="connsiteY3" fmla="*/ 1783080 h 1783080"/>
                                <a:gd name="connsiteX4" fmla="*/ 0 w 603250"/>
                                <a:gd name="connsiteY4" fmla="*/ 1783080 h 1783080"/>
                                <a:gd name="connsiteX5" fmla="*/ 0 w 603250"/>
                                <a:gd name="connsiteY5" fmla="*/ 0 h 1783080"/>
                                <a:gd name="connsiteX0" fmla="*/ 0 w 603250"/>
                                <a:gd name="connsiteY0" fmla="*/ 0 h 1783080"/>
                                <a:gd name="connsiteX1" fmla="*/ 301625 w 603250"/>
                                <a:gd name="connsiteY1" fmla="*/ 0 h 1783080"/>
                                <a:gd name="connsiteX2" fmla="*/ 603250 w 603250"/>
                                <a:gd name="connsiteY2" fmla="*/ 301625 h 1783080"/>
                                <a:gd name="connsiteX3" fmla="*/ 603250 w 603250"/>
                                <a:gd name="connsiteY3" fmla="*/ 1783080 h 1783080"/>
                                <a:gd name="connsiteX4" fmla="*/ 0 w 603250"/>
                                <a:gd name="connsiteY4" fmla="*/ 1783080 h 1783080"/>
                                <a:gd name="connsiteX5" fmla="*/ 0 w 603250"/>
                                <a:gd name="connsiteY5" fmla="*/ 0 h 1783080"/>
                                <a:gd name="connsiteX0" fmla="*/ 0 w 603250"/>
                                <a:gd name="connsiteY0" fmla="*/ 0 h 1783080"/>
                                <a:gd name="connsiteX1" fmla="*/ 301625 w 603250"/>
                                <a:gd name="connsiteY1" fmla="*/ 0 h 1783080"/>
                                <a:gd name="connsiteX2" fmla="*/ 603250 w 603250"/>
                                <a:gd name="connsiteY2" fmla="*/ 301625 h 1783080"/>
                                <a:gd name="connsiteX3" fmla="*/ 603250 w 603250"/>
                                <a:gd name="connsiteY3" fmla="*/ 1783080 h 1783080"/>
                                <a:gd name="connsiteX4" fmla="*/ 0 w 603250"/>
                                <a:gd name="connsiteY4" fmla="*/ 1783080 h 1783080"/>
                                <a:gd name="connsiteX5" fmla="*/ 0 w 603250"/>
                                <a:gd name="connsiteY5" fmla="*/ 0 h 1783080"/>
                                <a:gd name="connsiteX0" fmla="*/ 0 w 603250"/>
                                <a:gd name="connsiteY0" fmla="*/ 0 h 1783080"/>
                                <a:gd name="connsiteX1" fmla="*/ 301625 w 603250"/>
                                <a:gd name="connsiteY1" fmla="*/ 0 h 1783080"/>
                                <a:gd name="connsiteX2" fmla="*/ 603250 w 603250"/>
                                <a:gd name="connsiteY2" fmla="*/ 301625 h 1783080"/>
                                <a:gd name="connsiteX3" fmla="*/ 603250 w 603250"/>
                                <a:gd name="connsiteY3" fmla="*/ 1783080 h 1783080"/>
                                <a:gd name="connsiteX4" fmla="*/ 0 w 603250"/>
                                <a:gd name="connsiteY4" fmla="*/ 1377966 h 1783080"/>
                                <a:gd name="connsiteX5" fmla="*/ 0 w 603250"/>
                                <a:gd name="connsiteY5" fmla="*/ 0 h 1783080"/>
                                <a:gd name="connsiteX0" fmla="*/ 0 w 603250"/>
                                <a:gd name="connsiteY0" fmla="*/ 0 h 1783080"/>
                                <a:gd name="connsiteX1" fmla="*/ 301625 w 603250"/>
                                <a:gd name="connsiteY1" fmla="*/ 0 h 1783080"/>
                                <a:gd name="connsiteX2" fmla="*/ 603250 w 603250"/>
                                <a:gd name="connsiteY2" fmla="*/ 301625 h 1783080"/>
                                <a:gd name="connsiteX3" fmla="*/ 603250 w 603250"/>
                                <a:gd name="connsiteY3" fmla="*/ 1783080 h 1783080"/>
                                <a:gd name="connsiteX4" fmla="*/ 0 w 603250"/>
                                <a:gd name="connsiteY4" fmla="*/ 1783080 h 1783080"/>
                                <a:gd name="connsiteX5" fmla="*/ 0 w 603250"/>
                                <a:gd name="connsiteY5" fmla="*/ 0 h 1783080"/>
                                <a:gd name="connsiteX0" fmla="*/ 0 w 603250"/>
                                <a:gd name="connsiteY0" fmla="*/ 0 h 1783080"/>
                                <a:gd name="connsiteX1" fmla="*/ 301625 w 603250"/>
                                <a:gd name="connsiteY1" fmla="*/ 0 h 1783080"/>
                                <a:gd name="connsiteX2" fmla="*/ 603250 w 603250"/>
                                <a:gd name="connsiteY2" fmla="*/ 301625 h 1783080"/>
                                <a:gd name="connsiteX3" fmla="*/ 603250 w 603250"/>
                                <a:gd name="connsiteY3" fmla="*/ 1783080 h 1783080"/>
                                <a:gd name="connsiteX4" fmla="*/ 0 w 603250"/>
                                <a:gd name="connsiteY4" fmla="*/ 1783080 h 1783080"/>
                                <a:gd name="connsiteX5" fmla="*/ 0 w 603250"/>
                                <a:gd name="connsiteY5" fmla="*/ 0 h 1783080"/>
                                <a:gd name="connsiteX0" fmla="*/ 0 w 603262"/>
                                <a:gd name="connsiteY0" fmla="*/ 0 h 1783080"/>
                                <a:gd name="connsiteX1" fmla="*/ 301625 w 603262"/>
                                <a:gd name="connsiteY1" fmla="*/ 0 h 1783080"/>
                                <a:gd name="connsiteX2" fmla="*/ 603250 w 603262"/>
                                <a:gd name="connsiteY2" fmla="*/ 301625 h 1783080"/>
                                <a:gd name="connsiteX3" fmla="*/ 603250 w 603262"/>
                                <a:gd name="connsiteY3" fmla="*/ 1783080 h 1783080"/>
                                <a:gd name="connsiteX4" fmla="*/ 0 w 603262"/>
                                <a:gd name="connsiteY4" fmla="*/ 1783080 h 1783080"/>
                                <a:gd name="connsiteX5" fmla="*/ 0 w 603262"/>
                                <a:gd name="connsiteY5" fmla="*/ 0 h 1783080"/>
                                <a:gd name="connsiteX0" fmla="*/ 0 w 603262"/>
                                <a:gd name="connsiteY0" fmla="*/ 0 h 1783080"/>
                                <a:gd name="connsiteX1" fmla="*/ 301625 w 603262"/>
                                <a:gd name="connsiteY1" fmla="*/ 0 h 1783080"/>
                                <a:gd name="connsiteX2" fmla="*/ 603250 w 603262"/>
                                <a:gd name="connsiteY2" fmla="*/ 301625 h 1783080"/>
                                <a:gd name="connsiteX3" fmla="*/ 603250 w 603262"/>
                                <a:gd name="connsiteY3" fmla="*/ 1783080 h 1783080"/>
                                <a:gd name="connsiteX4" fmla="*/ 0 w 603262"/>
                                <a:gd name="connsiteY4" fmla="*/ 1783080 h 1783080"/>
                                <a:gd name="connsiteX5" fmla="*/ 0 w 603262"/>
                                <a:gd name="connsiteY5" fmla="*/ 0 h 1783080"/>
                                <a:gd name="connsiteX0" fmla="*/ 0 w 603609"/>
                                <a:gd name="connsiteY0" fmla="*/ 0 h 1783080"/>
                                <a:gd name="connsiteX1" fmla="*/ 301625 w 603609"/>
                                <a:gd name="connsiteY1" fmla="*/ 0 h 1783080"/>
                                <a:gd name="connsiteX2" fmla="*/ 603250 w 603609"/>
                                <a:gd name="connsiteY2" fmla="*/ 301625 h 1783080"/>
                                <a:gd name="connsiteX3" fmla="*/ 603250 w 603609"/>
                                <a:gd name="connsiteY3" fmla="*/ 1783080 h 1783080"/>
                                <a:gd name="connsiteX4" fmla="*/ 0 w 603609"/>
                                <a:gd name="connsiteY4" fmla="*/ 1783080 h 1783080"/>
                                <a:gd name="connsiteX5" fmla="*/ 0 w 603609"/>
                                <a:gd name="connsiteY5" fmla="*/ 0 h 1783080"/>
                                <a:gd name="connsiteX0" fmla="*/ 0 w 603714"/>
                                <a:gd name="connsiteY0" fmla="*/ 0 h 1783080"/>
                                <a:gd name="connsiteX1" fmla="*/ 301625 w 603714"/>
                                <a:gd name="connsiteY1" fmla="*/ 0 h 1783080"/>
                                <a:gd name="connsiteX2" fmla="*/ 603250 w 603714"/>
                                <a:gd name="connsiteY2" fmla="*/ 301625 h 1783080"/>
                                <a:gd name="connsiteX3" fmla="*/ 603250 w 603714"/>
                                <a:gd name="connsiteY3" fmla="*/ 1783080 h 1783080"/>
                                <a:gd name="connsiteX4" fmla="*/ 6545 w 603714"/>
                                <a:gd name="connsiteY4" fmla="*/ 1783080 h 1783080"/>
                                <a:gd name="connsiteX5" fmla="*/ 0 w 603714"/>
                                <a:gd name="connsiteY5" fmla="*/ 0 h 1783080"/>
                                <a:gd name="connsiteX0" fmla="*/ 0 w 604169"/>
                                <a:gd name="connsiteY0" fmla="*/ 0 h 1783978"/>
                                <a:gd name="connsiteX1" fmla="*/ 301625 w 604169"/>
                                <a:gd name="connsiteY1" fmla="*/ 0 h 1783978"/>
                                <a:gd name="connsiteX2" fmla="*/ 603250 w 604169"/>
                                <a:gd name="connsiteY2" fmla="*/ 301625 h 1783978"/>
                                <a:gd name="connsiteX3" fmla="*/ 603714 w 604169"/>
                                <a:gd name="connsiteY3" fmla="*/ 1783978 h 1783978"/>
                                <a:gd name="connsiteX4" fmla="*/ 6545 w 604169"/>
                                <a:gd name="connsiteY4" fmla="*/ 1783080 h 1783978"/>
                                <a:gd name="connsiteX5" fmla="*/ 0 w 604169"/>
                                <a:gd name="connsiteY5" fmla="*/ 0 h 1783978"/>
                                <a:gd name="connsiteX0" fmla="*/ 0 w 604169"/>
                                <a:gd name="connsiteY0" fmla="*/ 0 h 1783978"/>
                                <a:gd name="connsiteX1" fmla="*/ 603250 w 604169"/>
                                <a:gd name="connsiteY1" fmla="*/ 301625 h 1783978"/>
                                <a:gd name="connsiteX2" fmla="*/ 603714 w 604169"/>
                                <a:gd name="connsiteY2" fmla="*/ 1783978 h 1783978"/>
                                <a:gd name="connsiteX3" fmla="*/ 6545 w 604169"/>
                                <a:gd name="connsiteY3" fmla="*/ 1783080 h 1783978"/>
                                <a:gd name="connsiteX4" fmla="*/ 0 w 604169"/>
                                <a:gd name="connsiteY4" fmla="*/ 0 h 1783978"/>
                                <a:gd name="connsiteX0" fmla="*/ 0 w 604191"/>
                                <a:gd name="connsiteY0" fmla="*/ 0 h 1783978"/>
                                <a:gd name="connsiteX1" fmla="*/ 604171 w 604191"/>
                                <a:gd name="connsiteY1" fmla="*/ 0 h 1783978"/>
                                <a:gd name="connsiteX2" fmla="*/ 603714 w 604191"/>
                                <a:gd name="connsiteY2" fmla="*/ 1783978 h 1783978"/>
                                <a:gd name="connsiteX3" fmla="*/ 6545 w 604191"/>
                                <a:gd name="connsiteY3" fmla="*/ 1783080 h 1783978"/>
                                <a:gd name="connsiteX4" fmla="*/ 0 w 604191"/>
                                <a:gd name="connsiteY4" fmla="*/ 0 h 1783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191" h="1783978">
                                  <a:moveTo>
                                    <a:pt x="0" y="0"/>
                                  </a:moveTo>
                                  <a:lnTo>
                                    <a:pt x="604171" y="0"/>
                                  </a:lnTo>
                                  <a:cubicBezTo>
                                    <a:pt x="604326" y="494118"/>
                                    <a:pt x="603559" y="1289860"/>
                                    <a:pt x="603714" y="1783978"/>
                                  </a:cubicBezTo>
                                  <a:cubicBezTo>
                                    <a:pt x="606178" y="1779144"/>
                                    <a:pt x="618479" y="1781173"/>
                                    <a:pt x="6545" y="1783080"/>
                                  </a:cubicBezTo>
                                  <a:cubicBezTo>
                                    <a:pt x="4363" y="1188720"/>
                                    <a:pt x="2182" y="594360"/>
                                    <a:pt x="0" y="0"/>
                                  </a:cubicBezTo>
                                  <a:close/>
                                </a:path>
                              </a:pathLst>
                            </a:custGeom>
                            <a:solidFill>
                              <a:srgbClr val="431FAA">
                                <a:alpha val="86000"/>
                              </a:srgbClr>
                            </a:solidFill>
                            <a:ln w="3175">
                              <a:noFill/>
                              <a:miter lim="800000"/>
                              <a:headEnd/>
                              <a:tailEnd/>
                            </a:ln>
                          </wps:spPr>
                          <wps:txbx>
                            <w:txbxContent>
                              <w:p w14:paraId="0637E67A" w14:textId="3E46339B" w:rsidR="00567853" w:rsidRPr="0076179A" w:rsidRDefault="00567853" w:rsidP="00A10743">
                                <w:pPr>
                                  <w:pStyle w:val="Title"/>
                                  <w:spacing w:before="0" w:line="276" w:lineRule="auto"/>
                                  <w:ind w:right="-23"/>
                                  <w:jc w:val="center"/>
                                  <w:rPr>
                                    <w:rFonts w:ascii="Franklin Gothic Medium" w:hAnsi="Franklin Gothic Medium" w:cs="Times New Roman (Body CS)"/>
                                    <w:bCs/>
                                    <w:caps/>
                                    <w:spacing w:val="0"/>
                                    <w:sz w:val="32"/>
                                    <w:szCs w:val="32"/>
                                  </w:rPr>
                                </w:pPr>
                                <w:r>
                                  <w:rPr>
                                    <w:rFonts w:ascii="Franklin Gothic Medium" w:hAnsi="Franklin Gothic Medium" w:cs="Times New Roman (Body CS)"/>
                                    <w:bCs/>
                                    <w:color w:val="FFFFFF" w:themeColor="background1"/>
                                    <w:spacing w:val="0"/>
                                    <w:sz w:val="32"/>
                                    <w:szCs w:val="32"/>
                                  </w:rPr>
                                  <w:t>April 2021</w:t>
                                </w:r>
                              </w:p>
                            </w:txbxContent>
                          </wps:txbx>
                          <wps:bodyPr rot="0" vert="horz" wrap="square" lIns="0" tIns="0" rIns="0" bIns="0" anchor="ctr" anchorCtr="0" upright="1">
                            <a:noAutofit/>
                          </wps:bodyPr>
                        </wps:wsp>
                      </wpg:grpSp>
                      <wpg:grpSp>
                        <wpg:cNvPr id="8" name="Group 8"/>
                        <wpg:cNvGrpSpPr/>
                        <wpg:grpSpPr>
                          <a:xfrm>
                            <a:off x="34103" y="891390"/>
                            <a:ext cx="7754448" cy="9077430"/>
                            <a:chOff x="34103" y="269090"/>
                            <a:chExt cx="7754448" cy="9077430"/>
                          </a:xfrm>
                        </wpg:grpSpPr>
                        <wps:wsp>
                          <wps:cNvPr id="43" name="Rectangle: Single Corner Snipped 230" title="Shape"/>
                          <wps:cNvSpPr/>
                          <wps:spPr>
                            <a:xfrm rot="10800000">
                              <a:off x="34103" y="269090"/>
                              <a:ext cx="7751999" cy="126423"/>
                            </a:xfrm>
                            <a:prstGeom prst="rect">
                              <a:avLst/>
                            </a:prstGeom>
                            <a:solidFill>
                              <a:srgbClr val="4353FF">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3A973" w14:textId="77777777" w:rsidR="00567853" w:rsidRPr="00DC4F4E" w:rsidRDefault="00567853" w:rsidP="002A699B">
                                <w:pPr>
                                  <w:pStyle w:val="Title"/>
                                  <w:spacing w:before="480"/>
                                  <w:rPr>
                                    <w:rFonts w:ascii="Franklin Gothic Medium" w:hAnsi="Franklin Gothic Medium" w:cs="Times New Roman (Body CS)"/>
                                    <w:bCs/>
                                    <w:caps/>
                                    <w:sz w:val="32"/>
                                    <w:szCs w:val="32"/>
                                  </w:rPr>
                                </w:pPr>
                              </w:p>
                            </w:txbxContent>
                          </wps:txbx>
                          <wps:bodyPr rot="0" spcFirstLastPara="0" vertOverflow="overflow" horzOverflow="overflow" vert="horz" wrap="square" lIns="0" tIns="274320" rIns="0" bIns="0" numCol="1" spcCol="0" rtlCol="0" fromWordArt="0" anchor="b" anchorCtr="0" forceAA="0" upright="1" compatLnSpc="1">
                            <a:prstTxWarp prst="textNoShape">
                              <a:avLst/>
                            </a:prstTxWarp>
                            <a:noAutofit/>
                          </wps:bodyPr>
                        </wps:wsp>
                        <wps:wsp>
                          <wps:cNvPr id="45" name="Rectangle: Single Corner Snipped 230" title="Shape"/>
                          <wps:cNvSpPr/>
                          <wps:spPr>
                            <a:xfrm rot="10800000" flipV="1">
                              <a:off x="36552" y="9237625"/>
                              <a:ext cx="7751999" cy="108895"/>
                            </a:xfrm>
                            <a:prstGeom prst="rect">
                              <a:avLst/>
                            </a:prstGeom>
                            <a:solidFill>
                              <a:schemeClr val="tx2">
                                <a:lumMod val="60000"/>
                                <a:lumOff val="40000"/>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890B8" w14:textId="043B7565" w:rsidR="00567853" w:rsidRPr="00DC4F4E" w:rsidRDefault="00567853" w:rsidP="00DF7DAB">
                                <w:pPr>
                                  <w:pStyle w:val="Title"/>
                                  <w:spacing w:before="480"/>
                                  <w:rPr>
                                    <w:rFonts w:ascii="Franklin Gothic Medium" w:hAnsi="Franklin Gothic Medium" w:cs="Times New Roman (Body CS)"/>
                                    <w:bCs/>
                                    <w:caps/>
                                    <w:sz w:val="32"/>
                                    <w:szCs w:val="32"/>
                                  </w:rPr>
                                </w:pPr>
                                <w:r>
                                  <w:rPr>
                                    <w:rFonts w:ascii="Franklin Gothic Medium" w:hAnsi="Franklin Gothic Medium" w:cs="Times New Roman (Body CS)"/>
                                    <w:bCs/>
                                    <w:caps/>
                                    <w:sz w:val="32"/>
                                    <w:szCs w:val="32"/>
                                  </w:rPr>
                                  <w:t>.</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AA8A61" id="Group 15" o:spid="_x0000_s1026" alt="&quot;&quot;" style="position:absolute;left:0;text-align:left;margin-left:-1.6pt;margin-top:-26.1pt;width:615.1pt;height:798.05pt;z-index:251703309;mso-width-relative:margin;mso-height-relative:margin" coordorigin="249,-114" coordsize="7791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">
                <v:group id="Group 34" o:spid="_x0000_s1027" style="position:absolute;left:308;top:-114;width:77851;height:90982" coordorigin="111,-375" coordsize="80407,9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ectangle: Single Corner Snipped 230" o:spid="_x0000_s1028" style="position:absolute;left:7797;top:-375;width:72721;height:92586;rotation:180;flip:y;visibility:visible;mso-wrap-style:square;v-text-anchor:bottom" coordsize="7272157,9258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" adj="-11796480,,5400" path="m,l5211300,,7272157,2060857r,7197909l,9258766,,xe" fillcolor="#31849b [2408]" stroked="f" strokeweight="2pt">
                    <v:fill opacity="59624f"/>
                    <v:stroke joinstyle="miter"/>
                    <v:formulas/>
                    <v:path arrowok="t" o:connecttype="custom" o:connectlocs="0,0;5211300,0;7272157,2060857;7272157,9258766;0,9258766;0,0" o:connectangles="0,0,0,0,0,0" textboxrect="0,0,7272157,9258766"/>
                    <v:textbox inset="0,21.6pt,0,0">
                      <w:txbxContent>
                        <w:p w14:paraId="52D32185" w14:textId="77777777" w:rsidR="00567853" w:rsidRPr="00DC4F4E" w:rsidRDefault="00567853" w:rsidP="008767A7">
                          <w:pPr>
                            <w:pStyle w:val="Title"/>
                            <w:spacing w:before="480"/>
                            <w:ind w:right="10"/>
                            <w:rPr>
                              <w:rFonts w:ascii="Franklin Gothic Medium" w:hAnsi="Franklin Gothic Medium" w:cs="Times New Roman (Body CS)"/>
                              <w:bCs/>
                              <w:caps/>
                              <w:sz w:val="32"/>
                              <w:szCs w:val="32"/>
                            </w:rP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 o:spid="_x0000_s1029" type="#_x0000_t7" alt="Front page with name of Author: " style="position:absolute;left:379;top:36382;width:72106;height:5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" adj="14365" fillcolor="#00b0f0" stroked="f" strokeweight="2pt">
                    <v:fill opacity="40092f"/>
                    <v:textbox>
                      <w:txbxContent>
                        <w:p w14:paraId="08B9C8D5" w14:textId="77777777" w:rsidR="00567853" w:rsidRPr="00BD738E" w:rsidRDefault="00567853" w:rsidP="008767A7">
                          <w:pPr>
                            <w:spacing w:after="0" w:line="240" w:lineRule="auto"/>
                            <w:ind w:right="35"/>
                            <w:rPr>
                              <w:rFonts w:ascii="Franklin Gothic Medium" w:hAnsi="Franklin Gothic Medium"/>
                              <w:color w:val="FFFFFF" w:themeColor="background1"/>
                              <w:sz w:val="32"/>
                              <w:szCs w:val="32"/>
                            </w:rPr>
                          </w:pPr>
                        </w:p>
                      </w:txbxContent>
                    </v:textbox>
                  </v:shape>
                  <v:shape id="AutoShape 412" o:spid="_x0000_s1030" alt="Lisa A. Mills, Ph.D.&#10;ODEP Subject Matter Expert&#10;" style="position:absolute;left:-3538;top:3274;width:87571;height:80273;rotation:90;visibility:visible;mso-wrap-style:square;v-text-anchor:middle" coordsize="8757244,8027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" adj="-11796480,,5400" path="m,l4743598,,8757244,4013646r,4013646l,8027292,,xe" fillcolor="#0067f4" stroked="f" strokeweight=".25pt">
                    <v:stroke joinstyle="miter"/>
                    <v:formulas/>
                    <v:path arrowok="t" o:connecttype="custom" o:connectlocs="0,0;4743598,0;8757244,4013646;8757244,8027292;0,8027292;0,0" o:connectangles="0,0,0,0,0,0" textboxrect="0,0,8757244,8027292"/>
                    <v:textbox inset="0,0,0,0">
                      <w:txbxContent>
                        <w:p w14:paraId="529125EC" w14:textId="77777777" w:rsidR="00567853" w:rsidRPr="000E7D1D" w:rsidRDefault="00567853" w:rsidP="008767A7">
                          <w:pPr>
                            <w:pStyle w:val="Heading2"/>
                            <w:spacing w:after="0"/>
                            <w:rPr>
                              <w:rFonts w:ascii="Franklin Gothic Medium" w:hAnsi="Franklin Gothic Medium" w:cs="Times New Roman (Body CS)"/>
                              <w:bCs/>
                              <w:caps/>
                              <w:color w:val="FFFFFF" w:themeColor="background1"/>
                              <w:sz w:val="32"/>
                              <w:szCs w:val="32"/>
                            </w:rPr>
                          </w:pPr>
                        </w:p>
                        <w:p w14:paraId="2568AF52" w14:textId="77777777" w:rsidR="00567853" w:rsidRPr="000E7D1D" w:rsidRDefault="00567853" w:rsidP="008767A7">
                          <w:pPr>
                            <w:pStyle w:val="1Spine"/>
                            <w:jc w:val="left"/>
                            <w:rPr>
                              <w:rFonts w:ascii="Franklin Gothic Medium" w:hAnsi="Franklin Gothic Medium"/>
                              <w:color w:val="FFFFFF" w:themeColor="background1"/>
                              <w:sz w:val="32"/>
                              <w:szCs w:val="32"/>
                            </w:rPr>
                          </w:pPr>
                          <w:r>
                            <w:rPr>
                              <w:rFonts w:ascii="Franklin Gothic Medium" w:hAnsi="Franklin Gothic Medium"/>
                              <w:color w:val="FFFFFF" w:themeColor="background1"/>
                              <w:sz w:val="32"/>
                              <w:szCs w:val="32"/>
                            </w:rPr>
                            <w:t>`-``````````````````````````````````</w:t>
                          </w:r>
                        </w:p>
                      </w:txbxContent>
                    </v:textbox>
                  </v:shape>
                  <v:shape id="Rectangle: Single Corner Snipped 230" o:spid="_x0000_s1031" style="position:absolute;left:35547;top:48449;width:44889;height:39102;rotation:180;flip:y;visibility:visible;mso-wrap-style:square;v-text-anchor:middle" coordsize="4488938,3910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" adj="-11796480,,5400" path="m,l3380843,,4488938,1108095r,2802048l,3910143,,xe" fillcolor="#00b0f0" stroked="f" strokeweight="2pt">
                    <v:fill opacity="52428f"/>
                    <v:stroke joinstyle="miter"/>
                    <v:formulas/>
                    <v:path arrowok="t" o:connecttype="custom" o:connectlocs="0,0;3380843,0;4488938,1108095;4488938,3910143;0,3910143;0,0" o:connectangles="0,0,0,0,0,0" textboxrect="0,0,4488938,3910143"/>
                    <v:textbox inset="0,21.6pt,0,0">
                      <w:txbxContent>
                        <w:p w14:paraId="5A5A3ADD" w14:textId="77777777" w:rsidR="00567853" w:rsidRPr="00DC4F4E" w:rsidRDefault="00567853" w:rsidP="008767A7">
                          <w:pPr>
                            <w:spacing w:after="0"/>
                            <w:rPr>
                              <w:rFonts w:ascii="Franklin Gothic Medium" w:hAnsi="Franklin Gothic Medium" w:cs="Times New Roman (Body CS)"/>
                              <w:bCs/>
                              <w:color w:val="FFFFFF" w:themeColor="background1"/>
                              <w:sz w:val="32"/>
                              <w:szCs w:val="32"/>
                            </w:rPr>
                          </w:pPr>
                        </w:p>
                      </w:txbxContent>
                    </v:textbox>
                  </v:shape>
                </v:group>
                <v:group id="Group 3" o:spid="_x0000_s1032" style="position:absolute;left:249;top:-114;width:77845;height:100583" coordorigin="-131,-622" coordsize="77845,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0" o:spid="_x0000_s1033" alt="Front page" style="position:absolute;left:-131;top:-622;width:77844;height:100583" coordorigin="-5236,-2987" coordsize="77223,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arallelogram 41" o:spid="_x0000_s1034" type="#_x0000_t7" style="position:absolute;left:-5049;top:58176;width:76915;height:298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" adj="0" fillcolor="#548dd4 [1951]" stroked="f" strokeweight="2pt">
                      <v:fill opacity="35466f"/>
                    </v:shape>
                    <v:shape id="Parallelogram 46" o:spid="_x0000_s1035" type="#_x0000_t7" style="position:absolute;left:-5115;top:45008;width:77095;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" adj="6171" fillcolor="#002060" stroked="f" strokeweight="2pt">
                      <v:fill opacity="49087f"/>
                    </v:shape>
                    <v:rect id="Rectangle: Single Corner Snipped 229" o:spid="_x0000_s1036" style="position:absolute;left:-5115;top:-2987;width:77102;height:1005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" fillcolor="#a5a5a5 [2092]" stroked="f" strokeweight="2pt">
                      <v:fill opacity="34695f"/>
                      <v:textbox inset="122.4pt,1in">
                        <w:txbxContent>
                          <w:p w14:paraId="3F04CAEB" w14:textId="77777777" w:rsidR="00567853" w:rsidRPr="00E15436" w:rsidRDefault="00567853" w:rsidP="008767A7">
                            <w:pPr>
                              <w:pStyle w:val="1Spine"/>
                              <w:ind w:left="-2430" w:right="2350"/>
                              <w:jc w:val="left"/>
                              <w:rPr>
                                <w:rFonts w:ascii="Franklin Gothic Medium" w:hAnsi="Franklin Gothic Medium"/>
                                <w:b w:val="0"/>
                                <w:bCs/>
                                <w:color w:val="92CDDC" w:themeColor="accent5" w:themeTint="99"/>
                              </w:rPr>
                            </w:pPr>
                          </w:p>
                        </w:txbxContent>
                      </v:textbox>
                    </v:rect>
                    <v:shape id="Rectangle: Single Corner Snipped 245" o:spid="_x0000_s1037" style="position:absolute;left:-5123;top:-1650;width:77103;height:89838;flip:x;visibility:visible;mso-wrap-style:square;v-text-anchor:middle" coordsize="7710330,8983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" adj="-11796480,,5400" path="m,l7710330,r,l7710330,8983839,,8983839,,xe" fillcolor="#d8d8d8 [2732]" stroked="f" strokeweight="2pt">
                      <v:fill opacity="46517f"/>
                      <v:stroke joinstyle="miter"/>
                      <v:formulas/>
                      <v:path arrowok="t" o:connecttype="custom" o:connectlocs="0,0;7710330,0;7710330,0;7710330,8983839;0,8983839;0,0" o:connectangles="0,0,0,0,0,0" textboxrect="0,0,7710330,8983839"/>
                      <v:textbox>
                        <w:txbxContent>
                          <w:p w14:paraId="59AD7C80" w14:textId="77777777" w:rsidR="00567853" w:rsidRPr="000D0FB4" w:rsidRDefault="00567853" w:rsidP="0059414C">
                            <w:pPr>
                              <w:tabs>
                                <w:tab w:val="left" w:pos="9540"/>
                              </w:tabs>
                              <w:jc w:val="both"/>
                            </w:pPr>
                          </w:p>
                        </w:txbxContent>
                      </v:textbox>
                    </v:shape>
                    <v:shape id="AutoShape 412" o:spid="_x0000_s1038" style="position:absolute;left:9609;top:30275;width:13169;height:42632;rotation:90;visibility:visible;mso-wrap-style:square;v-text-anchor:middle" coordsize="1316830,4263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" adj="-11796480,,5400" path="m,l668607,r648223,648223l1316830,4263359,,4263359,,xe" fillcolor="#7030a0" stroked="f" strokeweight=".25pt">
                      <v:stroke joinstyle="miter"/>
                      <v:formulas/>
                      <v:path arrowok="t" o:connecttype="custom" o:connectlocs="0,0;668607,0;1316830,648223;1316830,4263359;0,4263359;0,0" o:connectangles="0,0,0,0,0,0" textboxrect="0,0,1316830,4263359"/>
                      <v:textbox inset="0,0,0,0">
                        <w:txbxContent>
                          <w:p w14:paraId="1926CF51" w14:textId="6A38125B" w:rsidR="00567853" w:rsidRPr="000F158B" w:rsidRDefault="00567853" w:rsidP="00A25317">
                            <w:pPr>
                              <w:pStyle w:val="Title"/>
                              <w:spacing w:before="0" w:after="600" w:line="276" w:lineRule="auto"/>
                              <w:ind w:left="806"/>
                              <w:contextualSpacing w:val="0"/>
                              <w:rPr>
                                <w:rFonts w:ascii="Franklin Gothic Medium" w:hAnsi="Franklin Gothic Medium" w:cs="Times New Roman (Body CS)"/>
                                <w:bCs/>
                                <w:color w:val="FFFFFF" w:themeColor="background1"/>
                                <w:spacing w:val="-8"/>
                                <w:sz w:val="32"/>
                                <w:szCs w:val="32"/>
                              </w:rPr>
                            </w:pPr>
                            <w:r w:rsidRPr="000F158B">
                              <w:rPr>
                                <w:rFonts w:ascii="Franklin Gothic Medium" w:hAnsi="Franklin Gothic Medium" w:cs="Times New Roman (Body CS)"/>
                                <w:bCs/>
                                <w:color w:val="FFFFFF" w:themeColor="background1"/>
                                <w:spacing w:val="-8"/>
                                <w:sz w:val="32"/>
                                <w:szCs w:val="32"/>
                              </w:rPr>
                              <w:t>Lisa A. Mills, Ph.D.</w:t>
                            </w:r>
                            <w:r w:rsidRPr="000F158B">
                              <w:rPr>
                                <w:rFonts w:ascii="Franklin Gothic Medium" w:hAnsi="Franklin Gothic Medium" w:cs="Times New Roman (Body CS)"/>
                                <w:bCs/>
                                <w:color w:val="FFFFFF" w:themeColor="background1"/>
                                <w:spacing w:val="-8"/>
                                <w:sz w:val="28"/>
                                <w:szCs w:val="28"/>
                              </w:rPr>
                              <w:br/>
                            </w:r>
                            <w:r w:rsidRPr="000F158B">
                              <w:rPr>
                                <w:rFonts w:ascii="Franklin Gothic Medium" w:hAnsi="Franklin Gothic Medium" w:cs="Times New Roman (Body CS)"/>
                                <w:bCs/>
                                <w:color w:val="FFFFFF" w:themeColor="background1"/>
                                <w:spacing w:val="-8"/>
                                <w:sz w:val="32"/>
                                <w:szCs w:val="32"/>
                              </w:rPr>
                              <w:t>Employment First Subject Matter Expert</w:t>
                            </w:r>
                          </w:p>
                        </w:txbxContent>
                      </v:textbox>
                    </v:shape>
                    <v:shape id="AutoShape 412" o:spid="_x0000_s1039" alt="Title of document" style="position:absolute;left:21681;top:-19552;width:23387;height:77103;rotation:90;visibility:visible;mso-wrap-style:square;v-text-anchor:middle" coordsize="2338672,7710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" adj="-11796480,,5400" path="m,l1595348,r743324,743324l2338672,7710330,,7710330,,xe" fillcolor="#431faa" stroked="f" strokeweight=".25pt">
                      <v:fill opacity="60909f"/>
                      <v:stroke joinstyle="miter"/>
                      <v:formulas/>
                      <v:path arrowok="t" o:connecttype="custom" o:connectlocs="0,0;1595348,0;2338672,743324;2338672,7710330;0,7710330;0,0" o:connectangles="0,0,0,0,0,0" textboxrect="0,0,2338672,7710330"/>
                      <v:textbox inset="0,0,0,0">
                        <w:txbxContent>
                          <w:p w14:paraId="00EC228F" w14:textId="71019005" w:rsidR="00567853" w:rsidRPr="00612907" w:rsidRDefault="00567853" w:rsidP="00D12029">
                            <w:pPr>
                              <w:pStyle w:val="1Spine"/>
                              <w:tabs>
                                <w:tab w:val="left" w:pos="9990"/>
                                <w:tab w:val="left" w:pos="10800"/>
                              </w:tabs>
                              <w:spacing w:line="276" w:lineRule="auto"/>
                              <w:ind w:left="810" w:right="-42"/>
                              <w:jc w:val="left"/>
                              <w:rPr>
                                <w:rFonts w:ascii="Franklin Gothic Medium" w:hAnsi="Franklin Gothic Medium" w:cs="Times New Roman (Body CS)"/>
                                <w:b w:val="0"/>
                                <w:bCs/>
                                <w:color w:val="FFFFFF" w:themeColor="background1"/>
                                <w:spacing w:val="20"/>
                                <w:sz w:val="40"/>
                                <w:szCs w:val="40"/>
                              </w:rPr>
                            </w:pPr>
                            <w:r w:rsidRPr="00612907">
                              <w:rPr>
                                <w:rFonts w:ascii="Franklin Gothic Medium" w:hAnsi="Franklin Gothic Medium" w:cs="Times New Roman (Body CS)"/>
                                <w:b w:val="0"/>
                                <w:bCs/>
                                <w:color w:val="FFFFFF" w:themeColor="background1"/>
                                <w:spacing w:val="20"/>
                                <w:sz w:val="40"/>
                                <w:szCs w:val="40"/>
                              </w:rPr>
                              <w:t>Value-Based Payment Methodologies to Advance</w:t>
                            </w:r>
                            <w:r w:rsidRPr="00612907">
                              <w:rPr>
                                <w:rFonts w:ascii="Franklin Gothic Medium" w:hAnsi="Franklin Gothic Medium" w:cs="Times New Roman (Body CS)"/>
                                <w:b w:val="0"/>
                                <w:bCs/>
                                <w:color w:val="FFFFFF" w:themeColor="background1"/>
                                <w:spacing w:val="20"/>
                                <w:sz w:val="40"/>
                                <w:szCs w:val="40"/>
                              </w:rPr>
                              <w:br/>
                              <w:t>Competitive Integrated Employment:</w:t>
                            </w:r>
                          </w:p>
                          <w:p w14:paraId="7DF66A0A" w14:textId="77777777" w:rsidR="00567853" w:rsidRPr="00612907" w:rsidRDefault="00567853" w:rsidP="00E34C3A">
                            <w:pPr>
                              <w:pStyle w:val="1Spine"/>
                              <w:tabs>
                                <w:tab w:val="left" w:pos="9990"/>
                                <w:tab w:val="left" w:pos="10800"/>
                              </w:tabs>
                              <w:spacing w:before="120" w:after="600" w:line="276" w:lineRule="auto"/>
                              <w:ind w:left="810" w:right="-14"/>
                              <w:jc w:val="left"/>
                              <w:rPr>
                                <w:rFonts w:ascii="Franklin Gothic Medium" w:hAnsi="Franklin Gothic Medium" w:cs="Times New Roman (Body CS)"/>
                                <w:b w:val="0"/>
                                <w:bCs/>
                                <w:i/>
                                <w:iCs/>
                                <w:color w:val="FFFFFF" w:themeColor="background1"/>
                                <w:spacing w:val="20"/>
                                <w:sz w:val="40"/>
                                <w:szCs w:val="40"/>
                              </w:rPr>
                            </w:pPr>
                            <w:r w:rsidRPr="00612907">
                              <w:rPr>
                                <w:rFonts w:ascii="Franklin Gothic Medium" w:hAnsi="Franklin Gothic Medium" w:cs="Times New Roman (Body CS)"/>
                                <w:b w:val="0"/>
                                <w:bCs/>
                                <w:i/>
                                <w:iCs/>
                                <w:color w:val="FFFFFF" w:themeColor="background1"/>
                                <w:spacing w:val="20"/>
                                <w:sz w:val="40"/>
                                <w:szCs w:val="40"/>
                              </w:rPr>
                              <w:t>A Mix of Inspiring Examples from Across the Country</w:t>
                            </w:r>
                          </w:p>
                        </w:txbxContent>
                      </v:textbox>
                    </v:shape>
                    <v:shape id="Rectangle: Single Corner Snipped 230" o:spid="_x0000_s1040" alt="Figure with text &quot;U.S. Department of Labor&#10;Office of Disability Employment&quot;&#10;" style="position:absolute;left:31050;top:55518;width:40870;height:13168;rotation:180;flip:y;visibility:visible;mso-wrap-style:square;v-text-anchor:top" coordsize="4086978,1316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" adj="-11796480,,5400" path="m,l3428610,r658368,658368l4086978,1316736,,1316736,,xe" fillcolor="#7030a0" stroked="f" strokeweight="2pt">
                      <v:stroke joinstyle="miter"/>
                      <v:formulas/>
                      <v:path arrowok="t" o:connecttype="custom" o:connectlocs="0,0;3428610,0;4086978,658368;4086978,1316736;0,1316736;0,0" o:connectangles="0,0,0,0,0,0" textboxrect="0,0,4086978,1316736"/>
                      <v:textbox inset="0,0,0,0">
                        <w:txbxContent>
                          <w:p w14:paraId="6F8E298B" w14:textId="28DD167A" w:rsidR="00567853" w:rsidRPr="000F158B" w:rsidRDefault="00567853" w:rsidP="00A25317">
                            <w:pPr>
                              <w:pStyle w:val="TabName"/>
                              <w:spacing w:before="640" w:after="0"/>
                              <w:ind w:left="900" w:right="-180"/>
                              <w:jc w:val="left"/>
                              <w:rPr>
                                <w:rFonts w:ascii="Franklin Gothic Medium" w:hAnsi="Franklin Gothic Medium" w:cs="Times New Roman (Body CS)"/>
                                <w:bCs/>
                                <w:color w:val="FFFFFF" w:themeColor="background1"/>
                                <w:spacing w:val="-8"/>
                                <w:szCs w:val="32"/>
                              </w:rPr>
                            </w:pPr>
                            <w:r w:rsidRPr="000F158B">
                              <w:rPr>
                                <w:rFonts w:ascii="Franklin Gothic Medium" w:hAnsi="Franklin Gothic Medium" w:cs="Times New Roman (Body CS)"/>
                                <w:bCs/>
                                <w:color w:val="FFFFFF" w:themeColor="background1"/>
                                <w:spacing w:val="-8"/>
                                <w:szCs w:val="32"/>
                              </w:rPr>
                              <w:t>U.S. Department of Labor</w:t>
                            </w:r>
                            <w:r w:rsidRPr="000F158B">
                              <w:rPr>
                                <w:rFonts w:ascii="Franklin Gothic Medium" w:hAnsi="Franklin Gothic Medium" w:cs="Times New Roman (Body CS)"/>
                                <w:bCs/>
                                <w:color w:val="FFFFFF" w:themeColor="background1"/>
                                <w:spacing w:val="-8"/>
                                <w:szCs w:val="32"/>
                              </w:rPr>
                              <w:br/>
                              <w:t>Office of Disability Employment Policy</w:t>
                            </w:r>
                          </w:p>
                        </w:txbxContent>
                      </v:textbox>
                    </v:shape>
                    <v:shape id="Parallelogram 44" o:spid="_x0000_s1041" type="#_x0000_t7" style="position:absolute;left:-5236;top:88237;width:77088;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" adj="2072" fillcolor="#f2f2f2 [3052]" stroked="f" strokeweight="2pt">
                      <v:textbox inset="0,0,0,0">
                        <w:txbxContent>
                          <w:p w14:paraId="35E97EAD" w14:textId="77777777" w:rsidR="00567853" w:rsidRPr="00CB0383" w:rsidRDefault="00567853" w:rsidP="002514A2">
                            <w:pPr>
                              <w:spacing w:before="0" w:after="0" w:line="240" w:lineRule="auto"/>
                              <w:ind w:right="9"/>
                              <w:jc w:val="both"/>
                              <w:rPr>
                                <w:rFonts w:ascii="Franklin Gothic Book" w:hAnsi="Franklin Gothic Book"/>
                                <w:color w:val="244061" w:themeColor="accent1" w:themeShade="80"/>
                                <w:sz w:val="18"/>
                                <w:szCs w:val="18"/>
                              </w:rPr>
                            </w:pPr>
                            <w:r w:rsidRPr="00CB0383">
                              <w:rPr>
                                <w:rFonts w:ascii="Franklin Gothic Book" w:hAnsi="Franklin Gothic Book"/>
                                <w:color w:val="244061" w:themeColor="accent1" w:themeShade="80"/>
                                <w:sz w:val="18"/>
                                <w:szCs w:val="18"/>
                              </w:rPr>
                              <w:t>Disclaimer: This document was funded by the U.S. Department of Labor (DOL) Office of Disability Employment Policy (ODEP) to Economic Systems Inc. (EconSys) under Contract No. DOL-OPS-14-D-005; Order No. 1605DC-18-F-00315. The views expressed are those of the author and should not be attributed to DOL, nor does mention of trade names, commercial products, or organizations imply endorsement by the U.S. Government.</w:t>
                            </w:r>
                          </w:p>
                        </w:txbxContent>
                      </v:textbox>
                    </v:shape>
                  </v:group>
                  <v:shape id="AutoShape 412" o:spid="_x0000_s1042" style="position:absolute;left:63972;top:75268;width:5444;height:11888;rotation:90;visibility:visible;mso-wrap-style:square;v-text-anchor:middle" coordsize="604191,17839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" adj="-11796480,,5400" path="m,l604171,v155,494118,-612,1289860,-457,1783978c606178,1779144,618479,1781173,6545,1783080,4363,1188720,2182,594360,,xe" fillcolor="#431faa" stroked="f" strokeweight=".25pt">
                    <v:fill opacity="56283f"/>
                    <v:stroke joinstyle="miter"/>
                    <v:formulas/>
                    <v:path arrowok="t" o:connecttype="custom" o:connectlocs="0,0;544457,0;544045,1188720;5898,1188122;0,0" o:connectangles="0,0,0,0,0" textboxrect="0,0,604191,1783978"/>
                    <v:textbox inset="0,0,0,0">
                      <w:txbxContent>
                        <w:p w14:paraId="0637E67A" w14:textId="3E46339B" w:rsidR="00567853" w:rsidRPr="0076179A" w:rsidRDefault="00567853" w:rsidP="00A10743">
                          <w:pPr>
                            <w:pStyle w:val="Title"/>
                            <w:spacing w:before="0" w:line="276" w:lineRule="auto"/>
                            <w:ind w:right="-23"/>
                            <w:jc w:val="center"/>
                            <w:rPr>
                              <w:rFonts w:ascii="Franklin Gothic Medium" w:hAnsi="Franklin Gothic Medium" w:cs="Times New Roman (Body CS)"/>
                              <w:bCs/>
                              <w:caps/>
                              <w:spacing w:val="0"/>
                              <w:sz w:val="32"/>
                              <w:szCs w:val="32"/>
                            </w:rPr>
                          </w:pPr>
                          <w:r>
                            <w:rPr>
                              <w:rFonts w:ascii="Franklin Gothic Medium" w:hAnsi="Franklin Gothic Medium" w:cs="Times New Roman (Body CS)"/>
                              <w:bCs/>
                              <w:color w:val="FFFFFF" w:themeColor="background1"/>
                              <w:spacing w:val="0"/>
                              <w:sz w:val="32"/>
                              <w:szCs w:val="32"/>
                            </w:rPr>
                            <w:t>April 2021</w:t>
                          </w:r>
                        </w:p>
                      </w:txbxContent>
                    </v:textbox>
                  </v:shape>
                </v:group>
                <v:group id="Group 8" o:spid="_x0000_s1043" style="position:absolute;left:341;top:8913;width:77544;height:90775" coordorigin="341,2690" coordsize="77544,9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Single Corner Snipped 230" o:spid="_x0000_s1044" style="position:absolute;left:341;top:2690;width:77520;height:1265;rotation:1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" fillcolor="#4353ff" stroked="f" strokeweight="2pt">
                    <v:fill opacity="41377f"/>
                    <v:textbox inset="0,21.6pt,0,0">
                      <w:txbxContent>
                        <w:p w14:paraId="62E3A973" w14:textId="77777777" w:rsidR="00567853" w:rsidRPr="00DC4F4E" w:rsidRDefault="00567853" w:rsidP="002A699B">
                          <w:pPr>
                            <w:pStyle w:val="Title"/>
                            <w:spacing w:before="480"/>
                            <w:rPr>
                              <w:rFonts w:ascii="Franklin Gothic Medium" w:hAnsi="Franklin Gothic Medium" w:cs="Times New Roman (Body CS)"/>
                              <w:bCs/>
                              <w:caps/>
                              <w:sz w:val="32"/>
                              <w:szCs w:val="32"/>
                            </w:rPr>
                          </w:pPr>
                        </w:p>
                      </w:txbxContent>
                    </v:textbox>
                  </v:rect>
                  <v:rect id="Rectangle: Single Corner Snipped 230" o:spid="_x0000_s1045" style="position:absolute;left:365;top:92376;width:77520;height:1089;rotation:180;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" fillcolor="#548dd4 [1951]" stroked="f" strokeweight="2pt">
                    <v:fill opacity="42662f"/>
                    <v:textbox inset="0,0,0,0">
                      <w:txbxContent>
                        <w:p w14:paraId="52E890B8" w14:textId="043B7565" w:rsidR="00567853" w:rsidRPr="00DC4F4E" w:rsidRDefault="00567853" w:rsidP="00DF7DAB">
                          <w:pPr>
                            <w:pStyle w:val="Title"/>
                            <w:spacing w:before="480"/>
                            <w:rPr>
                              <w:rFonts w:ascii="Franklin Gothic Medium" w:hAnsi="Franklin Gothic Medium" w:cs="Times New Roman (Body CS)"/>
                              <w:bCs/>
                              <w:caps/>
                              <w:sz w:val="32"/>
                              <w:szCs w:val="32"/>
                            </w:rPr>
                          </w:pPr>
                          <w:r>
                            <w:rPr>
                              <w:rFonts w:ascii="Franklin Gothic Medium" w:hAnsi="Franklin Gothic Medium" w:cs="Times New Roman (Body CS)"/>
                              <w:bCs/>
                              <w:caps/>
                              <w:sz w:val="32"/>
                              <w:szCs w:val="32"/>
                            </w:rPr>
                            <w:t>.</w:t>
                          </w:r>
                        </w:p>
                      </w:txbxContent>
                    </v:textbox>
                  </v:rect>
                </v:group>
              </v:group>
            </w:pict>
          </mc:Fallback>
        </mc:AlternateContent>
      </w:r>
    </w:p>
    <w:p w14:paraId="25843390" w14:textId="19A4BF48" w:rsidR="00CC092A" w:rsidRDefault="00CC092A" w:rsidP="00BE4AA8">
      <w:pPr>
        <w:rPr>
          <w:lang w:bidi="en-US"/>
        </w:rPr>
        <w:sectPr w:rsidR="00CC092A" w:rsidSect="00567853">
          <w:footerReference w:type="default" r:id="rId11"/>
          <w:footerReference w:type="first" r:id="rId12"/>
          <w:type w:val="continuous"/>
          <w:pgSz w:w="12240" w:h="15840"/>
          <w:pgMar w:top="522" w:right="0" w:bottom="0" w:left="0" w:header="0" w:footer="0" w:gutter="0"/>
          <w:pgNumType w:fmt="lowerRoman" w:start="1"/>
          <w:cols w:space="720"/>
          <w:titlePg/>
          <w:docGrid w:linePitch="360"/>
        </w:sectPr>
      </w:pPr>
    </w:p>
    <w:sdt>
      <w:sdtPr>
        <w:rPr>
          <w:rFonts w:ascii="Franklin Gothic Book" w:eastAsiaTheme="minorHAnsi" w:hAnsi="Franklin Gothic Book" w:cs="Times New Roman"/>
          <w:b w:val="0"/>
          <w:bCs w:val="0"/>
          <w:color w:val="404040" w:themeColor="text1" w:themeTint="BF"/>
          <w:spacing w:val="20"/>
          <w:sz w:val="28"/>
          <w:szCs w:val="28"/>
          <w:lang w:bidi="ar-SA"/>
        </w:rPr>
        <w:id w:val="140005290"/>
        <w:docPartObj>
          <w:docPartGallery w:val="Table of Contents"/>
          <w:docPartUnique/>
        </w:docPartObj>
      </w:sdtPr>
      <w:sdtEndPr>
        <w:rPr>
          <w:rFonts w:ascii="Trebuchet MS" w:hAnsi="Trebuchet MS"/>
          <w:noProof/>
          <w:spacing w:val="0"/>
          <w:sz w:val="20"/>
          <w:szCs w:val="20"/>
        </w:rPr>
      </w:sdtEndPr>
      <w:sdtContent>
        <w:p w14:paraId="4927770E" w14:textId="1FF23CB5" w:rsidR="004667DF" w:rsidRPr="00AF07D6" w:rsidRDefault="004667DF" w:rsidP="00B510BC">
          <w:pPr>
            <w:pStyle w:val="TOCHeading"/>
            <w:tabs>
              <w:tab w:val="clear" w:pos="0"/>
            </w:tabs>
            <w:spacing w:before="360"/>
            <w:ind w:left="0"/>
            <w:rPr>
              <w:rFonts w:ascii="Franklin Gothic Book" w:hAnsi="Franklin Gothic Book"/>
              <w:spacing w:val="20"/>
              <w:sz w:val="28"/>
              <w:szCs w:val="28"/>
            </w:rPr>
          </w:pPr>
          <w:r w:rsidRPr="00AF07D6">
            <w:rPr>
              <w:rFonts w:ascii="Franklin Gothic Book" w:hAnsi="Franklin Gothic Book"/>
              <w:spacing w:val="20"/>
              <w:sz w:val="28"/>
              <w:szCs w:val="28"/>
            </w:rPr>
            <w:t>Table of Contents</w:t>
          </w:r>
        </w:p>
        <w:p w14:paraId="1170A805" w14:textId="3163D6C3" w:rsidR="0031746E" w:rsidRDefault="004667DF" w:rsidP="004A1A20">
          <w:pPr>
            <w:pStyle w:val="TOC1"/>
            <w:rPr>
              <w:rFonts w:eastAsiaTheme="minorEastAsia" w:cstheme="minorBidi"/>
              <w:color w:val="auto"/>
            </w:rPr>
          </w:pPr>
          <w:r>
            <w:fldChar w:fldCharType="begin"/>
          </w:r>
          <w:r>
            <w:instrText xml:space="preserve"> TOC \o "1-3" \h \z \u </w:instrText>
          </w:r>
          <w:r>
            <w:fldChar w:fldCharType="separate"/>
          </w:r>
          <w:hyperlink w:anchor="_Toc70944154" w:history="1">
            <w:r w:rsidR="0031746E" w:rsidRPr="001F5254">
              <w:rPr>
                <w:rStyle w:val="Hyperlink"/>
              </w:rPr>
              <w:t>Foreword</w:t>
            </w:r>
            <w:r w:rsidR="0031746E">
              <w:rPr>
                <w:webHidden/>
              </w:rPr>
              <w:tab/>
            </w:r>
            <w:r w:rsidR="0031746E">
              <w:rPr>
                <w:webHidden/>
              </w:rPr>
              <w:fldChar w:fldCharType="begin"/>
            </w:r>
            <w:r w:rsidR="0031746E">
              <w:rPr>
                <w:webHidden/>
              </w:rPr>
              <w:instrText xml:space="preserve"> PAGEREF _Toc70944154 \h </w:instrText>
            </w:r>
            <w:r w:rsidR="0031746E">
              <w:rPr>
                <w:webHidden/>
              </w:rPr>
            </w:r>
            <w:r w:rsidR="0031746E">
              <w:rPr>
                <w:webHidden/>
              </w:rPr>
              <w:fldChar w:fldCharType="separate"/>
            </w:r>
            <w:r w:rsidR="0031746E">
              <w:rPr>
                <w:webHidden/>
              </w:rPr>
              <w:t>iv</w:t>
            </w:r>
            <w:r w:rsidR="0031746E">
              <w:rPr>
                <w:webHidden/>
              </w:rPr>
              <w:fldChar w:fldCharType="end"/>
            </w:r>
          </w:hyperlink>
        </w:p>
        <w:p w14:paraId="29EA723A" w14:textId="111E7CEA" w:rsidR="0031746E" w:rsidRPr="00DB3940" w:rsidRDefault="00B66EB7" w:rsidP="004A1A20">
          <w:pPr>
            <w:pStyle w:val="TOC1"/>
          </w:pPr>
          <w:hyperlink w:anchor="_Toc70944155" w:history="1">
            <w:r w:rsidR="0031746E" w:rsidRPr="00454020">
              <w:rPr>
                <w:rStyle w:val="Hyperlink"/>
                <w14:scene3d>
                  <w14:camera w14:prst="orthographicFront"/>
                  <w14:lightRig w14:rig="threePt" w14:dir="t">
                    <w14:rot w14:lat="0" w14:lon="0" w14:rev="0"/>
                  </w14:lightRig>
                </w14:scene3d>
              </w:rPr>
              <w:t>I.</w:t>
            </w:r>
            <w:r w:rsidR="0031746E" w:rsidRPr="00454020">
              <w:rPr>
                <w:rFonts w:eastAsiaTheme="minorEastAsia" w:cstheme="minorBidi"/>
                <w:color w:val="auto"/>
              </w:rPr>
              <w:tab/>
            </w:r>
            <w:r w:rsidR="0031746E" w:rsidRPr="00454020">
              <w:rPr>
                <w:rStyle w:val="Hyperlink"/>
              </w:rPr>
              <w:t>Introduction</w:t>
            </w:r>
            <w:r w:rsidR="0031746E" w:rsidRPr="00454020">
              <w:rPr>
                <w:webHidden/>
              </w:rPr>
              <w:tab/>
            </w:r>
            <w:r w:rsidR="0031746E" w:rsidRPr="00454020">
              <w:rPr>
                <w:webHidden/>
              </w:rPr>
              <w:fldChar w:fldCharType="begin"/>
            </w:r>
            <w:r w:rsidR="0031746E" w:rsidRPr="00454020">
              <w:rPr>
                <w:webHidden/>
              </w:rPr>
              <w:instrText xml:space="preserve"> PAGEREF _Toc70944155 \h </w:instrText>
            </w:r>
            <w:r w:rsidR="0031746E" w:rsidRPr="00454020">
              <w:rPr>
                <w:webHidden/>
              </w:rPr>
            </w:r>
            <w:r w:rsidR="0031746E" w:rsidRPr="00454020">
              <w:rPr>
                <w:webHidden/>
              </w:rPr>
              <w:fldChar w:fldCharType="separate"/>
            </w:r>
            <w:r w:rsidR="0031746E" w:rsidRPr="00454020">
              <w:rPr>
                <w:webHidden/>
              </w:rPr>
              <w:t>1</w:t>
            </w:r>
            <w:r w:rsidR="0031746E" w:rsidRPr="00454020">
              <w:rPr>
                <w:webHidden/>
              </w:rPr>
              <w:fldChar w:fldCharType="end"/>
            </w:r>
          </w:hyperlink>
        </w:p>
        <w:p w14:paraId="222CED92" w14:textId="6E77EDCA" w:rsidR="0031746E" w:rsidRPr="00B510BC" w:rsidRDefault="00B66EB7" w:rsidP="00634408">
          <w:pPr>
            <w:pStyle w:val="TOC2"/>
          </w:pPr>
          <w:hyperlink w:anchor="_Toc70944156" w:history="1">
            <w:r w:rsidR="0031746E" w:rsidRPr="001F5254">
              <w:rPr>
                <w:rStyle w:val="Hyperlink"/>
              </w:rPr>
              <w:t>Why This Guide Was Created</w:t>
            </w:r>
            <w:r w:rsidR="0031746E">
              <w:rPr>
                <w:webHidden/>
              </w:rPr>
              <w:tab/>
            </w:r>
            <w:r w:rsidR="0031746E">
              <w:rPr>
                <w:webHidden/>
              </w:rPr>
              <w:fldChar w:fldCharType="begin"/>
            </w:r>
            <w:r w:rsidR="0031746E">
              <w:rPr>
                <w:webHidden/>
              </w:rPr>
              <w:instrText xml:space="preserve"> PAGEREF _Toc70944156 \h </w:instrText>
            </w:r>
            <w:r w:rsidR="0031746E">
              <w:rPr>
                <w:webHidden/>
              </w:rPr>
            </w:r>
            <w:r w:rsidR="0031746E">
              <w:rPr>
                <w:webHidden/>
              </w:rPr>
              <w:fldChar w:fldCharType="separate"/>
            </w:r>
            <w:r w:rsidR="0031746E">
              <w:rPr>
                <w:webHidden/>
              </w:rPr>
              <w:t>1</w:t>
            </w:r>
            <w:r w:rsidR="0031746E">
              <w:rPr>
                <w:webHidden/>
              </w:rPr>
              <w:fldChar w:fldCharType="end"/>
            </w:r>
          </w:hyperlink>
        </w:p>
        <w:p w14:paraId="30A2ACFE" w14:textId="6FBE34EB" w:rsidR="0031746E" w:rsidRDefault="00B66EB7" w:rsidP="00634408">
          <w:pPr>
            <w:pStyle w:val="TOC2"/>
            <w:rPr>
              <w:rFonts w:eastAsiaTheme="minorEastAsia" w:cstheme="minorBidi"/>
              <w:color w:val="auto"/>
              <w:sz w:val="24"/>
              <w:szCs w:val="24"/>
            </w:rPr>
          </w:pPr>
          <w:hyperlink w:anchor="_Toc70944157" w:history="1">
            <w:r w:rsidR="0031746E" w:rsidRPr="001F5254">
              <w:rPr>
                <w:rStyle w:val="Hyperlink"/>
              </w:rPr>
              <w:t>Disclaimers</w:t>
            </w:r>
            <w:r w:rsidR="0031746E">
              <w:rPr>
                <w:webHidden/>
              </w:rPr>
              <w:tab/>
            </w:r>
            <w:r w:rsidR="0031746E">
              <w:rPr>
                <w:webHidden/>
              </w:rPr>
              <w:fldChar w:fldCharType="begin"/>
            </w:r>
            <w:r w:rsidR="0031746E">
              <w:rPr>
                <w:webHidden/>
              </w:rPr>
              <w:instrText xml:space="preserve"> PAGEREF _Toc70944157 \h </w:instrText>
            </w:r>
            <w:r w:rsidR="0031746E">
              <w:rPr>
                <w:webHidden/>
              </w:rPr>
            </w:r>
            <w:r w:rsidR="0031746E">
              <w:rPr>
                <w:webHidden/>
              </w:rPr>
              <w:fldChar w:fldCharType="separate"/>
            </w:r>
            <w:r w:rsidR="0031746E">
              <w:rPr>
                <w:webHidden/>
              </w:rPr>
              <w:t>3</w:t>
            </w:r>
            <w:r w:rsidR="0031746E">
              <w:rPr>
                <w:webHidden/>
              </w:rPr>
              <w:fldChar w:fldCharType="end"/>
            </w:r>
          </w:hyperlink>
        </w:p>
        <w:p w14:paraId="6BD35387" w14:textId="4E941039" w:rsidR="0031746E" w:rsidRDefault="00B66EB7" w:rsidP="00634408">
          <w:pPr>
            <w:pStyle w:val="TOC2"/>
            <w:rPr>
              <w:rFonts w:eastAsiaTheme="minorEastAsia" w:cstheme="minorBidi"/>
              <w:color w:val="auto"/>
              <w:sz w:val="24"/>
              <w:szCs w:val="24"/>
            </w:rPr>
          </w:pPr>
          <w:hyperlink w:anchor="_Toc70944158" w:history="1">
            <w:r w:rsidR="0031746E" w:rsidRPr="001F5254">
              <w:rPr>
                <w:rStyle w:val="Hyperlink"/>
              </w:rPr>
              <w:t>Recommendations for Making Best Use of this Guide</w:t>
            </w:r>
            <w:r w:rsidR="0031746E">
              <w:rPr>
                <w:webHidden/>
              </w:rPr>
              <w:tab/>
            </w:r>
            <w:r w:rsidR="0031746E">
              <w:rPr>
                <w:webHidden/>
              </w:rPr>
              <w:fldChar w:fldCharType="begin"/>
            </w:r>
            <w:r w:rsidR="0031746E">
              <w:rPr>
                <w:webHidden/>
              </w:rPr>
              <w:instrText xml:space="preserve"> PAGEREF _Toc70944158 \h </w:instrText>
            </w:r>
            <w:r w:rsidR="0031746E">
              <w:rPr>
                <w:webHidden/>
              </w:rPr>
            </w:r>
            <w:r w:rsidR="0031746E">
              <w:rPr>
                <w:webHidden/>
              </w:rPr>
              <w:fldChar w:fldCharType="separate"/>
            </w:r>
            <w:r w:rsidR="0031746E">
              <w:rPr>
                <w:webHidden/>
              </w:rPr>
              <w:t>4</w:t>
            </w:r>
            <w:r w:rsidR="0031746E">
              <w:rPr>
                <w:webHidden/>
              </w:rPr>
              <w:fldChar w:fldCharType="end"/>
            </w:r>
          </w:hyperlink>
        </w:p>
        <w:p w14:paraId="25385848" w14:textId="067CB95C" w:rsidR="0031746E" w:rsidRPr="00454020" w:rsidRDefault="00B66EB7" w:rsidP="004A1A20">
          <w:pPr>
            <w:pStyle w:val="TOC1"/>
            <w:rPr>
              <w:rFonts w:eastAsiaTheme="minorEastAsia" w:cstheme="minorBidi"/>
              <w:color w:val="auto"/>
            </w:rPr>
          </w:pPr>
          <w:hyperlink w:anchor="_Toc70944159" w:history="1">
            <w:r w:rsidR="0031746E" w:rsidRPr="00454020">
              <w:rPr>
                <w:rStyle w:val="Hyperlink"/>
                <w14:scene3d>
                  <w14:camera w14:prst="orthographicFront"/>
                  <w14:lightRig w14:rig="threePt" w14:dir="t">
                    <w14:rot w14:lat="0" w14:lon="0" w14:rev="0"/>
                  </w14:lightRig>
                </w14:scene3d>
              </w:rPr>
              <w:t>II.</w:t>
            </w:r>
            <w:r w:rsidR="0031746E" w:rsidRPr="00454020">
              <w:rPr>
                <w:rFonts w:eastAsiaTheme="minorEastAsia" w:cstheme="minorBidi"/>
                <w:color w:val="auto"/>
              </w:rPr>
              <w:tab/>
            </w:r>
            <w:r w:rsidR="0031746E" w:rsidRPr="00454020">
              <w:rPr>
                <w:rStyle w:val="Hyperlink"/>
              </w:rPr>
              <w:t>The Role of Funding Models in Advancing Competitive Integrated Employment and Employment First Systems Change</w:t>
            </w:r>
            <w:r w:rsidR="0031746E" w:rsidRPr="00454020">
              <w:rPr>
                <w:webHidden/>
              </w:rPr>
              <w:tab/>
            </w:r>
            <w:r w:rsidR="0031746E" w:rsidRPr="00454020">
              <w:rPr>
                <w:webHidden/>
              </w:rPr>
              <w:fldChar w:fldCharType="begin"/>
            </w:r>
            <w:r w:rsidR="0031746E" w:rsidRPr="00454020">
              <w:rPr>
                <w:webHidden/>
              </w:rPr>
              <w:instrText xml:space="preserve"> PAGEREF _Toc70944159 \h </w:instrText>
            </w:r>
            <w:r w:rsidR="0031746E" w:rsidRPr="00454020">
              <w:rPr>
                <w:webHidden/>
              </w:rPr>
            </w:r>
            <w:r w:rsidR="0031746E" w:rsidRPr="00454020">
              <w:rPr>
                <w:webHidden/>
              </w:rPr>
              <w:fldChar w:fldCharType="separate"/>
            </w:r>
            <w:r w:rsidR="0031746E" w:rsidRPr="00454020">
              <w:rPr>
                <w:webHidden/>
              </w:rPr>
              <w:t>5</w:t>
            </w:r>
            <w:r w:rsidR="0031746E" w:rsidRPr="00454020">
              <w:rPr>
                <w:webHidden/>
              </w:rPr>
              <w:fldChar w:fldCharType="end"/>
            </w:r>
          </w:hyperlink>
        </w:p>
        <w:p w14:paraId="7D9F8DE8" w14:textId="053F7BEB" w:rsidR="0031746E" w:rsidRPr="009C0857" w:rsidRDefault="00B66EB7" w:rsidP="00634408">
          <w:pPr>
            <w:pStyle w:val="TOC2"/>
          </w:pPr>
          <w:hyperlink w:anchor="_Toc70944160" w:history="1">
            <w:r w:rsidR="0031746E" w:rsidRPr="001F5254">
              <w:rPr>
                <w:rStyle w:val="Hyperlink"/>
              </w:rPr>
              <w:t>Common Funding Challenges Inhibiting Growth of Competitive Integrated Employment Services and Outcomes for People with Disabilities</w:t>
            </w:r>
            <w:r w:rsidR="0031746E">
              <w:rPr>
                <w:webHidden/>
              </w:rPr>
              <w:tab/>
            </w:r>
            <w:r w:rsidR="0031746E">
              <w:rPr>
                <w:webHidden/>
              </w:rPr>
              <w:fldChar w:fldCharType="begin"/>
            </w:r>
            <w:r w:rsidR="0031746E">
              <w:rPr>
                <w:webHidden/>
              </w:rPr>
              <w:instrText xml:space="preserve"> PAGEREF _Toc70944160 \h </w:instrText>
            </w:r>
            <w:r w:rsidR="0031746E">
              <w:rPr>
                <w:webHidden/>
              </w:rPr>
            </w:r>
            <w:r w:rsidR="0031746E">
              <w:rPr>
                <w:webHidden/>
              </w:rPr>
              <w:fldChar w:fldCharType="separate"/>
            </w:r>
            <w:r w:rsidR="0031746E">
              <w:rPr>
                <w:webHidden/>
              </w:rPr>
              <w:t>8</w:t>
            </w:r>
            <w:r w:rsidR="0031746E">
              <w:rPr>
                <w:webHidden/>
              </w:rPr>
              <w:fldChar w:fldCharType="end"/>
            </w:r>
          </w:hyperlink>
        </w:p>
        <w:p w14:paraId="6D13EF9F" w14:textId="40CD4B83" w:rsidR="0031746E" w:rsidRDefault="00B66EB7" w:rsidP="00634408">
          <w:pPr>
            <w:pStyle w:val="TOC2"/>
            <w:rPr>
              <w:rFonts w:eastAsiaTheme="minorEastAsia" w:cstheme="minorBidi"/>
              <w:color w:val="auto"/>
              <w:sz w:val="24"/>
              <w:szCs w:val="24"/>
            </w:rPr>
          </w:pPr>
          <w:hyperlink w:anchor="_Toc70944161" w:history="1">
            <w:r w:rsidR="0031746E" w:rsidRPr="001F5254">
              <w:rPr>
                <w:rStyle w:val="Hyperlink"/>
              </w:rPr>
              <w:t>The Rise of Value-Based Purchasing in Publicly Funded Services</w:t>
            </w:r>
            <w:r w:rsidR="0031746E">
              <w:rPr>
                <w:webHidden/>
              </w:rPr>
              <w:tab/>
            </w:r>
            <w:r w:rsidR="0031746E">
              <w:rPr>
                <w:webHidden/>
              </w:rPr>
              <w:fldChar w:fldCharType="begin"/>
            </w:r>
            <w:r w:rsidR="0031746E">
              <w:rPr>
                <w:webHidden/>
              </w:rPr>
              <w:instrText xml:space="preserve"> PAGEREF _Toc70944161 \h </w:instrText>
            </w:r>
            <w:r w:rsidR="0031746E">
              <w:rPr>
                <w:webHidden/>
              </w:rPr>
            </w:r>
            <w:r w:rsidR="0031746E">
              <w:rPr>
                <w:webHidden/>
              </w:rPr>
              <w:fldChar w:fldCharType="separate"/>
            </w:r>
            <w:r w:rsidR="0031746E">
              <w:rPr>
                <w:webHidden/>
              </w:rPr>
              <w:t>10</w:t>
            </w:r>
            <w:r w:rsidR="0031746E">
              <w:rPr>
                <w:webHidden/>
              </w:rPr>
              <w:fldChar w:fldCharType="end"/>
            </w:r>
          </w:hyperlink>
        </w:p>
        <w:p w14:paraId="30DC87CC" w14:textId="538C76BC" w:rsidR="0031746E" w:rsidRDefault="00B66EB7" w:rsidP="00634408">
          <w:pPr>
            <w:pStyle w:val="TOC2"/>
            <w:rPr>
              <w:rFonts w:eastAsiaTheme="minorEastAsia" w:cstheme="minorBidi"/>
              <w:color w:val="auto"/>
              <w:sz w:val="24"/>
              <w:szCs w:val="24"/>
            </w:rPr>
          </w:pPr>
          <w:hyperlink w:anchor="_Toc70944162" w:history="1">
            <w:r w:rsidR="0031746E" w:rsidRPr="001F5254">
              <w:rPr>
                <w:rStyle w:val="Hyperlink"/>
              </w:rPr>
              <w:t>The Utility of Value-Based Purchasing in Advancing Competitive Integrated Employment and Employment First Systems Change</w:t>
            </w:r>
            <w:r w:rsidR="0031746E">
              <w:rPr>
                <w:webHidden/>
              </w:rPr>
              <w:tab/>
            </w:r>
            <w:r w:rsidR="0031746E">
              <w:rPr>
                <w:webHidden/>
              </w:rPr>
              <w:fldChar w:fldCharType="begin"/>
            </w:r>
            <w:r w:rsidR="0031746E">
              <w:rPr>
                <w:webHidden/>
              </w:rPr>
              <w:instrText xml:space="preserve"> PAGEREF _Toc70944162 \h </w:instrText>
            </w:r>
            <w:r w:rsidR="0031746E">
              <w:rPr>
                <w:webHidden/>
              </w:rPr>
            </w:r>
            <w:r w:rsidR="0031746E">
              <w:rPr>
                <w:webHidden/>
              </w:rPr>
              <w:fldChar w:fldCharType="separate"/>
            </w:r>
            <w:r w:rsidR="0031746E">
              <w:rPr>
                <w:webHidden/>
              </w:rPr>
              <w:t>11</w:t>
            </w:r>
            <w:r w:rsidR="0031746E">
              <w:rPr>
                <w:webHidden/>
              </w:rPr>
              <w:fldChar w:fldCharType="end"/>
            </w:r>
          </w:hyperlink>
        </w:p>
        <w:p w14:paraId="17525948" w14:textId="071B7468" w:rsidR="0031746E" w:rsidRPr="009C0857" w:rsidRDefault="00B66EB7" w:rsidP="00634408">
          <w:pPr>
            <w:pStyle w:val="TOC2"/>
          </w:pPr>
          <w:hyperlink w:anchor="_Toc70944163" w:history="1">
            <w:r w:rsidR="0031746E" w:rsidRPr="001F5254">
              <w:rPr>
                <w:rStyle w:val="Hyperlink"/>
              </w:rPr>
              <w:t>Many Systems, Many Approaches, Many Opportunities for Innovation</w:t>
            </w:r>
            <w:r w:rsidR="0031746E">
              <w:rPr>
                <w:webHidden/>
              </w:rPr>
              <w:tab/>
            </w:r>
            <w:r w:rsidR="0031746E">
              <w:rPr>
                <w:webHidden/>
              </w:rPr>
              <w:fldChar w:fldCharType="begin"/>
            </w:r>
            <w:r w:rsidR="0031746E">
              <w:rPr>
                <w:webHidden/>
              </w:rPr>
              <w:instrText xml:space="preserve"> PAGEREF _Toc70944163 \h </w:instrText>
            </w:r>
            <w:r w:rsidR="0031746E">
              <w:rPr>
                <w:webHidden/>
              </w:rPr>
            </w:r>
            <w:r w:rsidR="0031746E">
              <w:rPr>
                <w:webHidden/>
              </w:rPr>
              <w:fldChar w:fldCharType="separate"/>
            </w:r>
            <w:r w:rsidR="0031746E">
              <w:rPr>
                <w:webHidden/>
              </w:rPr>
              <w:t>15</w:t>
            </w:r>
            <w:r w:rsidR="0031746E">
              <w:rPr>
                <w:webHidden/>
              </w:rPr>
              <w:fldChar w:fldCharType="end"/>
            </w:r>
          </w:hyperlink>
        </w:p>
        <w:p w14:paraId="4D37CD29" w14:textId="0DEC9E2A" w:rsidR="0031746E" w:rsidRPr="00454020" w:rsidRDefault="00B66EB7" w:rsidP="004A1A20">
          <w:pPr>
            <w:pStyle w:val="TOC1"/>
            <w:rPr>
              <w:rFonts w:eastAsiaTheme="minorEastAsia" w:cstheme="minorBidi"/>
              <w:color w:val="auto"/>
            </w:rPr>
          </w:pPr>
          <w:hyperlink w:anchor="_Toc70944164" w:history="1">
            <w:r w:rsidR="0031746E" w:rsidRPr="00454020">
              <w:rPr>
                <w:rStyle w:val="Hyperlink"/>
                <w14:scene3d>
                  <w14:camera w14:prst="orthographicFront"/>
                  <w14:lightRig w14:rig="threePt" w14:dir="t">
                    <w14:rot w14:lat="0" w14:lon="0" w14:rev="0"/>
                  </w14:lightRig>
                </w14:scene3d>
              </w:rPr>
              <w:t>III.</w:t>
            </w:r>
            <w:r w:rsidR="0031746E" w:rsidRPr="00454020">
              <w:rPr>
                <w:rFonts w:eastAsiaTheme="minorEastAsia" w:cstheme="minorBidi"/>
                <w:color w:val="auto"/>
              </w:rPr>
              <w:tab/>
            </w:r>
            <w:r w:rsidR="0031746E" w:rsidRPr="00454020">
              <w:rPr>
                <w:rStyle w:val="Hyperlink"/>
              </w:rPr>
              <w:t>Designing and Implementing New Reimbursement Methodologies and Restructuring Reimbursement Rates to Advance Competitive Integrated Employment and Employment First: Lessons Learned on Process</w:t>
            </w:r>
            <w:r w:rsidR="0031746E" w:rsidRPr="00454020">
              <w:rPr>
                <w:webHidden/>
              </w:rPr>
              <w:tab/>
            </w:r>
            <w:r w:rsidR="0031746E" w:rsidRPr="00454020">
              <w:rPr>
                <w:webHidden/>
              </w:rPr>
              <w:fldChar w:fldCharType="begin"/>
            </w:r>
            <w:r w:rsidR="0031746E" w:rsidRPr="00454020">
              <w:rPr>
                <w:webHidden/>
              </w:rPr>
              <w:instrText xml:space="preserve"> PAGEREF _Toc70944164 \h </w:instrText>
            </w:r>
            <w:r w:rsidR="0031746E" w:rsidRPr="00454020">
              <w:rPr>
                <w:webHidden/>
              </w:rPr>
            </w:r>
            <w:r w:rsidR="0031746E" w:rsidRPr="00454020">
              <w:rPr>
                <w:webHidden/>
              </w:rPr>
              <w:fldChar w:fldCharType="separate"/>
            </w:r>
            <w:r w:rsidR="0031746E" w:rsidRPr="00454020">
              <w:rPr>
                <w:webHidden/>
              </w:rPr>
              <w:t>15</w:t>
            </w:r>
            <w:r w:rsidR="0031746E" w:rsidRPr="00454020">
              <w:rPr>
                <w:webHidden/>
              </w:rPr>
              <w:fldChar w:fldCharType="end"/>
            </w:r>
          </w:hyperlink>
        </w:p>
        <w:p w14:paraId="70C68BF6" w14:textId="25853BE8" w:rsidR="0031746E" w:rsidRDefault="00B66EB7" w:rsidP="00634408">
          <w:pPr>
            <w:pStyle w:val="TOC2"/>
            <w:rPr>
              <w:rFonts w:eastAsiaTheme="minorEastAsia" w:cstheme="minorBidi"/>
              <w:color w:val="auto"/>
              <w:sz w:val="24"/>
              <w:szCs w:val="24"/>
            </w:rPr>
          </w:pPr>
          <w:hyperlink w:anchor="_Toc70944165" w:history="1">
            <w:r w:rsidR="0031746E" w:rsidRPr="001F5254">
              <w:rPr>
                <w:rStyle w:val="Hyperlink"/>
              </w:rPr>
              <w:t>Introduction</w:t>
            </w:r>
            <w:r w:rsidR="0031746E">
              <w:rPr>
                <w:webHidden/>
              </w:rPr>
              <w:tab/>
            </w:r>
            <w:r w:rsidR="0031746E">
              <w:rPr>
                <w:webHidden/>
              </w:rPr>
              <w:fldChar w:fldCharType="begin"/>
            </w:r>
            <w:r w:rsidR="0031746E">
              <w:rPr>
                <w:webHidden/>
              </w:rPr>
              <w:instrText xml:space="preserve"> PAGEREF _Toc70944165 \h </w:instrText>
            </w:r>
            <w:r w:rsidR="0031746E">
              <w:rPr>
                <w:webHidden/>
              </w:rPr>
            </w:r>
            <w:r w:rsidR="0031746E">
              <w:rPr>
                <w:webHidden/>
              </w:rPr>
              <w:fldChar w:fldCharType="separate"/>
            </w:r>
            <w:r w:rsidR="0031746E">
              <w:rPr>
                <w:webHidden/>
              </w:rPr>
              <w:t>15</w:t>
            </w:r>
            <w:r w:rsidR="0031746E">
              <w:rPr>
                <w:webHidden/>
              </w:rPr>
              <w:fldChar w:fldCharType="end"/>
            </w:r>
          </w:hyperlink>
        </w:p>
        <w:p w14:paraId="0BF4560E" w14:textId="4C9991B4" w:rsidR="0031746E" w:rsidRDefault="00B66EB7">
          <w:pPr>
            <w:pStyle w:val="TOC3"/>
            <w:rPr>
              <w:rFonts w:eastAsiaTheme="minorEastAsia" w:cstheme="minorBidi"/>
              <w:i w:val="0"/>
              <w:iCs w:val="0"/>
              <w:color w:val="auto"/>
              <w:sz w:val="24"/>
              <w:szCs w:val="24"/>
            </w:rPr>
          </w:pPr>
          <w:hyperlink w:anchor="_Toc70944166" w:history="1">
            <w:r w:rsidR="0031746E" w:rsidRPr="001F5254">
              <w:rPr>
                <w:rStyle w:val="Hyperlink"/>
              </w:rPr>
              <w:t>Lessons Learned on Process</w:t>
            </w:r>
            <w:r w:rsidR="0031746E">
              <w:rPr>
                <w:webHidden/>
              </w:rPr>
              <w:tab/>
            </w:r>
            <w:r w:rsidR="0031746E">
              <w:rPr>
                <w:webHidden/>
              </w:rPr>
              <w:fldChar w:fldCharType="begin"/>
            </w:r>
            <w:r w:rsidR="0031746E">
              <w:rPr>
                <w:webHidden/>
              </w:rPr>
              <w:instrText xml:space="preserve"> PAGEREF _Toc70944166 \h </w:instrText>
            </w:r>
            <w:r w:rsidR="0031746E">
              <w:rPr>
                <w:webHidden/>
              </w:rPr>
            </w:r>
            <w:r w:rsidR="0031746E">
              <w:rPr>
                <w:webHidden/>
              </w:rPr>
              <w:fldChar w:fldCharType="separate"/>
            </w:r>
            <w:r w:rsidR="0031746E">
              <w:rPr>
                <w:webHidden/>
              </w:rPr>
              <w:t>16</w:t>
            </w:r>
            <w:r w:rsidR="0031746E">
              <w:rPr>
                <w:webHidden/>
              </w:rPr>
              <w:fldChar w:fldCharType="end"/>
            </w:r>
          </w:hyperlink>
        </w:p>
        <w:p w14:paraId="379609F7" w14:textId="4B74C937" w:rsidR="0031746E" w:rsidRPr="00454020" w:rsidRDefault="00B66EB7" w:rsidP="004A1A20">
          <w:pPr>
            <w:pStyle w:val="TOC1"/>
            <w:rPr>
              <w:rFonts w:eastAsiaTheme="minorEastAsia" w:cstheme="minorBidi"/>
              <w:color w:val="auto"/>
            </w:rPr>
          </w:pPr>
          <w:hyperlink w:anchor="_Toc70944167" w:history="1">
            <w:r w:rsidR="0031746E" w:rsidRPr="00454020">
              <w:rPr>
                <w:rStyle w:val="Hyperlink"/>
                <w14:scene3d>
                  <w14:camera w14:prst="orthographicFront"/>
                  <w14:lightRig w14:rig="threePt" w14:dir="t">
                    <w14:rot w14:lat="0" w14:lon="0" w14:rev="0"/>
                  </w14:lightRig>
                </w14:scene3d>
              </w:rPr>
              <w:t>IV.</w:t>
            </w:r>
            <w:r w:rsidR="0031746E" w:rsidRPr="00454020">
              <w:rPr>
                <w:rFonts w:eastAsiaTheme="minorEastAsia" w:cstheme="minorBidi"/>
                <w:color w:val="auto"/>
              </w:rPr>
              <w:tab/>
            </w:r>
            <w:r w:rsidR="0031746E" w:rsidRPr="00454020">
              <w:rPr>
                <w:rStyle w:val="Hyperlink"/>
              </w:rPr>
              <w:t>If Cost Neutrality is Essential: Strategies for Rebalancing Existing Funding</w:t>
            </w:r>
            <w:r w:rsidR="0031746E" w:rsidRPr="00454020">
              <w:rPr>
                <w:webHidden/>
              </w:rPr>
              <w:tab/>
            </w:r>
            <w:r w:rsidR="0031746E" w:rsidRPr="00454020">
              <w:rPr>
                <w:webHidden/>
              </w:rPr>
              <w:fldChar w:fldCharType="begin"/>
            </w:r>
            <w:r w:rsidR="0031746E" w:rsidRPr="00454020">
              <w:rPr>
                <w:webHidden/>
              </w:rPr>
              <w:instrText xml:space="preserve"> PAGEREF _Toc70944167 \h </w:instrText>
            </w:r>
            <w:r w:rsidR="0031746E" w:rsidRPr="00454020">
              <w:rPr>
                <w:webHidden/>
              </w:rPr>
            </w:r>
            <w:r w:rsidR="0031746E" w:rsidRPr="00454020">
              <w:rPr>
                <w:webHidden/>
              </w:rPr>
              <w:fldChar w:fldCharType="separate"/>
            </w:r>
            <w:r w:rsidR="0031746E" w:rsidRPr="00454020">
              <w:rPr>
                <w:webHidden/>
              </w:rPr>
              <w:t>28</w:t>
            </w:r>
            <w:r w:rsidR="0031746E" w:rsidRPr="00454020">
              <w:rPr>
                <w:webHidden/>
              </w:rPr>
              <w:fldChar w:fldCharType="end"/>
            </w:r>
          </w:hyperlink>
        </w:p>
        <w:p w14:paraId="12090906" w14:textId="34B491F4" w:rsidR="0031746E" w:rsidRDefault="00B66EB7" w:rsidP="00634408">
          <w:pPr>
            <w:pStyle w:val="TOC2"/>
            <w:rPr>
              <w:rFonts w:eastAsiaTheme="minorEastAsia" w:cstheme="minorBidi"/>
              <w:color w:val="auto"/>
              <w:sz w:val="24"/>
              <w:szCs w:val="24"/>
            </w:rPr>
          </w:pPr>
          <w:hyperlink w:anchor="_Toc70944168" w:history="1">
            <w:r w:rsidR="0031746E" w:rsidRPr="001F5254">
              <w:rPr>
                <w:rStyle w:val="Hyperlink"/>
              </w:rPr>
              <w:t>Case Example: Iowa</w:t>
            </w:r>
            <w:r w:rsidR="0031746E">
              <w:rPr>
                <w:webHidden/>
              </w:rPr>
              <w:tab/>
            </w:r>
            <w:r w:rsidR="0031746E">
              <w:rPr>
                <w:webHidden/>
              </w:rPr>
              <w:fldChar w:fldCharType="begin"/>
            </w:r>
            <w:r w:rsidR="0031746E">
              <w:rPr>
                <w:webHidden/>
              </w:rPr>
              <w:instrText xml:space="preserve"> PAGEREF _Toc70944168 \h </w:instrText>
            </w:r>
            <w:r w:rsidR="0031746E">
              <w:rPr>
                <w:webHidden/>
              </w:rPr>
            </w:r>
            <w:r w:rsidR="0031746E">
              <w:rPr>
                <w:webHidden/>
              </w:rPr>
              <w:fldChar w:fldCharType="separate"/>
            </w:r>
            <w:r w:rsidR="0031746E">
              <w:rPr>
                <w:webHidden/>
              </w:rPr>
              <w:t>29</w:t>
            </w:r>
            <w:r w:rsidR="0031746E">
              <w:rPr>
                <w:webHidden/>
              </w:rPr>
              <w:fldChar w:fldCharType="end"/>
            </w:r>
          </w:hyperlink>
        </w:p>
        <w:p w14:paraId="7FABD8CF" w14:textId="65CF0354" w:rsidR="0031746E" w:rsidRDefault="00B66EB7" w:rsidP="00634408">
          <w:pPr>
            <w:pStyle w:val="TOC2"/>
            <w:rPr>
              <w:rFonts w:eastAsiaTheme="minorEastAsia" w:cstheme="minorBidi"/>
              <w:color w:val="auto"/>
              <w:sz w:val="24"/>
              <w:szCs w:val="24"/>
            </w:rPr>
          </w:pPr>
          <w:hyperlink w:anchor="_Toc70944169" w:history="1">
            <w:r w:rsidR="0031746E" w:rsidRPr="001F5254">
              <w:rPr>
                <w:rStyle w:val="Hyperlink"/>
              </w:rPr>
              <w:t>Case Example: Oakland County, Michigan</w:t>
            </w:r>
            <w:r w:rsidR="0031746E">
              <w:rPr>
                <w:webHidden/>
              </w:rPr>
              <w:tab/>
            </w:r>
            <w:r w:rsidR="0031746E">
              <w:rPr>
                <w:webHidden/>
              </w:rPr>
              <w:fldChar w:fldCharType="begin"/>
            </w:r>
            <w:r w:rsidR="0031746E">
              <w:rPr>
                <w:webHidden/>
              </w:rPr>
              <w:instrText xml:space="preserve"> PAGEREF _Toc70944169 \h </w:instrText>
            </w:r>
            <w:r w:rsidR="0031746E">
              <w:rPr>
                <w:webHidden/>
              </w:rPr>
            </w:r>
            <w:r w:rsidR="0031746E">
              <w:rPr>
                <w:webHidden/>
              </w:rPr>
              <w:fldChar w:fldCharType="separate"/>
            </w:r>
            <w:r w:rsidR="0031746E">
              <w:rPr>
                <w:webHidden/>
              </w:rPr>
              <w:t>32</w:t>
            </w:r>
            <w:r w:rsidR="0031746E">
              <w:rPr>
                <w:webHidden/>
              </w:rPr>
              <w:fldChar w:fldCharType="end"/>
            </w:r>
          </w:hyperlink>
        </w:p>
        <w:p w14:paraId="7EA96EC9" w14:textId="11DA9EAA" w:rsidR="0031746E" w:rsidRDefault="00B66EB7" w:rsidP="00634408">
          <w:pPr>
            <w:pStyle w:val="TOC2"/>
            <w:rPr>
              <w:rFonts w:eastAsiaTheme="minorEastAsia" w:cstheme="minorBidi"/>
              <w:color w:val="auto"/>
              <w:sz w:val="24"/>
              <w:szCs w:val="24"/>
            </w:rPr>
          </w:pPr>
          <w:hyperlink w:anchor="_Toc70944170" w:history="1">
            <w:r w:rsidR="0031746E" w:rsidRPr="001F5254">
              <w:rPr>
                <w:rStyle w:val="Hyperlink"/>
              </w:rPr>
              <w:t>Case Example: Tennessee</w:t>
            </w:r>
            <w:r w:rsidR="0031746E">
              <w:rPr>
                <w:webHidden/>
              </w:rPr>
              <w:tab/>
            </w:r>
            <w:r w:rsidR="0031746E">
              <w:rPr>
                <w:webHidden/>
              </w:rPr>
              <w:fldChar w:fldCharType="begin"/>
            </w:r>
            <w:r w:rsidR="0031746E">
              <w:rPr>
                <w:webHidden/>
              </w:rPr>
              <w:instrText xml:space="preserve"> PAGEREF _Toc70944170 \h </w:instrText>
            </w:r>
            <w:r w:rsidR="0031746E">
              <w:rPr>
                <w:webHidden/>
              </w:rPr>
            </w:r>
            <w:r w:rsidR="0031746E">
              <w:rPr>
                <w:webHidden/>
              </w:rPr>
              <w:fldChar w:fldCharType="separate"/>
            </w:r>
            <w:r w:rsidR="0031746E">
              <w:rPr>
                <w:webHidden/>
              </w:rPr>
              <w:t>32</w:t>
            </w:r>
            <w:r w:rsidR="0031746E">
              <w:rPr>
                <w:webHidden/>
              </w:rPr>
              <w:fldChar w:fldCharType="end"/>
            </w:r>
          </w:hyperlink>
        </w:p>
        <w:p w14:paraId="450C234F" w14:textId="07779806" w:rsidR="0031746E" w:rsidRDefault="00B66EB7" w:rsidP="00634408">
          <w:pPr>
            <w:pStyle w:val="TOC2"/>
            <w:rPr>
              <w:rFonts w:eastAsiaTheme="minorEastAsia" w:cstheme="minorBidi"/>
              <w:color w:val="auto"/>
              <w:sz w:val="24"/>
              <w:szCs w:val="24"/>
            </w:rPr>
          </w:pPr>
          <w:hyperlink w:anchor="_Toc70944171" w:history="1">
            <w:r w:rsidR="0031746E" w:rsidRPr="001F5254">
              <w:rPr>
                <w:rStyle w:val="Hyperlink"/>
              </w:rPr>
              <w:t>Case Example: Central Wisconsin</w:t>
            </w:r>
            <w:r w:rsidR="0031746E">
              <w:rPr>
                <w:webHidden/>
              </w:rPr>
              <w:tab/>
            </w:r>
            <w:r w:rsidR="0031746E">
              <w:rPr>
                <w:webHidden/>
              </w:rPr>
              <w:fldChar w:fldCharType="begin"/>
            </w:r>
            <w:r w:rsidR="0031746E">
              <w:rPr>
                <w:webHidden/>
              </w:rPr>
              <w:instrText xml:space="preserve"> PAGEREF _Toc70944171 \h </w:instrText>
            </w:r>
            <w:r w:rsidR="0031746E">
              <w:rPr>
                <w:webHidden/>
              </w:rPr>
            </w:r>
            <w:r w:rsidR="0031746E">
              <w:rPr>
                <w:webHidden/>
              </w:rPr>
              <w:fldChar w:fldCharType="separate"/>
            </w:r>
            <w:r w:rsidR="0031746E">
              <w:rPr>
                <w:webHidden/>
              </w:rPr>
              <w:t>34</w:t>
            </w:r>
            <w:r w:rsidR="0031746E">
              <w:rPr>
                <w:webHidden/>
              </w:rPr>
              <w:fldChar w:fldCharType="end"/>
            </w:r>
          </w:hyperlink>
        </w:p>
        <w:p w14:paraId="7DB36523" w14:textId="47E17A8B" w:rsidR="0031746E" w:rsidRDefault="00B66EB7" w:rsidP="00634408">
          <w:pPr>
            <w:pStyle w:val="TOC2"/>
            <w:rPr>
              <w:rFonts w:eastAsiaTheme="minorEastAsia" w:cstheme="minorBidi"/>
              <w:color w:val="auto"/>
              <w:sz w:val="24"/>
              <w:szCs w:val="24"/>
            </w:rPr>
          </w:pPr>
          <w:hyperlink w:anchor="_Toc70944172" w:history="1">
            <w:r w:rsidR="0031746E" w:rsidRPr="001F5254">
              <w:rPr>
                <w:rStyle w:val="Hyperlink"/>
              </w:rPr>
              <w:t>Case Example: Huron County, Michigan</w:t>
            </w:r>
            <w:r w:rsidR="0031746E">
              <w:rPr>
                <w:webHidden/>
              </w:rPr>
              <w:tab/>
            </w:r>
            <w:r w:rsidR="0031746E">
              <w:rPr>
                <w:webHidden/>
              </w:rPr>
              <w:fldChar w:fldCharType="begin"/>
            </w:r>
            <w:r w:rsidR="0031746E">
              <w:rPr>
                <w:webHidden/>
              </w:rPr>
              <w:instrText xml:space="preserve"> PAGEREF _Toc70944172 \h </w:instrText>
            </w:r>
            <w:r w:rsidR="0031746E">
              <w:rPr>
                <w:webHidden/>
              </w:rPr>
            </w:r>
            <w:r w:rsidR="0031746E">
              <w:rPr>
                <w:webHidden/>
              </w:rPr>
              <w:fldChar w:fldCharType="separate"/>
            </w:r>
            <w:r w:rsidR="0031746E">
              <w:rPr>
                <w:webHidden/>
              </w:rPr>
              <w:t>34</w:t>
            </w:r>
            <w:r w:rsidR="0031746E">
              <w:rPr>
                <w:webHidden/>
              </w:rPr>
              <w:fldChar w:fldCharType="end"/>
            </w:r>
          </w:hyperlink>
        </w:p>
        <w:p w14:paraId="663BEEF1" w14:textId="73217075" w:rsidR="0031746E" w:rsidRPr="00454020" w:rsidRDefault="00B66EB7" w:rsidP="004A1A20">
          <w:pPr>
            <w:pStyle w:val="TOC1"/>
            <w:rPr>
              <w:rFonts w:eastAsiaTheme="minorEastAsia" w:cstheme="minorBidi"/>
              <w:color w:val="auto"/>
            </w:rPr>
          </w:pPr>
          <w:hyperlink w:anchor="_Toc70944173" w:history="1">
            <w:r w:rsidR="0031746E" w:rsidRPr="00454020">
              <w:rPr>
                <w:rStyle w:val="Hyperlink"/>
                <w14:scene3d>
                  <w14:camera w14:prst="orthographicFront"/>
                  <w14:lightRig w14:rig="threePt" w14:dir="t">
                    <w14:rot w14:lat="0" w14:lon="0" w14:rev="0"/>
                  </w14:lightRig>
                </w14:scene3d>
              </w:rPr>
              <w:t>V.</w:t>
            </w:r>
            <w:r w:rsidR="0031746E" w:rsidRPr="00454020">
              <w:rPr>
                <w:rFonts w:eastAsiaTheme="minorEastAsia" w:cstheme="minorBidi"/>
                <w:color w:val="auto"/>
              </w:rPr>
              <w:tab/>
            </w:r>
            <w:r w:rsidR="0031746E" w:rsidRPr="00454020">
              <w:rPr>
                <w:rStyle w:val="Hyperlink"/>
              </w:rPr>
              <w:t>If New Funding is Available: Funding Realignment Strategies</w:t>
            </w:r>
            <w:r w:rsidR="0031746E" w:rsidRPr="00454020">
              <w:rPr>
                <w:webHidden/>
              </w:rPr>
              <w:tab/>
            </w:r>
            <w:r w:rsidR="0031746E" w:rsidRPr="00454020">
              <w:rPr>
                <w:webHidden/>
              </w:rPr>
              <w:fldChar w:fldCharType="begin"/>
            </w:r>
            <w:r w:rsidR="0031746E" w:rsidRPr="00454020">
              <w:rPr>
                <w:webHidden/>
              </w:rPr>
              <w:instrText xml:space="preserve"> PAGEREF _Toc70944173 \h </w:instrText>
            </w:r>
            <w:r w:rsidR="0031746E" w:rsidRPr="00454020">
              <w:rPr>
                <w:webHidden/>
              </w:rPr>
            </w:r>
            <w:r w:rsidR="0031746E" w:rsidRPr="00454020">
              <w:rPr>
                <w:webHidden/>
              </w:rPr>
              <w:fldChar w:fldCharType="separate"/>
            </w:r>
            <w:r w:rsidR="0031746E" w:rsidRPr="00454020">
              <w:rPr>
                <w:webHidden/>
              </w:rPr>
              <w:t>38</w:t>
            </w:r>
            <w:r w:rsidR="0031746E" w:rsidRPr="00454020">
              <w:rPr>
                <w:webHidden/>
              </w:rPr>
              <w:fldChar w:fldCharType="end"/>
            </w:r>
          </w:hyperlink>
        </w:p>
        <w:p w14:paraId="244A7DE0" w14:textId="777B4C13" w:rsidR="0031746E" w:rsidRDefault="00B66EB7" w:rsidP="00634408">
          <w:pPr>
            <w:pStyle w:val="TOC2"/>
            <w:rPr>
              <w:rFonts w:eastAsiaTheme="minorEastAsia" w:cstheme="minorBidi"/>
              <w:color w:val="auto"/>
              <w:sz w:val="24"/>
              <w:szCs w:val="24"/>
            </w:rPr>
          </w:pPr>
          <w:hyperlink w:anchor="_Toc70944174" w:history="1">
            <w:r w:rsidR="0031746E" w:rsidRPr="001F5254">
              <w:rPr>
                <w:rStyle w:val="Hyperlink"/>
              </w:rPr>
              <w:t>Case Example: Central Wisconsin</w:t>
            </w:r>
            <w:r w:rsidR="0031746E">
              <w:rPr>
                <w:webHidden/>
              </w:rPr>
              <w:tab/>
            </w:r>
            <w:r w:rsidR="0031746E">
              <w:rPr>
                <w:webHidden/>
              </w:rPr>
              <w:fldChar w:fldCharType="begin"/>
            </w:r>
            <w:r w:rsidR="0031746E">
              <w:rPr>
                <w:webHidden/>
              </w:rPr>
              <w:instrText xml:space="preserve"> PAGEREF _Toc70944174 \h </w:instrText>
            </w:r>
            <w:r w:rsidR="0031746E">
              <w:rPr>
                <w:webHidden/>
              </w:rPr>
            </w:r>
            <w:r w:rsidR="0031746E">
              <w:rPr>
                <w:webHidden/>
              </w:rPr>
              <w:fldChar w:fldCharType="separate"/>
            </w:r>
            <w:r w:rsidR="0031746E">
              <w:rPr>
                <w:webHidden/>
              </w:rPr>
              <w:t>38</w:t>
            </w:r>
            <w:r w:rsidR="0031746E">
              <w:rPr>
                <w:webHidden/>
              </w:rPr>
              <w:fldChar w:fldCharType="end"/>
            </w:r>
          </w:hyperlink>
        </w:p>
        <w:p w14:paraId="58CBCA8C" w14:textId="048E0313" w:rsidR="0031746E" w:rsidRDefault="00B66EB7" w:rsidP="00634408">
          <w:pPr>
            <w:pStyle w:val="TOC2"/>
            <w:rPr>
              <w:rFonts w:eastAsiaTheme="minorEastAsia" w:cstheme="minorBidi"/>
              <w:color w:val="auto"/>
              <w:sz w:val="24"/>
              <w:szCs w:val="24"/>
            </w:rPr>
          </w:pPr>
          <w:hyperlink w:anchor="_Toc70944175" w:history="1">
            <w:r w:rsidR="0031746E" w:rsidRPr="001F5254">
              <w:rPr>
                <w:rStyle w:val="Hyperlink"/>
              </w:rPr>
              <w:t>Case Example: Alabama</w:t>
            </w:r>
            <w:r w:rsidR="0031746E">
              <w:rPr>
                <w:webHidden/>
              </w:rPr>
              <w:tab/>
            </w:r>
            <w:r w:rsidR="0031746E">
              <w:rPr>
                <w:webHidden/>
              </w:rPr>
              <w:fldChar w:fldCharType="begin"/>
            </w:r>
            <w:r w:rsidR="0031746E">
              <w:rPr>
                <w:webHidden/>
              </w:rPr>
              <w:instrText xml:space="preserve"> PAGEREF _Toc70944175 \h </w:instrText>
            </w:r>
            <w:r w:rsidR="0031746E">
              <w:rPr>
                <w:webHidden/>
              </w:rPr>
            </w:r>
            <w:r w:rsidR="0031746E">
              <w:rPr>
                <w:webHidden/>
              </w:rPr>
              <w:fldChar w:fldCharType="separate"/>
            </w:r>
            <w:r w:rsidR="0031746E">
              <w:rPr>
                <w:webHidden/>
              </w:rPr>
              <w:t>39</w:t>
            </w:r>
            <w:r w:rsidR="0031746E">
              <w:rPr>
                <w:webHidden/>
              </w:rPr>
              <w:fldChar w:fldCharType="end"/>
            </w:r>
          </w:hyperlink>
        </w:p>
        <w:p w14:paraId="1D264456" w14:textId="5E5E8B45" w:rsidR="0031746E" w:rsidRPr="00454020" w:rsidRDefault="00B66EB7" w:rsidP="004A1A20">
          <w:pPr>
            <w:pStyle w:val="TOC1"/>
            <w:rPr>
              <w:rFonts w:eastAsiaTheme="minorEastAsia" w:cstheme="minorBidi"/>
              <w:color w:val="auto"/>
            </w:rPr>
          </w:pPr>
          <w:hyperlink w:anchor="_Toc70944176" w:history="1">
            <w:r w:rsidR="0031746E" w:rsidRPr="00454020">
              <w:rPr>
                <w:rStyle w:val="Hyperlink"/>
                <w14:scene3d>
                  <w14:camera w14:prst="orthographicFront"/>
                  <w14:lightRig w14:rig="threePt" w14:dir="t">
                    <w14:rot w14:lat="0" w14:lon="0" w14:rev="0"/>
                  </w14:lightRig>
                </w14:scene3d>
              </w:rPr>
              <w:t>VI.</w:t>
            </w:r>
            <w:r w:rsidR="0031746E" w:rsidRPr="00454020">
              <w:rPr>
                <w:rFonts w:eastAsiaTheme="minorEastAsia" w:cstheme="minorBidi"/>
                <w:color w:val="auto"/>
              </w:rPr>
              <w:tab/>
            </w:r>
            <w:r w:rsidR="0031746E" w:rsidRPr="00454020">
              <w:rPr>
                <w:rStyle w:val="Hyperlink"/>
              </w:rPr>
              <w:t>Fee-for-Service Reimbursement: Innovations to Incentivize Increased Competitive Integrated Employment</w:t>
            </w:r>
            <w:r w:rsidR="0031746E" w:rsidRPr="00454020">
              <w:rPr>
                <w:webHidden/>
              </w:rPr>
              <w:tab/>
            </w:r>
            <w:r w:rsidR="0031746E" w:rsidRPr="00454020">
              <w:rPr>
                <w:webHidden/>
              </w:rPr>
              <w:fldChar w:fldCharType="begin"/>
            </w:r>
            <w:r w:rsidR="0031746E" w:rsidRPr="00454020">
              <w:rPr>
                <w:webHidden/>
              </w:rPr>
              <w:instrText xml:space="preserve"> PAGEREF _Toc70944176 \h </w:instrText>
            </w:r>
            <w:r w:rsidR="0031746E" w:rsidRPr="00454020">
              <w:rPr>
                <w:webHidden/>
              </w:rPr>
            </w:r>
            <w:r w:rsidR="0031746E" w:rsidRPr="00454020">
              <w:rPr>
                <w:webHidden/>
              </w:rPr>
              <w:fldChar w:fldCharType="separate"/>
            </w:r>
            <w:r w:rsidR="0031746E" w:rsidRPr="00454020">
              <w:rPr>
                <w:webHidden/>
              </w:rPr>
              <w:t>41</w:t>
            </w:r>
            <w:r w:rsidR="0031746E" w:rsidRPr="00454020">
              <w:rPr>
                <w:webHidden/>
              </w:rPr>
              <w:fldChar w:fldCharType="end"/>
            </w:r>
          </w:hyperlink>
        </w:p>
        <w:p w14:paraId="60186B29" w14:textId="3887F64F" w:rsidR="0031746E" w:rsidRDefault="00B66EB7" w:rsidP="00634408">
          <w:pPr>
            <w:pStyle w:val="TOC2"/>
            <w:rPr>
              <w:rFonts w:eastAsiaTheme="minorEastAsia" w:cstheme="minorBidi"/>
              <w:color w:val="auto"/>
              <w:sz w:val="24"/>
              <w:szCs w:val="24"/>
            </w:rPr>
          </w:pPr>
          <w:hyperlink w:anchor="_Toc70944177" w:history="1">
            <w:r w:rsidR="0031746E" w:rsidRPr="001F5254">
              <w:rPr>
                <w:rStyle w:val="Hyperlink"/>
              </w:rPr>
              <w:t>Case Example: Tennessee</w:t>
            </w:r>
            <w:r w:rsidR="0031746E">
              <w:rPr>
                <w:webHidden/>
              </w:rPr>
              <w:tab/>
            </w:r>
            <w:r w:rsidR="0031746E">
              <w:rPr>
                <w:webHidden/>
              </w:rPr>
              <w:fldChar w:fldCharType="begin"/>
            </w:r>
            <w:r w:rsidR="0031746E">
              <w:rPr>
                <w:webHidden/>
              </w:rPr>
              <w:instrText xml:space="preserve"> PAGEREF _Toc70944177 \h </w:instrText>
            </w:r>
            <w:r w:rsidR="0031746E">
              <w:rPr>
                <w:webHidden/>
              </w:rPr>
            </w:r>
            <w:r w:rsidR="0031746E">
              <w:rPr>
                <w:webHidden/>
              </w:rPr>
              <w:fldChar w:fldCharType="separate"/>
            </w:r>
            <w:r w:rsidR="0031746E">
              <w:rPr>
                <w:webHidden/>
              </w:rPr>
              <w:t>41</w:t>
            </w:r>
            <w:r w:rsidR="0031746E">
              <w:rPr>
                <w:webHidden/>
              </w:rPr>
              <w:fldChar w:fldCharType="end"/>
            </w:r>
          </w:hyperlink>
        </w:p>
        <w:p w14:paraId="23D3EE85" w14:textId="71CE10D6" w:rsidR="0031746E" w:rsidRDefault="00B66EB7" w:rsidP="00634408">
          <w:pPr>
            <w:pStyle w:val="TOC2"/>
            <w:rPr>
              <w:rFonts w:eastAsiaTheme="minorEastAsia" w:cstheme="minorBidi"/>
              <w:color w:val="auto"/>
              <w:sz w:val="24"/>
              <w:szCs w:val="24"/>
            </w:rPr>
          </w:pPr>
          <w:hyperlink w:anchor="_Toc70944178" w:history="1">
            <w:r w:rsidR="0031746E" w:rsidRPr="001F5254">
              <w:rPr>
                <w:rStyle w:val="Hyperlink"/>
              </w:rPr>
              <w:t>Case Example: North Carolina</w:t>
            </w:r>
            <w:r w:rsidR="0031746E">
              <w:rPr>
                <w:webHidden/>
              </w:rPr>
              <w:tab/>
            </w:r>
            <w:r w:rsidR="0031746E">
              <w:rPr>
                <w:webHidden/>
              </w:rPr>
              <w:fldChar w:fldCharType="begin"/>
            </w:r>
            <w:r w:rsidR="0031746E">
              <w:rPr>
                <w:webHidden/>
              </w:rPr>
              <w:instrText xml:space="preserve"> PAGEREF _Toc70944178 \h </w:instrText>
            </w:r>
            <w:r w:rsidR="0031746E">
              <w:rPr>
                <w:webHidden/>
              </w:rPr>
            </w:r>
            <w:r w:rsidR="0031746E">
              <w:rPr>
                <w:webHidden/>
              </w:rPr>
              <w:fldChar w:fldCharType="separate"/>
            </w:r>
            <w:r w:rsidR="0031746E">
              <w:rPr>
                <w:webHidden/>
              </w:rPr>
              <w:t>45</w:t>
            </w:r>
            <w:r w:rsidR="0031746E">
              <w:rPr>
                <w:webHidden/>
              </w:rPr>
              <w:fldChar w:fldCharType="end"/>
            </w:r>
          </w:hyperlink>
        </w:p>
        <w:p w14:paraId="14722A01" w14:textId="2DBA305E" w:rsidR="0031746E" w:rsidRDefault="00B66EB7">
          <w:pPr>
            <w:pStyle w:val="TOC3"/>
            <w:rPr>
              <w:rFonts w:eastAsiaTheme="minorEastAsia" w:cstheme="minorBidi"/>
              <w:i w:val="0"/>
              <w:iCs w:val="0"/>
              <w:color w:val="auto"/>
              <w:sz w:val="24"/>
              <w:szCs w:val="24"/>
            </w:rPr>
          </w:pPr>
          <w:hyperlink w:anchor="_Toc70944179" w:history="1">
            <w:r w:rsidR="0031746E" w:rsidRPr="001F5254">
              <w:rPr>
                <w:rStyle w:val="Hyperlink"/>
              </w:rPr>
              <w:t>Transitioning to Milestone-Based Reimbursement</w:t>
            </w:r>
            <w:r w:rsidR="0031746E">
              <w:rPr>
                <w:webHidden/>
              </w:rPr>
              <w:tab/>
            </w:r>
            <w:r w:rsidR="0031746E">
              <w:rPr>
                <w:webHidden/>
              </w:rPr>
              <w:fldChar w:fldCharType="begin"/>
            </w:r>
            <w:r w:rsidR="0031746E">
              <w:rPr>
                <w:webHidden/>
              </w:rPr>
              <w:instrText xml:space="preserve"> PAGEREF _Toc70944179 \h </w:instrText>
            </w:r>
            <w:r w:rsidR="0031746E">
              <w:rPr>
                <w:webHidden/>
              </w:rPr>
            </w:r>
            <w:r w:rsidR="0031746E">
              <w:rPr>
                <w:webHidden/>
              </w:rPr>
              <w:fldChar w:fldCharType="separate"/>
            </w:r>
            <w:r w:rsidR="0031746E">
              <w:rPr>
                <w:webHidden/>
              </w:rPr>
              <w:t>47</w:t>
            </w:r>
            <w:r w:rsidR="0031746E">
              <w:rPr>
                <w:webHidden/>
              </w:rPr>
              <w:fldChar w:fldCharType="end"/>
            </w:r>
          </w:hyperlink>
        </w:p>
        <w:p w14:paraId="7AC218FD" w14:textId="3B04AB5B" w:rsidR="0031746E" w:rsidRPr="00454020" w:rsidRDefault="00B66EB7" w:rsidP="004A1A20">
          <w:pPr>
            <w:pStyle w:val="TOC1"/>
            <w:rPr>
              <w:rFonts w:eastAsiaTheme="minorEastAsia" w:cstheme="minorBidi"/>
              <w:color w:val="auto"/>
            </w:rPr>
          </w:pPr>
          <w:hyperlink w:anchor="_Toc70944180" w:history="1">
            <w:r w:rsidR="0031746E" w:rsidRPr="00454020">
              <w:rPr>
                <w:rStyle w:val="Hyperlink"/>
                <w14:scene3d>
                  <w14:camera w14:prst="orthographicFront"/>
                  <w14:lightRig w14:rig="threePt" w14:dir="t">
                    <w14:rot w14:lat="0" w14:lon="0" w14:rev="0"/>
                  </w14:lightRig>
                </w14:scene3d>
              </w:rPr>
              <w:t>VII.</w:t>
            </w:r>
            <w:r w:rsidR="0031746E" w:rsidRPr="00454020">
              <w:rPr>
                <w:rFonts w:eastAsiaTheme="minorEastAsia" w:cstheme="minorBidi"/>
                <w:color w:val="auto"/>
              </w:rPr>
              <w:tab/>
            </w:r>
            <w:r w:rsidR="0031746E" w:rsidRPr="00454020">
              <w:rPr>
                <w:rStyle w:val="Hyperlink"/>
              </w:rPr>
              <w:t>Vocational Rehabilitation</w:t>
            </w:r>
            <w:r w:rsidR="0031746E" w:rsidRPr="00454020">
              <w:rPr>
                <w:webHidden/>
              </w:rPr>
              <w:tab/>
            </w:r>
            <w:r w:rsidR="0031746E" w:rsidRPr="00454020">
              <w:rPr>
                <w:webHidden/>
              </w:rPr>
              <w:fldChar w:fldCharType="begin"/>
            </w:r>
            <w:r w:rsidR="0031746E" w:rsidRPr="00454020">
              <w:rPr>
                <w:webHidden/>
              </w:rPr>
              <w:instrText xml:space="preserve"> PAGEREF _Toc70944180 \h </w:instrText>
            </w:r>
            <w:r w:rsidR="0031746E" w:rsidRPr="00454020">
              <w:rPr>
                <w:webHidden/>
              </w:rPr>
            </w:r>
            <w:r w:rsidR="0031746E" w:rsidRPr="00454020">
              <w:rPr>
                <w:webHidden/>
              </w:rPr>
              <w:fldChar w:fldCharType="separate"/>
            </w:r>
            <w:r w:rsidR="0031746E" w:rsidRPr="00454020">
              <w:rPr>
                <w:webHidden/>
              </w:rPr>
              <w:t>48</w:t>
            </w:r>
            <w:r w:rsidR="0031746E" w:rsidRPr="00454020">
              <w:rPr>
                <w:webHidden/>
              </w:rPr>
              <w:fldChar w:fldCharType="end"/>
            </w:r>
          </w:hyperlink>
        </w:p>
        <w:p w14:paraId="03459DB2" w14:textId="48F64B1B" w:rsidR="0031746E" w:rsidRDefault="00B66EB7" w:rsidP="00634408">
          <w:pPr>
            <w:pStyle w:val="TOC2"/>
            <w:rPr>
              <w:rFonts w:eastAsiaTheme="minorEastAsia" w:cstheme="minorBidi"/>
              <w:color w:val="auto"/>
              <w:sz w:val="24"/>
              <w:szCs w:val="24"/>
            </w:rPr>
          </w:pPr>
          <w:hyperlink w:anchor="_Toc70944181" w:history="1">
            <w:r w:rsidR="0031746E" w:rsidRPr="001F5254">
              <w:rPr>
                <w:rStyle w:val="Hyperlink"/>
              </w:rPr>
              <w:t>Innovations in Reimbursement Models and Cost Sharing Agreements to Advance Competitive Integrated Employment</w:t>
            </w:r>
            <w:r w:rsidR="0031746E">
              <w:rPr>
                <w:webHidden/>
              </w:rPr>
              <w:tab/>
            </w:r>
            <w:r w:rsidR="0031746E">
              <w:rPr>
                <w:webHidden/>
              </w:rPr>
              <w:fldChar w:fldCharType="begin"/>
            </w:r>
            <w:r w:rsidR="0031746E">
              <w:rPr>
                <w:webHidden/>
              </w:rPr>
              <w:instrText xml:space="preserve"> PAGEREF _Toc70944181 \h </w:instrText>
            </w:r>
            <w:r w:rsidR="0031746E">
              <w:rPr>
                <w:webHidden/>
              </w:rPr>
            </w:r>
            <w:r w:rsidR="0031746E">
              <w:rPr>
                <w:webHidden/>
              </w:rPr>
              <w:fldChar w:fldCharType="separate"/>
            </w:r>
            <w:r w:rsidR="0031746E">
              <w:rPr>
                <w:webHidden/>
              </w:rPr>
              <w:t>48</w:t>
            </w:r>
            <w:r w:rsidR="0031746E">
              <w:rPr>
                <w:webHidden/>
              </w:rPr>
              <w:fldChar w:fldCharType="end"/>
            </w:r>
          </w:hyperlink>
        </w:p>
        <w:p w14:paraId="20BF6BD7" w14:textId="7649C2AA" w:rsidR="0031746E" w:rsidRDefault="00B66EB7">
          <w:pPr>
            <w:pStyle w:val="TOC3"/>
            <w:rPr>
              <w:rFonts w:eastAsiaTheme="minorEastAsia" w:cstheme="minorBidi"/>
              <w:i w:val="0"/>
              <w:iCs w:val="0"/>
              <w:color w:val="auto"/>
              <w:sz w:val="24"/>
              <w:szCs w:val="24"/>
            </w:rPr>
          </w:pPr>
          <w:hyperlink w:anchor="_Toc70944182" w:history="1">
            <w:r w:rsidR="0031746E" w:rsidRPr="001F5254">
              <w:rPr>
                <w:rStyle w:val="Hyperlink"/>
              </w:rPr>
              <w:t>Case Example: Arkansas Rehabilitation Services</w:t>
            </w:r>
            <w:r w:rsidR="0031746E">
              <w:rPr>
                <w:webHidden/>
              </w:rPr>
              <w:tab/>
            </w:r>
            <w:r w:rsidR="0031746E">
              <w:rPr>
                <w:webHidden/>
              </w:rPr>
              <w:fldChar w:fldCharType="begin"/>
            </w:r>
            <w:r w:rsidR="0031746E">
              <w:rPr>
                <w:webHidden/>
              </w:rPr>
              <w:instrText xml:space="preserve"> PAGEREF _Toc70944182 \h </w:instrText>
            </w:r>
            <w:r w:rsidR="0031746E">
              <w:rPr>
                <w:webHidden/>
              </w:rPr>
            </w:r>
            <w:r w:rsidR="0031746E">
              <w:rPr>
                <w:webHidden/>
              </w:rPr>
              <w:fldChar w:fldCharType="separate"/>
            </w:r>
            <w:r w:rsidR="0031746E">
              <w:rPr>
                <w:webHidden/>
              </w:rPr>
              <w:t>48</w:t>
            </w:r>
            <w:r w:rsidR="0031746E">
              <w:rPr>
                <w:webHidden/>
              </w:rPr>
              <w:fldChar w:fldCharType="end"/>
            </w:r>
          </w:hyperlink>
        </w:p>
        <w:p w14:paraId="6A98D718" w14:textId="0F3CACCE" w:rsidR="0031746E" w:rsidRDefault="00B66EB7" w:rsidP="00634408">
          <w:pPr>
            <w:pStyle w:val="TOC2"/>
            <w:rPr>
              <w:rFonts w:eastAsiaTheme="minorEastAsia" w:cstheme="minorBidi"/>
              <w:color w:val="auto"/>
              <w:sz w:val="24"/>
              <w:szCs w:val="24"/>
            </w:rPr>
          </w:pPr>
          <w:hyperlink w:anchor="_Toc70944183" w:history="1">
            <w:r w:rsidR="0031746E" w:rsidRPr="001F5254">
              <w:rPr>
                <w:rStyle w:val="Hyperlink"/>
              </w:rPr>
              <w:t>Braiding Funding to Support Multi-Funder Cost Sharing Rather than Cost Shifting</w:t>
            </w:r>
            <w:r w:rsidR="0031746E">
              <w:rPr>
                <w:webHidden/>
              </w:rPr>
              <w:tab/>
            </w:r>
            <w:r w:rsidR="0031746E">
              <w:rPr>
                <w:webHidden/>
              </w:rPr>
              <w:fldChar w:fldCharType="begin"/>
            </w:r>
            <w:r w:rsidR="0031746E">
              <w:rPr>
                <w:webHidden/>
              </w:rPr>
              <w:instrText xml:space="preserve"> PAGEREF _Toc70944183 \h </w:instrText>
            </w:r>
            <w:r w:rsidR="0031746E">
              <w:rPr>
                <w:webHidden/>
              </w:rPr>
            </w:r>
            <w:r w:rsidR="0031746E">
              <w:rPr>
                <w:webHidden/>
              </w:rPr>
              <w:fldChar w:fldCharType="separate"/>
            </w:r>
            <w:r w:rsidR="0031746E">
              <w:rPr>
                <w:webHidden/>
              </w:rPr>
              <w:t>50</w:t>
            </w:r>
            <w:r w:rsidR="0031746E">
              <w:rPr>
                <w:webHidden/>
              </w:rPr>
              <w:fldChar w:fldCharType="end"/>
            </w:r>
          </w:hyperlink>
        </w:p>
        <w:p w14:paraId="0480A936" w14:textId="0C0877CB" w:rsidR="0031746E" w:rsidRDefault="00B66EB7">
          <w:pPr>
            <w:pStyle w:val="TOC3"/>
            <w:rPr>
              <w:rFonts w:eastAsiaTheme="minorEastAsia" w:cstheme="minorBidi"/>
              <w:i w:val="0"/>
              <w:iCs w:val="0"/>
              <w:color w:val="auto"/>
              <w:sz w:val="24"/>
              <w:szCs w:val="24"/>
            </w:rPr>
          </w:pPr>
          <w:hyperlink w:anchor="_Toc70944184" w:history="1">
            <w:r w:rsidR="0031746E" w:rsidRPr="001F5254">
              <w:rPr>
                <w:rStyle w:val="Hyperlink"/>
              </w:rPr>
              <w:t>Case Example: Iowa Vocational Rehabilitation Service and Iowa Medicaid</w:t>
            </w:r>
            <w:r w:rsidR="0031746E">
              <w:rPr>
                <w:webHidden/>
              </w:rPr>
              <w:tab/>
            </w:r>
            <w:r w:rsidR="0031746E">
              <w:rPr>
                <w:webHidden/>
              </w:rPr>
              <w:fldChar w:fldCharType="begin"/>
            </w:r>
            <w:r w:rsidR="0031746E">
              <w:rPr>
                <w:webHidden/>
              </w:rPr>
              <w:instrText xml:space="preserve"> PAGEREF _Toc70944184 \h </w:instrText>
            </w:r>
            <w:r w:rsidR="0031746E">
              <w:rPr>
                <w:webHidden/>
              </w:rPr>
            </w:r>
            <w:r w:rsidR="0031746E">
              <w:rPr>
                <w:webHidden/>
              </w:rPr>
              <w:fldChar w:fldCharType="separate"/>
            </w:r>
            <w:r w:rsidR="0031746E">
              <w:rPr>
                <w:webHidden/>
              </w:rPr>
              <w:t>51</w:t>
            </w:r>
            <w:r w:rsidR="0031746E">
              <w:rPr>
                <w:webHidden/>
              </w:rPr>
              <w:fldChar w:fldCharType="end"/>
            </w:r>
          </w:hyperlink>
        </w:p>
        <w:p w14:paraId="56E828E6" w14:textId="4EF236C1" w:rsidR="0031746E" w:rsidRDefault="00B66EB7" w:rsidP="00B06842">
          <w:pPr>
            <w:pStyle w:val="TOC3"/>
            <w:ind w:right="1008"/>
            <w:rPr>
              <w:rFonts w:eastAsiaTheme="minorEastAsia" w:cstheme="minorBidi"/>
              <w:i w:val="0"/>
              <w:iCs w:val="0"/>
              <w:color w:val="auto"/>
              <w:sz w:val="24"/>
              <w:szCs w:val="24"/>
            </w:rPr>
          </w:pPr>
          <w:hyperlink w:anchor="_Toc70944185" w:history="1">
            <w:r w:rsidR="0031746E" w:rsidRPr="001F5254">
              <w:rPr>
                <w:rStyle w:val="Hyperlink"/>
              </w:rPr>
              <w:t>Case Example: Tennessee Vocational Rehabilitation and Tennessee Medicaid</w:t>
            </w:r>
            <w:r w:rsidR="0031746E">
              <w:rPr>
                <w:webHidden/>
              </w:rPr>
              <w:tab/>
            </w:r>
            <w:r w:rsidR="0031746E">
              <w:rPr>
                <w:webHidden/>
              </w:rPr>
              <w:fldChar w:fldCharType="begin"/>
            </w:r>
            <w:r w:rsidR="0031746E">
              <w:rPr>
                <w:webHidden/>
              </w:rPr>
              <w:instrText xml:space="preserve"> PAGEREF _Toc70944185 \h </w:instrText>
            </w:r>
            <w:r w:rsidR="0031746E">
              <w:rPr>
                <w:webHidden/>
              </w:rPr>
            </w:r>
            <w:r w:rsidR="0031746E">
              <w:rPr>
                <w:webHidden/>
              </w:rPr>
              <w:fldChar w:fldCharType="separate"/>
            </w:r>
            <w:r w:rsidR="0031746E">
              <w:rPr>
                <w:webHidden/>
              </w:rPr>
              <w:t>52</w:t>
            </w:r>
            <w:r w:rsidR="0031746E">
              <w:rPr>
                <w:webHidden/>
              </w:rPr>
              <w:fldChar w:fldCharType="end"/>
            </w:r>
          </w:hyperlink>
        </w:p>
        <w:p w14:paraId="2375E6CF" w14:textId="5F59ABB4" w:rsidR="0031746E" w:rsidRDefault="00B66EB7">
          <w:pPr>
            <w:pStyle w:val="TOC3"/>
            <w:rPr>
              <w:rFonts w:eastAsiaTheme="minorEastAsia" w:cstheme="minorBidi"/>
              <w:i w:val="0"/>
              <w:iCs w:val="0"/>
              <w:color w:val="auto"/>
              <w:sz w:val="24"/>
              <w:szCs w:val="24"/>
            </w:rPr>
          </w:pPr>
          <w:hyperlink w:anchor="_Toc70944186" w:history="1">
            <w:r w:rsidR="0031746E" w:rsidRPr="001F5254">
              <w:rPr>
                <w:rStyle w:val="Hyperlink"/>
              </w:rPr>
              <w:t>Case Example: Oregon Vocational Rehabilitation and Oregon Developmental Disability Services</w:t>
            </w:r>
            <w:r w:rsidR="0031746E">
              <w:rPr>
                <w:webHidden/>
              </w:rPr>
              <w:tab/>
            </w:r>
            <w:r w:rsidR="0031746E">
              <w:rPr>
                <w:webHidden/>
              </w:rPr>
              <w:fldChar w:fldCharType="begin"/>
            </w:r>
            <w:r w:rsidR="0031746E">
              <w:rPr>
                <w:webHidden/>
              </w:rPr>
              <w:instrText xml:space="preserve"> PAGEREF _Toc70944186 \h </w:instrText>
            </w:r>
            <w:r w:rsidR="0031746E">
              <w:rPr>
                <w:webHidden/>
              </w:rPr>
            </w:r>
            <w:r w:rsidR="0031746E">
              <w:rPr>
                <w:webHidden/>
              </w:rPr>
              <w:fldChar w:fldCharType="separate"/>
            </w:r>
            <w:r w:rsidR="0031746E">
              <w:rPr>
                <w:webHidden/>
              </w:rPr>
              <w:t>53</w:t>
            </w:r>
            <w:r w:rsidR="0031746E">
              <w:rPr>
                <w:webHidden/>
              </w:rPr>
              <w:fldChar w:fldCharType="end"/>
            </w:r>
          </w:hyperlink>
        </w:p>
        <w:p w14:paraId="7D245236" w14:textId="25BBA9F7" w:rsidR="0031746E" w:rsidRPr="00454020" w:rsidRDefault="00B66EB7" w:rsidP="004A1A20">
          <w:pPr>
            <w:pStyle w:val="TOC1"/>
            <w:rPr>
              <w:rFonts w:eastAsiaTheme="minorEastAsia" w:cstheme="minorBidi"/>
              <w:color w:val="auto"/>
            </w:rPr>
          </w:pPr>
          <w:hyperlink w:anchor="_Toc70944187" w:history="1">
            <w:r w:rsidR="0031746E" w:rsidRPr="00454020">
              <w:rPr>
                <w:rStyle w:val="Hyperlink"/>
                <w:rFonts w:ascii="Calibri" w:hAnsi="Calibri"/>
                <w14:scene3d>
                  <w14:camera w14:prst="orthographicFront"/>
                  <w14:lightRig w14:rig="threePt" w14:dir="t">
                    <w14:rot w14:lat="0" w14:lon="0" w14:rev="0"/>
                  </w14:lightRig>
                </w14:scene3d>
              </w:rPr>
              <w:t>VIII.</w:t>
            </w:r>
            <w:r w:rsidR="0031746E" w:rsidRPr="00454020">
              <w:rPr>
                <w:rFonts w:eastAsiaTheme="minorEastAsia" w:cstheme="minorBidi"/>
                <w:color w:val="auto"/>
              </w:rPr>
              <w:tab/>
            </w:r>
            <w:r w:rsidR="0031746E" w:rsidRPr="00454020">
              <w:rPr>
                <w:rStyle w:val="Hyperlink"/>
                <w:rFonts w:ascii="Calibri" w:hAnsi="Calibri"/>
              </w:rPr>
              <w:t>Outcome-Based Reimbursement: Innovations to Incentivize Increased Competitive Integrated Employment</w:t>
            </w:r>
            <w:r w:rsidR="0031746E" w:rsidRPr="00454020">
              <w:rPr>
                <w:webHidden/>
              </w:rPr>
              <w:tab/>
            </w:r>
            <w:r w:rsidR="0031746E" w:rsidRPr="00454020">
              <w:rPr>
                <w:webHidden/>
              </w:rPr>
              <w:fldChar w:fldCharType="begin"/>
            </w:r>
            <w:r w:rsidR="0031746E" w:rsidRPr="00454020">
              <w:rPr>
                <w:webHidden/>
              </w:rPr>
              <w:instrText xml:space="preserve"> PAGEREF _Toc70944187 \h </w:instrText>
            </w:r>
            <w:r w:rsidR="0031746E" w:rsidRPr="00454020">
              <w:rPr>
                <w:webHidden/>
              </w:rPr>
            </w:r>
            <w:r w:rsidR="0031746E" w:rsidRPr="00454020">
              <w:rPr>
                <w:webHidden/>
              </w:rPr>
              <w:fldChar w:fldCharType="separate"/>
            </w:r>
            <w:r w:rsidR="0031746E" w:rsidRPr="00454020">
              <w:rPr>
                <w:webHidden/>
              </w:rPr>
              <w:t>54</w:t>
            </w:r>
            <w:r w:rsidR="0031746E" w:rsidRPr="00454020">
              <w:rPr>
                <w:webHidden/>
              </w:rPr>
              <w:fldChar w:fldCharType="end"/>
            </w:r>
          </w:hyperlink>
        </w:p>
        <w:p w14:paraId="7572D89A" w14:textId="6DAE38C7" w:rsidR="0031746E" w:rsidRDefault="00B66EB7" w:rsidP="00634408">
          <w:pPr>
            <w:pStyle w:val="TOC2"/>
            <w:rPr>
              <w:rFonts w:eastAsiaTheme="minorEastAsia" w:cstheme="minorBidi"/>
              <w:color w:val="auto"/>
              <w:sz w:val="24"/>
              <w:szCs w:val="24"/>
            </w:rPr>
          </w:pPr>
          <w:hyperlink w:anchor="_Toc70944188" w:history="1">
            <w:r w:rsidR="0031746E" w:rsidRPr="001F5254">
              <w:rPr>
                <w:rStyle w:val="Hyperlink"/>
              </w:rPr>
              <w:t>Case Example: Central Wisconsin</w:t>
            </w:r>
            <w:r w:rsidR="0031746E">
              <w:rPr>
                <w:webHidden/>
              </w:rPr>
              <w:tab/>
            </w:r>
            <w:r w:rsidR="0031746E">
              <w:rPr>
                <w:webHidden/>
              </w:rPr>
              <w:fldChar w:fldCharType="begin"/>
            </w:r>
            <w:r w:rsidR="0031746E">
              <w:rPr>
                <w:webHidden/>
              </w:rPr>
              <w:instrText xml:space="preserve"> PAGEREF _Toc70944188 \h </w:instrText>
            </w:r>
            <w:r w:rsidR="0031746E">
              <w:rPr>
                <w:webHidden/>
              </w:rPr>
            </w:r>
            <w:r w:rsidR="0031746E">
              <w:rPr>
                <w:webHidden/>
              </w:rPr>
              <w:fldChar w:fldCharType="separate"/>
            </w:r>
            <w:r w:rsidR="0031746E">
              <w:rPr>
                <w:webHidden/>
              </w:rPr>
              <w:t>55</w:t>
            </w:r>
            <w:r w:rsidR="0031746E">
              <w:rPr>
                <w:webHidden/>
              </w:rPr>
              <w:fldChar w:fldCharType="end"/>
            </w:r>
          </w:hyperlink>
        </w:p>
        <w:p w14:paraId="51EC76DE" w14:textId="602CDB92" w:rsidR="0031746E" w:rsidRDefault="00B66EB7">
          <w:pPr>
            <w:pStyle w:val="TOC3"/>
            <w:rPr>
              <w:rFonts w:eastAsiaTheme="minorEastAsia" w:cstheme="minorBidi"/>
              <w:i w:val="0"/>
              <w:iCs w:val="0"/>
              <w:color w:val="auto"/>
              <w:sz w:val="24"/>
              <w:szCs w:val="24"/>
            </w:rPr>
          </w:pPr>
          <w:hyperlink w:anchor="_Toc70944189" w:history="1">
            <w:r w:rsidR="0031746E" w:rsidRPr="001F5254">
              <w:rPr>
                <w:rStyle w:val="Hyperlink"/>
              </w:rPr>
              <w:t>Development of a Model to Ensure Fairness and Pay for the Best Possible Outcomes</w:t>
            </w:r>
            <w:r w:rsidR="0031746E">
              <w:rPr>
                <w:webHidden/>
              </w:rPr>
              <w:tab/>
            </w:r>
            <w:r w:rsidR="0031746E">
              <w:rPr>
                <w:webHidden/>
              </w:rPr>
              <w:fldChar w:fldCharType="begin"/>
            </w:r>
            <w:r w:rsidR="0031746E">
              <w:rPr>
                <w:webHidden/>
              </w:rPr>
              <w:instrText xml:space="preserve"> PAGEREF _Toc70944189 \h </w:instrText>
            </w:r>
            <w:r w:rsidR="0031746E">
              <w:rPr>
                <w:webHidden/>
              </w:rPr>
            </w:r>
            <w:r w:rsidR="0031746E">
              <w:rPr>
                <w:webHidden/>
              </w:rPr>
              <w:fldChar w:fldCharType="separate"/>
            </w:r>
            <w:r w:rsidR="0031746E">
              <w:rPr>
                <w:webHidden/>
              </w:rPr>
              <w:t>56</w:t>
            </w:r>
            <w:r w:rsidR="0031746E">
              <w:rPr>
                <w:webHidden/>
              </w:rPr>
              <w:fldChar w:fldCharType="end"/>
            </w:r>
          </w:hyperlink>
        </w:p>
        <w:p w14:paraId="77990447" w14:textId="7F4C9092" w:rsidR="0031746E" w:rsidRDefault="00B66EB7">
          <w:pPr>
            <w:pStyle w:val="TOC3"/>
            <w:rPr>
              <w:rFonts w:eastAsiaTheme="minorEastAsia" w:cstheme="minorBidi"/>
              <w:i w:val="0"/>
              <w:iCs w:val="0"/>
              <w:color w:val="auto"/>
              <w:sz w:val="24"/>
              <w:szCs w:val="24"/>
            </w:rPr>
          </w:pPr>
          <w:hyperlink w:anchor="_Toc70944190" w:history="1">
            <w:r w:rsidR="0031746E" w:rsidRPr="001F5254">
              <w:rPr>
                <w:rStyle w:val="Hyperlink"/>
              </w:rPr>
              <w:t>Defining Tier Values</w:t>
            </w:r>
            <w:r w:rsidR="0031746E">
              <w:rPr>
                <w:webHidden/>
              </w:rPr>
              <w:tab/>
            </w:r>
            <w:r w:rsidR="0031746E">
              <w:rPr>
                <w:webHidden/>
              </w:rPr>
              <w:fldChar w:fldCharType="begin"/>
            </w:r>
            <w:r w:rsidR="0031746E">
              <w:rPr>
                <w:webHidden/>
              </w:rPr>
              <w:instrText xml:space="preserve"> PAGEREF _Toc70944190 \h </w:instrText>
            </w:r>
            <w:r w:rsidR="0031746E">
              <w:rPr>
                <w:webHidden/>
              </w:rPr>
            </w:r>
            <w:r w:rsidR="0031746E">
              <w:rPr>
                <w:webHidden/>
              </w:rPr>
              <w:fldChar w:fldCharType="separate"/>
            </w:r>
            <w:r w:rsidR="0031746E">
              <w:rPr>
                <w:webHidden/>
              </w:rPr>
              <w:t>57</w:t>
            </w:r>
            <w:r w:rsidR="0031746E">
              <w:rPr>
                <w:webHidden/>
              </w:rPr>
              <w:fldChar w:fldCharType="end"/>
            </w:r>
          </w:hyperlink>
        </w:p>
        <w:p w14:paraId="44460BA2" w14:textId="78184099" w:rsidR="0031746E" w:rsidRDefault="00B66EB7">
          <w:pPr>
            <w:pStyle w:val="TOC3"/>
            <w:rPr>
              <w:rFonts w:eastAsiaTheme="minorEastAsia" w:cstheme="minorBidi"/>
              <w:i w:val="0"/>
              <w:iCs w:val="0"/>
              <w:color w:val="auto"/>
              <w:sz w:val="24"/>
              <w:szCs w:val="24"/>
            </w:rPr>
          </w:pPr>
          <w:hyperlink w:anchor="_Toc70944191" w:history="1">
            <w:r w:rsidR="0031746E" w:rsidRPr="001F5254">
              <w:rPr>
                <w:rStyle w:val="Hyperlink"/>
              </w:rPr>
              <w:t>Establishing Support Percentages</w:t>
            </w:r>
            <w:r w:rsidR="0031746E">
              <w:rPr>
                <w:webHidden/>
              </w:rPr>
              <w:tab/>
            </w:r>
            <w:r w:rsidR="0031746E">
              <w:rPr>
                <w:webHidden/>
              </w:rPr>
              <w:fldChar w:fldCharType="begin"/>
            </w:r>
            <w:r w:rsidR="0031746E">
              <w:rPr>
                <w:webHidden/>
              </w:rPr>
              <w:instrText xml:space="preserve"> PAGEREF _Toc70944191 \h </w:instrText>
            </w:r>
            <w:r w:rsidR="0031746E">
              <w:rPr>
                <w:webHidden/>
              </w:rPr>
            </w:r>
            <w:r w:rsidR="0031746E">
              <w:rPr>
                <w:webHidden/>
              </w:rPr>
              <w:fldChar w:fldCharType="separate"/>
            </w:r>
            <w:r w:rsidR="0031746E">
              <w:rPr>
                <w:webHidden/>
              </w:rPr>
              <w:t>57</w:t>
            </w:r>
            <w:r w:rsidR="0031746E">
              <w:rPr>
                <w:webHidden/>
              </w:rPr>
              <w:fldChar w:fldCharType="end"/>
            </w:r>
          </w:hyperlink>
        </w:p>
        <w:p w14:paraId="4E3918CC" w14:textId="5EB85C63" w:rsidR="0031746E" w:rsidRDefault="00B66EB7">
          <w:pPr>
            <w:pStyle w:val="TOC3"/>
            <w:rPr>
              <w:rFonts w:eastAsiaTheme="minorEastAsia" w:cstheme="minorBidi"/>
              <w:i w:val="0"/>
              <w:iCs w:val="0"/>
              <w:color w:val="auto"/>
              <w:sz w:val="24"/>
              <w:szCs w:val="24"/>
            </w:rPr>
          </w:pPr>
          <w:hyperlink w:anchor="_Toc70944192" w:history="1">
            <w:r w:rsidR="0031746E" w:rsidRPr="001F5254">
              <w:rPr>
                <w:rStyle w:val="Hyperlink"/>
              </w:rPr>
              <w:t>Arriving at the Payments Per Hour Worked by the Supported Employee</w:t>
            </w:r>
            <w:r w:rsidR="0031746E">
              <w:rPr>
                <w:webHidden/>
              </w:rPr>
              <w:tab/>
            </w:r>
            <w:r w:rsidR="0031746E">
              <w:rPr>
                <w:webHidden/>
              </w:rPr>
              <w:fldChar w:fldCharType="begin"/>
            </w:r>
            <w:r w:rsidR="0031746E">
              <w:rPr>
                <w:webHidden/>
              </w:rPr>
              <w:instrText xml:space="preserve"> PAGEREF _Toc70944192 \h </w:instrText>
            </w:r>
            <w:r w:rsidR="0031746E">
              <w:rPr>
                <w:webHidden/>
              </w:rPr>
            </w:r>
            <w:r w:rsidR="0031746E">
              <w:rPr>
                <w:webHidden/>
              </w:rPr>
              <w:fldChar w:fldCharType="separate"/>
            </w:r>
            <w:r w:rsidR="0031746E">
              <w:rPr>
                <w:webHidden/>
              </w:rPr>
              <w:t>58</w:t>
            </w:r>
            <w:r w:rsidR="0031746E">
              <w:rPr>
                <w:webHidden/>
              </w:rPr>
              <w:fldChar w:fldCharType="end"/>
            </w:r>
          </w:hyperlink>
        </w:p>
        <w:p w14:paraId="7F7926DE" w14:textId="3738B742" w:rsidR="0031746E" w:rsidRDefault="00B66EB7">
          <w:pPr>
            <w:pStyle w:val="TOC3"/>
            <w:rPr>
              <w:rFonts w:eastAsiaTheme="minorEastAsia" w:cstheme="minorBidi"/>
              <w:i w:val="0"/>
              <w:iCs w:val="0"/>
              <w:color w:val="auto"/>
              <w:sz w:val="24"/>
              <w:szCs w:val="24"/>
            </w:rPr>
          </w:pPr>
          <w:hyperlink w:anchor="_Toc70944193" w:history="1">
            <w:r w:rsidR="0031746E" w:rsidRPr="001F5254">
              <w:rPr>
                <w:rStyle w:val="Hyperlink"/>
              </w:rPr>
              <w:t>Ongoing Payment for Job Coaching</w:t>
            </w:r>
            <w:r w:rsidR="0031746E">
              <w:rPr>
                <w:webHidden/>
              </w:rPr>
              <w:tab/>
            </w:r>
            <w:r w:rsidR="0031746E">
              <w:rPr>
                <w:webHidden/>
              </w:rPr>
              <w:fldChar w:fldCharType="begin"/>
            </w:r>
            <w:r w:rsidR="0031746E">
              <w:rPr>
                <w:webHidden/>
              </w:rPr>
              <w:instrText xml:space="preserve"> PAGEREF _Toc70944193 \h </w:instrText>
            </w:r>
            <w:r w:rsidR="0031746E">
              <w:rPr>
                <w:webHidden/>
              </w:rPr>
            </w:r>
            <w:r w:rsidR="0031746E">
              <w:rPr>
                <w:webHidden/>
              </w:rPr>
              <w:fldChar w:fldCharType="separate"/>
            </w:r>
            <w:r w:rsidR="0031746E">
              <w:rPr>
                <w:webHidden/>
              </w:rPr>
              <w:t>59</w:t>
            </w:r>
            <w:r w:rsidR="0031746E">
              <w:rPr>
                <w:webHidden/>
              </w:rPr>
              <w:fldChar w:fldCharType="end"/>
            </w:r>
          </w:hyperlink>
        </w:p>
        <w:p w14:paraId="65D50DE7" w14:textId="677D31D8" w:rsidR="0031746E" w:rsidRDefault="00B66EB7">
          <w:pPr>
            <w:pStyle w:val="TOC3"/>
            <w:rPr>
              <w:rFonts w:eastAsiaTheme="minorEastAsia" w:cstheme="minorBidi"/>
              <w:i w:val="0"/>
              <w:iCs w:val="0"/>
              <w:color w:val="auto"/>
              <w:sz w:val="24"/>
              <w:szCs w:val="24"/>
            </w:rPr>
          </w:pPr>
          <w:hyperlink w:anchor="_Toc70944194" w:history="1">
            <w:r w:rsidR="0031746E" w:rsidRPr="001F5254">
              <w:rPr>
                <w:rStyle w:val="Hyperlink"/>
              </w:rPr>
              <w:t>Addressing Changes in Level of Disability over Time</w:t>
            </w:r>
            <w:r w:rsidR="0031746E">
              <w:rPr>
                <w:webHidden/>
              </w:rPr>
              <w:tab/>
            </w:r>
            <w:r w:rsidR="0031746E">
              <w:rPr>
                <w:webHidden/>
              </w:rPr>
              <w:fldChar w:fldCharType="begin"/>
            </w:r>
            <w:r w:rsidR="0031746E">
              <w:rPr>
                <w:webHidden/>
              </w:rPr>
              <w:instrText xml:space="preserve"> PAGEREF _Toc70944194 \h </w:instrText>
            </w:r>
            <w:r w:rsidR="0031746E">
              <w:rPr>
                <w:webHidden/>
              </w:rPr>
            </w:r>
            <w:r w:rsidR="0031746E">
              <w:rPr>
                <w:webHidden/>
              </w:rPr>
              <w:fldChar w:fldCharType="separate"/>
            </w:r>
            <w:r w:rsidR="0031746E">
              <w:rPr>
                <w:webHidden/>
              </w:rPr>
              <w:t>59</w:t>
            </w:r>
            <w:r w:rsidR="0031746E">
              <w:rPr>
                <w:webHidden/>
              </w:rPr>
              <w:fldChar w:fldCharType="end"/>
            </w:r>
          </w:hyperlink>
        </w:p>
        <w:p w14:paraId="39834F7A" w14:textId="7D28CFAC" w:rsidR="0031746E" w:rsidRDefault="00B66EB7">
          <w:pPr>
            <w:pStyle w:val="TOC3"/>
            <w:rPr>
              <w:rFonts w:eastAsiaTheme="minorEastAsia" w:cstheme="minorBidi"/>
              <w:i w:val="0"/>
              <w:iCs w:val="0"/>
              <w:color w:val="auto"/>
              <w:sz w:val="24"/>
              <w:szCs w:val="24"/>
            </w:rPr>
          </w:pPr>
          <w:hyperlink w:anchor="_Toc70944195" w:history="1">
            <w:r w:rsidR="0031746E" w:rsidRPr="001F5254">
              <w:rPr>
                <w:rStyle w:val="Hyperlink"/>
              </w:rPr>
              <w:t>Impact of the Change to Outcome-Based Reimbursement for Job Coaching</w:t>
            </w:r>
            <w:r w:rsidR="0031746E">
              <w:rPr>
                <w:webHidden/>
              </w:rPr>
              <w:tab/>
            </w:r>
            <w:r w:rsidR="0031746E">
              <w:rPr>
                <w:webHidden/>
              </w:rPr>
              <w:fldChar w:fldCharType="begin"/>
            </w:r>
            <w:r w:rsidR="0031746E">
              <w:rPr>
                <w:webHidden/>
              </w:rPr>
              <w:instrText xml:space="preserve"> PAGEREF _Toc70944195 \h </w:instrText>
            </w:r>
            <w:r w:rsidR="0031746E">
              <w:rPr>
                <w:webHidden/>
              </w:rPr>
            </w:r>
            <w:r w:rsidR="0031746E">
              <w:rPr>
                <w:webHidden/>
              </w:rPr>
              <w:fldChar w:fldCharType="separate"/>
            </w:r>
            <w:r w:rsidR="0031746E">
              <w:rPr>
                <w:webHidden/>
              </w:rPr>
              <w:t>59</w:t>
            </w:r>
            <w:r w:rsidR="0031746E">
              <w:rPr>
                <w:webHidden/>
              </w:rPr>
              <w:fldChar w:fldCharType="end"/>
            </w:r>
          </w:hyperlink>
        </w:p>
        <w:p w14:paraId="7D8CDF1F" w14:textId="23961AF9" w:rsidR="0031746E" w:rsidRDefault="00B66EB7">
          <w:pPr>
            <w:pStyle w:val="TOC3"/>
            <w:rPr>
              <w:rFonts w:eastAsiaTheme="minorEastAsia" w:cstheme="minorBidi"/>
              <w:i w:val="0"/>
              <w:iCs w:val="0"/>
              <w:color w:val="auto"/>
              <w:sz w:val="24"/>
              <w:szCs w:val="24"/>
            </w:rPr>
          </w:pPr>
          <w:hyperlink w:anchor="_Toc70944196" w:history="1">
            <w:r w:rsidR="0031746E" w:rsidRPr="001F5254">
              <w:rPr>
                <w:rStyle w:val="Hyperlink"/>
              </w:rPr>
              <w:t>Outcome-Based Reimbursement for Job Development</w:t>
            </w:r>
            <w:r w:rsidR="0031746E">
              <w:rPr>
                <w:webHidden/>
              </w:rPr>
              <w:tab/>
            </w:r>
            <w:r w:rsidR="0031746E">
              <w:rPr>
                <w:webHidden/>
              </w:rPr>
              <w:fldChar w:fldCharType="begin"/>
            </w:r>
            <w:r w:rsidR="0031746E">
              <w:rPr>
                <w:webHidden/>
              </w:rPr>
              <w:instrText xml:space="preserve"> PAGEREF _Toc70944196 \h </w:instrText>
            </w:r>
            <w:r w:rsidR="0031746E">
              <w:rPr>
                <w:webHidden/>
              </w:rPr>
            </w:r>
            <w:r w:rsidR="0031746E">
              <w:rPr>
                <w:webHidden/>
              </w:rPr>
              <w:fldChar w:fldCharType="separate"/>
            </w:r>
            <w:r w:rsidR="0031746E">
              <w:rPr>
                <w:webHidden/>
              </w:rPr>
              <w:t>60</w:t>
            </w:r>
            <w:r w:rsidR="0031746E">
              <w:rPr>
                <w:webHidden/>
              </w:rPr>
              <w:fldChar w:fldCharType="end"/>
            </w:r>
          </w:hyperlink>
        </w:p>
        <w:p w14:paraId="2058A65E" w14:textId="063AE534" w:rsidR="0031746E" w:rsidRDefault="00B66EB7" w:rsidP="00634408">
          <w:pPr>
            <w:pStyle w:val="TOC2"/>
            <w:rPr>
              <w:rFonts w:eastAsiaTheme="minorEastAsia" w:cstheme="minorBidi"/>
              <w:color w:val="auto"/>
              <w:sz w:val="24"/>
              <w:szCs w:val="24"/>
            </w:rPr>
          </w:pPr>
          <w:hyperlink w:anchor="_Toc70944197" w:history="1">
            <w:r w:rsidR="0031746E" w:rsidRPr="001F5254">
              <w:rPr>
                <w:rStyle w:val="Hyperlink"/>
              </w:rPr>
              <w:t>Case Example: Oregon</w:t>
            </w:r>
            <w:r w:rsidR="0031746E">
              <w:rPr>
                <w:webHidden/>
              </w:rPr>
              <w:tab/>
            </w:r>
            <w:r w:rsidR="0031746E">
              <w:rPr>
                <w:webHidden/>
              </w:rPr>
              <w:fldChar w:fldCharType="begin"/>
            </w:r>
            <w:r w:rsidR="0031746E">
              <w:rPr>
                <w:webHidden/>
              </w:rPr>
              <w:instrText xml:space="preserve"> PAGEREF _Toc70944197 \h </w:instrText>
            </w:r>
            <w:r w:rsidR="0031746E">
              <w:rPr>
                <w:webHidden/>
              </w:rPr>
            </w:r>
            <w:r w:rsidR="0031746E">
              <w:rPr>
                <w:webHidden/>
              </w:rPr>
              <w:fldChar w:fldCharType="separate"/>
            </w:r>
            <w:r w:rsidR="0031746E">
              <w:rPr>
                <w:webHidden/>
              </w:rPr>
              <w:t>61</w:t>
            </w:r>
            <w:r w:rsidR="0031746E">
              <w:rPr>
                <w:webHidden/>
              </w:rPr>
              <w:fldChar w:fldCharType="end"/>
            </w:r>
          </w:hyperlink>
        </w:p>
        <w:p w14:paraId="03F3329A" w14:textId="7F5E28C8" w:rsidR="0031746E" w:rsidRDefault="00B66EB7">
          <w:pPr>
            <w:pStyle w:val="TOC3"/>
            <w:rPr>
              <w:rFonts w:eastAsiaTheme="minorEastAsia" w:cstheme="minorBidi"/>
              <w:i w:val="0"/>
              <w:iCs w:val="0"/>
              <w:color w:val="auto"/>
              <w:sz w:val="24"/>
              <w:szCs w:val="24"/>
            </w:rPr>
          </w:pPr>
          <w:hyperlink w:anchor="_Toc70944198" w:history="1">
            <w:r w:rsidR="0031746E" w:rsidRPr="001F5254">
              <w:rPr>
                <w:rStyle w:val="Hyperlink"/>
              </w:rPr>
              <w:t>Discovery</w:t>
            </w:r>
            <w:r w:rsidR="0031746E">
              <w:rPr>
                <w:webHidden/>
              </w:rPr>
              <w:tab/>
            </w:r>
            <w:r w:rsidR="0031746E">
              <w:rPr>
                <w:webHidden/>
              </w:rPr>
              <w:fldChar w:fldCharType="begin"/>
            </w:r>
            <w:r w:rsidR="0031746E">
              <w:rPr>
                <w:webHidden/>
              </w:rPr>
              <w:instrText xml:space="preserve"> PAGEREF _Toc70944198 \h </w:instrText>
            </w:r>
            <w:r w:rsidR="0031746E">
              <w:rPr>
                <w:webHidden/>
              </w:rPr>
            </w:r>
            <w:r w:rsidR="0031746E">
              <w:rPr>
                <w:webHidden/>
              </w:rPr>
              <w:fldChar w:fldCharType="separate"/>
            </w:r>
            <w:r w:rsidR="0031746E">
              <w:rPr>
                <w:webHidden/>
              </w:rPr>
              <w:t>61</w:t>
            </w:r>
            <w:r w:rsidR="0031746E">
              <w:rPr>
                <w:webHidden/>
              </w:rPr>
              <w:fldChar w:fldCharType="end"/>
            </w:r>
          </w:hyperlink>
        </w:p>
        <w:p w14:paraId="23E8F83E" w14:textId="6921ACE5" w:rsidR="0031746E" w:rsidRDefault="00B66EB7">
          <w:pPr>
            <w:pStyle w:val="TOC3"/>
            <w:rPr>
              <w:rFonts w:eastAsiaTheme="minorEastAsia" w:cstheme="minorBidi"/>
              <w:i w:val="0"/>
              <w:iCs w:val="0"/>
              <w:color w:val="auto"/>
              <w:sz w:val="24"/>
              <w:szCs w:val="24"/>
            </w:rPr>
          </w:pPr>
          <w:hyperlink w:anchor="_Toc70944199" w:history="1">
            <w:r w:rsidR="0031746E" w:rsidRPr="001F5254">
              <w:rPr>
                <w:rStyle w:val="Hyperlink"/>
              </w:rPr>
              <w:t>Job Development</w:t>
            </w:r>
            <w:r w:rsidR="0031746E">
              <w:rPr>
                <w:webHidden/>
              </w:rPr>
              <w:tab/>
            </w:r>
            <w:r w:rsidR="0031746E">
              <w:rPr>
                <w:webHidden/>
              </w:rPr>
              <w:fldChar w:fldCharType="begin"/>
            </w:r>
            <w:r w:rsidR="0031746E">
              <w:rPr>
                <w:webHidden/>
              </w:rPr>
              <w:instrText xml:space="preserve"> PAGEREF _Toc70944199 \h </w:instrText>
            </w:r>
            <w:r w:rsidR="0031746E">
              <w:rPr>
                <w:webHidden/>
              </w:rPr>
            </w:r>
            <w:r w:rsidR="0031746E">
              <w:rPr>
                <w:webHidden/>
              </w:rPr>
              <w:fldChar w:fldCharType="separate"/>
            </w:r>
            <w:r w:rsidR="0031746E">
              <w:rPr>
                <w:webHidden/>
              </w:rPr>
              <w:t>63</w:t>
            </w:r>
            <w:r w:rsidR="0031746E">
              <w:rPr>
                <w:webHidden/>
              </w:rPr>
              <w:fldChar w:fldCharType="end"/>
            </w:r>
          </w:hyperlink>
        </w:p>
        <w:p w14:paraId="3B882223" w14:textId="3C2E9B70" w:rsidR="0031746E" w:rsidRDefault="00B66EB7">
          <w:pPr>
            <w:pStyle w:val="TOC3"/>
            <w:rPr>
              <w:rFonts w:eastAsiaTheme="minorEastAsia" w:cstheme="minorBidi"/>
              <w:i w:val="0"/>
              <w:iCs w:val="0"/>
              <w:color w:val="auto"/>
              <w:sz w:val="24"/>
              <w:szCs w:val="24"/>
            </w:rPr>
          </w:pPr>
          <w:hyperlink w:anchor="_Toc70944200" w:history="1">
            <w:r w:rsidR="0031746E" w:rsidRPr="001F5254">
              <w:rPr>
                <w:rStyle w:val="Hyperlink"/>
              </w:rPr>
              <w:t>Job Coaching</w:t>
            </w:r>
            <w:r w:rsidR="0031746E">
              <w:rPr>
                <w:webHidden/>
              </w:rPr>
              <w:tab/>
            </w:r>
            <w:r w:rsidR="0031746E">
              <w:rPr>
                <w:webHidden/>
              </w:rPr>
              <w:fldChar w:fldCharType="begin"/>
            </w:r>
            <w:r w:rsidR="0031746E">
              <w:rPr>
                <w:webHidden/>
              </w:rPr>
              <w:instrText xml:space="preserve"> PAGEREF _Toc70944200 \h </w:instrText>
            </w:r>
            <w:r w:rsidR="0031746E">
              <w:rPr>
                <w:webHidden/>
              </w:rPr>
            </w:r>
            <w:r w:rsidR="0031746E">
              <w:rPr>
                <w:webHidden/>
              </w:rPr>
              <w:fldChar w:fldCharType="separate"/>
            </w:r>
            <w:r w:rsidR="0031746E">
              <w:rPr>
                <w:webHidden/>
              </w:rPr>
              <w:t>63</w:t>
            </w:r>
            <w:r w:rsidR="0031746E">
              <w:rPr>
                <w:webHidden/>
              </w:rPr>
              <w:fldChar w:fldCharType="end"/>
            </w:r>
          </w:hyperlink>
        </w:p>
        <w:p w14:paraId="70927AB8" w14:textId="2D64865F" w:rsidR="0031746E" w:rsidRDefault="00B66EB7" w:rsidP="00634408">
          <w:pPr>
            <w:pStyle w:val="TOC2"/>
            <w:rPr>
              <w:rFonts w:eastAsiaTheme="minorEastAsia" w:cstheme="minorBidi"/>
              <w:color w:val="auto"/>
              <w:sz w:val="24"/>
              <w:szCs w:val="24"/>
            </w:rPr>
          </w:pPr>
          <w:hyperlink w:anchor="_Toc70944201" w:history="1">
            <w:r w:rsidR="0031746E" w:rsidRPr="001F5254">
              <w:rPr>
                <w:rStyle w:val="Hyperlink"/>
              </w:rPr>
              <w:t>Case Example: Tennessee Employment and Community First Choices</w:t>
            </w:r>
            <w:r w:rsidR="0031746E">
              <w:rPr>
                <w:webHidden/>
              </w:rPr>
              <w:tab/>
            </w:r>
            <w:r w:rsidR="0031746E">
              <w:rPr>
                <w:webHidden/>
              </w:rPr>
              <w:fldChar w:fldCharType="begin"/>
            </w:r>
            <w:r w:rsidR="0031746E">
              <w:rPr>
                <w:webHidden/>
              </w:rPr>
              <w:instrText xml:space="preserve"> PAGEREF _Toc70944201 \h </w:instrText>
            </w:r>
            <w:r w:rsidR="0031746E">
              <w:rPr>
                <w:webHidden/>
              </w:rPr>
            </w:r>
            <w:r w:rsidR="0031746E">
              <w:rPr>
                <w:webHidden/>
              </w:rPr>
              <w:fldChar w:fldCharType="separate"/>
            </w:r>
            <w:r w:rsidR="0031746E">
              <w:rPr>
                <w:webHidden/>
              </w:rPr>
              <w:t>65</w:t>
            </w:r>
            <w:r w:rsidR="0031746E">
              <w:rPr>
                <w:webHidden/>
              </w:rPr>
              <w:fldChar w:fldCharType="end"/>
            </w:r>
          </w:hyperlink>
        </w:p>
        <w:p w14:paraId="3E7AD529" w14:textId="56BFA055" w:rsidR="0031746E" w:rsidRDefault="00B66EB7">
          <w:pPr>
            <w:pStyle w:val="TOC3"/>
            <w:rPr>
              <w:rFonts w:eastAsiaTheme="minorEastAsia" w:cstheme="minorBidi"/>
              <w:i w:val="0"/>
              <w:iCs w:val="0"/>
              <w:color w:val="auto"/>
              <w:sz w:val="24"/>
              <w:szCs w:val="24"/>
            </w:rPr>
          </w:pPr>
          <w:hyperlink w:anchor="_Toc70944202" w:history="1">
            <w:r w:rsidR="0031746E" w:rsidRPr="001F5254">
              <w:rPr>
                <w:rStyle w:val="Hyperlink"/>
              </w:rPr>
              <w:t>Employment Exploration</w:t>
            </w:r>
            <w:r w:rsidR="0031746E">
              <w:rPr>
                <w:webHidden/>
              </w:rPr>
              <w:tab/>
            </w:r>
            <w:r w:rsidR="0031746E">
              <w:rPr>
                <w:webHidden/>
              </w:rPr>
              <w:fldChar w:fldCharType="begin"/>
            </w:r>
            <w:r w:rsidR="0031746E">
              <w:rPr>
                <w:webHidden/>
              </w:rPr>
              <w:instrText xml:space="preserve"> PAGEREF _Toc70944202 \h </w:instrText>
            </w:r>
            <w:r w:rsidR="0031746E">
              <w:rPr>
                <w:webHidden/>
              </w:rPr>
            </w:r>
            <w:r w:rsidR="0031746E">
              <w:rPr>
                <w:webHidden/>
              </w:rPr>
              <w:fldChar w:fldCharType="separate"/>
            </w:r>
            <w:r w:rsidR="0031746E">
              <w:rPr>
                <w:webHidden/>
              </w:rPr>
              <w:t>65</w:t>
            </w:r>
            <w:r w:rsidR="0031746E">
              <w:rPr>
                <w:webHidden/>
              </w:rPr>
              <w:fldChar w:fldCharType="end"/>
            </w:r>
          </w:hyperlink>
        </w:p>
        <w:p w14:paraId="09506A87" w14:textId="33703169" w:rsidR="0031746E" w:rsidRDefault="00B66EB7">
          <w:pPr>
            <w:pStyle w:val="TOC3"/>
            <w:rPr>
              <w:rFonts w:eastAsiaTheme="minorEastAsia" w:cstheme="minorBidi"/>
              <w:i w:val="0"/>
              <w:iCs w:val="0"/>
              <w:color w:val="auto"/>
              <w:sz w:val="24"/>
              <w:szCs w:val="24"/>
            </w:rPr>
          </w:pPr>
          <w:hyperlink w:anchor="_Toc70944203" w:history="1">
            <w:r w:rsidR="0031746E" w:rsidRPr="001F5254">
              <w:rPr>
                <w:rStyle w:val="Hyperlink"/>
              </w:rPr>
              <w:t>Discovery</w:t>
            </w:r>
            <w:r w:rsidR="0031746E">
              <w:rPr>
                <w:webHidden/>
              </w:rPr>
              <w:tab/>
            </w:r>
            <w:r w:rsidR="0031746E">
              <w:rPr>
                <w:webHidden/>
              </w:rPr>
              <w:fldChar w:fldCharType="begin"/>
            </w:r>
            <w:r w:rsidR="0031746E">
              <w:rPr>
                <w:webHidden/>
              </w:rPr>
              <w:instrText xml:space="preserve"> PAGEREF _Toc70944203 \h </w:instrText>
            </w:r>
            <w:r w:rsidR="0031746E">
              <w:rPr>
                <w:webHidden/>
              </w:rPr>
            </w:r>
            <w:r w:rsidR="0031746E">
              <w:rPr>
                <w:webHidden/>
              </w:rPr>
              <w:fldChar w:fldCharType="separate"/>
            </w:r>
            <w:r w:rsidR="0031746E">
              <w:rPr>
                <w:webHidden/>
              </w:rPr>
              <w:t>66</w:t>
            </w:r>
            <w:r w:rsidR="0031746E">
              <w:rPr>
                <w:webHidden/>
              </w:rPr>
              <w:fldChar w:fldCharType="end"/>
            </w:r>
          </w:hyperlink>
        </w:p>
        <w:p w14:paraId="6D136E58" w14:textId="051DF365" w:rsidR="0031746E" w:rsidRDefault="00B66EB7">
          <w:pPr>
            <w:pStyle w:val="TOC3"/>
            <w:rPr>
              <w:rFonts w:eastAsiaTheme="minorEastAsia" w:cstheme="minorBidi"/>
              <w:i w:val="0"/>
              <w:iCs w:val="0"/>
              <w:color w:val="auto"/>
              <w:sz w:val="24"/>
              <w:szCs w:val="24"/>
            </w:rPr>
          </w:pPr>
          <w:hyperlink w:anchor="_Toc70944204" w:history="1">
            <w:r w:rsidR="0031746E" w:rsidRPr="001F5254">
              <w:rPr>
                <w:rStyle w:val="Hyperlink"/>
              </w:rPr>
              <w:t>Job Development</w:t>
            </w:r>
            <w:r w:rsidR="0031746E">
              <w:rPr>
                <w:webHidden/>
              </w:rPr>
              <w:tab/>
            </w:r>
            <w:r w:rsidR="0031746E">
              <w:rPr>
                <w:webHidden/>
              </w:rPr>
              <w:fldChar w:fldCharType="begin"/>
            </w:r>
            <w:r w:rsidR="0031746E">
              <w:rPr>
                <w:webHidden/>
              </w:rPr>
              <w:instrText xml:space="preserve"> PAGEREF _Toc70944204 \h </w:instrText>
            </w:r>
            <w:r w:rsidR="0031746E">
              <w:rPr>
                <w:webHidden/>
              </w:rPr>
            </w:r>
            <w:r w:rsidR="0031746E">
              <w:rPr>
                <w:webHidden/>
              </w:rPr>
              <w:fldChar w:fldCharType="separate"/>
            </w:r>
            <w:r w:rsidR="0031746E">
              <w:rPr>
                <w:webHidden/>
              </w:rPr>
              <w:t>67</w:t>
            </w:r>
            <w:r w:rsidR="0031746E">
              <w:rPr>
                <w:webHidden/>
              </w:rPr>
              <w:fldChar w:fldCharType="end"/>
            </w:r>
          </w:hyperlink>
        </w:p>
        <w:p w14:paraId="1D7D13BE" w14:textId="4A186638" w:rsidR="0031746E" w:rsidRDefault="00B66EB7" w:rsidP="00634408">
          <w:pPr>
            <w:pStyle w:val="TOC2"/>
            <w:rPr>
              <w:rFonts w:eastAsiaTheme="minorEastAsia" w:cstheme="minorBidi"/>
              <w:color w:val="auto"/>
              <w:sz w:val="24"/>
              <w:szCs w:val="24"/>
            </w:rPr>
          </w:pPr>
          <w:hyperlink w:anchor="_Toc70944205" w:history="1">
            <w:r w:rsidR="0031746E" w:rsidRPr="001F5254">
              <w:rPr>
                <w:rStyle w:val="Hyperlink"/>
              </w:rPr>
              <w:t>Case Example: Oakland County, Michigan</w:t>
            </w:r>
            <w:r w:rsidR="0031746E">
              <w:rPr>
                <w:webHidden/>
              </w:rPr>
              <w:tab/>
            </w:r>
            <w:r w:rsidR="0031746E">
              <w:rPr>
                <w:webHidden/>
              </w:rPr>
              <w:fldChar w:fldCharType="begin"/>
            </w:r>
            <w:r w:rsidR="0031746E">
              <w:rPr>
                <w:webHidden/>
              </w:rPr>
              <w:instrText xml:space="preserve"> PAGEREF _Toc70944205 \h </w:instrText>
            </w:r>
            <w:r w:rsidR="0031746E">
              <w:rPr>
                <w:webHidden/>
              </w:rPr>
            </w:r>
            <w:r w:rsidR="0031746E">
              <w:rPr>
                <w:webHidden/>
              </w:rPr>
              <w:fldChar w:fldCharType="separate"/>
            </w:r>
            <w:r w:rsidR="0031746E">
              <w:rPr>
                <w:webHidden/>
              </w:rPr>
              <w:t>67</w:t>
            </w:r>
            <w:r w:rsidR="0031746E">
              <w:rPr>
                <w:webHidden/>
              </w:rPr>
              <w:fldChar w:fldCharType="end"/>
            </w:r>
          </w:hyperlink>
        </w:p>
        <w:p w14:paraId="626B178B" w14:textId="6ADDDF3B" w:rsidR="0031746E" w:rsidRDefault="00B66EB7" w:rsidP="00CB6E0E">
          <w:pPr>
            <w:pStyle w:val="TOC3"/>
            <w:ind w:right="1008"/>
            <w:rPr>
              <w:rFonts w:eastAsiaTheme="minorEastAsia" w:cstheme="minorBidi"/>
              <w:i w:val="0"/>
              <w:iCs w:val="0"/>
              <w:color w:val="auto"/>
              <w:sz w:val="24"/>
              <w:szCs w:val="24"/>
            </w:rPr>
          </w:pPr>
          <w:hyperlink w:anchor="_Toc70944206" w:history="1">
            <w:r w:rsidR="0031746E" w:rsidRPr="001F5254">
              <w:rPr>
                <w:rStyle w:val="Hyperlink"/>
              </w:rPr>
              <w:t>Moving to Outcome-Based Reimbursement for Supported Employment Services for Individuals with Severe and Persistent Mental Illness</w:t>
            </w:r>
            <w:r w:rsidR="0031746E">
              <w:rPr>
                <w:webHidden/>
              </w:rPr>
              <w:tab/>
            </w:r>
            <w:r w:rsidR="0031746E">
              <w:rPr>
                <w:webHidden/>
              </w:rPr>
              <w:fldChar w:fldCharType="begin"/>
            </w:r>
            <w:r w:rsidR="0031746E">
              <w:rPr>
                <w:webHidden/>
              </w:rPr>
              <w:instrText xml:space="preserve"> PAGEREF _Toc70944206 \h </w:instrText>
            </w:r>
            <w:r w:rsidR="0031746E">
              <w:rPr>
                <w:webHidden/>
              </w:rPr>
            </w:r>
            <w:r w:rsidR="0031746E">
              <w:rPr>
                <w:webHidden/>
              </w:rPr>
              <w:fldChar w:fldCharType="separate"/>
            </w:r>
            <w:r w:rsidR="0031746E">
              <w:rPr>
                <w:webHidden/>
              </w:rPr>
              <w:t>69</w:t>
            </w:r>
            <w:r w:rsidR="0031746E">
              <w:rPr>
                <w:webHidden/>
              </w:rPr>
              <w:fldChar w:fldCharType="end"/>
            </w:r>
          </w:hyperlink>
        </w:p>
        <w:p w14:paraId="41732030" w14:textId="2F459195" w:rsidR="0031746E" w:rsidRDefault="00B66EB7" w:rsidP="00CB6E0E">
          <w:pPr>
            <w:pStyle w:val="TOC3"/>
            <w:ind w:right="1008"/>
            <w:rPr>
              <w:rFonts w:eastAsiaTheme="minorEastAsia" w:cstheme="minorBidi"/>
              <w:i w:val="0"/>
              <w:iCs w:val="0"/>
              <w:color w:val="auto"/>
              <w:sz w:val="24"/>
              <w:szCs w:val="24"/>
            </w:rPr>
          </w:pPr>
          <w:hyperlink w:anchor="_Toc70944207" w:history="1">
            <w:r w:rsidR="0031746E" w:rsidRPr="001F5254">
              <w:rPr>
                <w:rStyle w:val="Hyperlink"/>
              </w:rPr>
              <w:t>Moving to Outcome-Based Reimbursement for Individual Supported Employment Job Coaching for Individuals with IDD</w:t>
            </w:r>
            <w:r w:rsidR="0031746E">
              <w:rPr>
                <w:webHidden/>
              </w:rPr>
              <w:tab/>
            </w:r>
            <w:r w:rsidR="0031746E">
              <w:rPr>
                <w:webHidden/>
              </w:rPr>
              <w:fldChar w:fldCharType="begin"/>
            </w:r>
            <w:r w:rsidR="0031746E">
              <w:rPr>
                <w:webHidden/>
              </w:rPr>
              <w:instrText xml:space="preserve"> PAGEREF _Toc70944207 \h </w:instrText>
            </w:r>
            <w:r w:rsidR="0031746E">
              <w:rPr>
                <w:webHidden/>
              </w:rPr>
            </w:r>
            <w:r w:rsidR="0031746E">
              <w:rPr>
                <w:webHidden/>
              </w:rPr>
              <w:fldChar w:fldCharType="separate"/>
            </w:r>
            <w:r w:rsidR="0031746E">
              <w:rPr>
                <w:webHidden/>
              </w:rPr>
              <w:t>71</w:t>
            </w:r>
            <w:r w:rsidR="0031746E">
              <w:rPr>
                <w:webHidden/>
              </w:rPr>
              <w:fldChar w:fldCharType="end"/>
            </w:r>
          </w:hyperlink>
        </w:p>
        <w:p w14:paraId="78A6B277" w14:textId="7112409E" w:rsidR="0031746E" w:rsidRPr="00454020" w:rsidRDefault="00B66EB7" w:rsidP="004A1A20">
          <w:pPr>
            <w:pStyle w:val="TOC1"/>
            <w:rPr>
              <w:rFonts w:eastAsiaTheme="minorEastAsia" w:cstheme="minorBidi"/>
              <w:color w:val="auto"/>
            </w:rPr>
          </w:pPr>
          <w:hyperlink w:anchor="_Toc70944208" w:history="1">
            <w:r w:rsidR="0031746E" w:rsidRPr="00454020">
              <w:rPr>
                <w:rStyle w:val="Hyperlink"/>
                <w:rFonts w:ascii="Calibri" w:hAnsi="Calibri"/>
                <w14:scene3d>
                  <w14:camera w14:prst="orthographicFront"/>
                  <w14:lightRig w14:rig="threePt" w14:dir="t">
                    <w14:rot w14:lat="0" w14:lon="0" w14:rev="0"/>
                  </w14:lightRig>
                </w14:scene3d>
              </w:rPr>
              <w:t>IX.</w:t>
            </w:r>
            <w:r w:rsidR="0031746E" w:rsidRPr="00454020">
              <w:rPr>
                <w:rFonts w:eastAsiaTheme="minorEastAsia" w:cstheme="minorBidi"/>
                <w:color w:val="auto"/>
              </w:rPr>
              <w:tab/>
            </w:r>
            <w:r w:rsidR="0031746E" w:rsidRPr="00454020">
              <w:rPr>
                <w:rStyle w:val="Hyperlink"/>
                <w:rFonts w:ascii="Calibri" w:hAnsi="Calibri"/>
              </w:rPr>
              <w:t>Establishing Funding Streams Dedicated Solely to Advancing Competitive Integrated Employment</w:t>
            </w:r>
            <w:r w:rsidR="0031746E" w:rsidRPr="00454020">
              <w:rPr>
                <w:webHidden/>
              </w:rPr>
              <w:tab/>
            </w:r>
            <w:r w:rsidR="0031746E" w:rsidRPr="00454020">
              <w:rPr>
                <w:webHidden/>
              </w:rPr>
              <w:fldChar w:fldCharType="begin"/>
            </w:r>
            <w:r w:rsidR="0031746E" w:rsidRPr="00454020">
              <w:rPr>
                <w:webHidden/>
              </w:rPr>
              <w:instrText xml:space="preserve"> PAGEREF _Toc70944208 \h </w:instrText>
            </w:r>
            <w:r w:rsidR="0031746E" w:rsidRPr="00454020">
              <w:rPr>
                <w:webHidden/>
              </w:rPr>
            </w:r>
            <w:r w:rsidR="0031746E" w:rsidRPr="00454020">
              <w:rPr>
                <w:webHidden/>
              </w:rPr>
              <w:fldChar w:fldCharType="separate"/>
            </w:r>
            <w:r w:rsidR="0031746E" w:rsidRPr="00454020">
              <w:rPr>
                <w:webHidden/>
              </w:rPr>
              <w:t>78</w:t>
            </w:r>
            <w:r w:rsidR="0031746E" w:rsidRPr="00454020">
              <w:rPr>
                <w:webHidden/>
              </w:rPr>
              <w:fldChar w:fldCharType="end"/>
            </w:r>
          </w:hyperlink>
        </w:p>
        <w:p w14:paraId="2E19880D" w14:textId="3E39579B" w:rsidR="0031746E" w:rsidRDefault="00B66EB7" w:rsidP="00634408">
          <w:pPr>
            <w:pStyle w:val="TOC2"/>
            <w:rPr>
              <w:rFonts w:eastAsiaTheme="minorEastAsia" w:cstheme="minorBidi"/>
              <w:color w:val="auto"/>
              <w:sz w:val="24"/>
              <w:szCs w:val="24"/>
            </w:rPr>
          </w:pPr>
          <w:hyperlink w:anchor="_Toc70944209" w:history="1">
            <w:r w:rsidR="0031746E" w:rsidRPr="001F5254">
              <w:rPr>
                <w:rStyle w:val="Hyperlink"/>
              </w:rPr>
              <w:t>Case Example: Delaware Pathways to Employment 1915i State Plan Amendment</w:t>
            </w:r>
            <w:r w:rsidR="0031746E">
              <w:rPr>
                <w:webHidden/>
              </w:rPr>
              <w:tab/>
            </w:r>
            <w:r w:rsidR="0031746E">
              <w:rPr>
                <w:webHidden/>
              </w:rPr>
              <w:fldChar w:fldCharType="begin"/>
            </w:r>
            <w:r w:rsidR="0031746E">
              <w:rPr>
                <w:webHidden/>
              </w:rPr>
              <w:instrText xml:space="preserve"> PAGEREF _Toc70944209 \h </w:instrText>
            </w:r>
            <w:r w:rsidR="0031746E">
              <w:rPr>
                <w:webHidden/>
              </w:rPr>
            </w:r>
            <w:r w:rsidR="0031746E">
              <w:rPr>
                <w:webHidden/>
              </w:rPr>
              <w:fldChar w:fldCharType="separate"/>
            </w:r>
            <w:r w:rsidR="0031746E">
              <w:rPr>
                <w:webHidden/>
              </w:rPr>
              <w:t>78</w:t>
            </w:r>
            <w:r w:rsidR="0031746E">
              <w:rPr>
                <w:webHidden/>
              </w:rPr>
              <w:fldChar w:fldCharType="end"/>
            </w:r>
          </w:hyperlink>
        </w:p>
        <w:p w14:paraId="24852847" w14:textId="2DD183D3" w:rsidR="0031746E" w:rsidRDefault="00B66EB7" w:rsidP="00634408">
          <w:pPr>
            <w:pStyle w:val="TOC2"/>
            <w:rPr>
              <w:rFonts w:eastAsiaTheme="minorEastAsia" w:cstheme="minorBidi"/>
              <w:color w:val="auto"/>
              <w:sz w:val="24"/>
              <w:szCs w:val="24"/>
            </w:rPr>
          </w:pPr>
          <w:hyperlink w:anchor="_Toc70944210" w:history="1">
            <w:r w:rsidR="0031746E" w:rsidRPr="001F5254">
              <w:rPr>
                <w:rStyle w:val="Hyperlink"/>
              </w:rPr>
              <w:t>Case Example: Georgia “Employment Express” Competitive Integrated Employment Program</w:t>
            </w:r>
            <w:r w:rsidR="0031746E">
              <w:rPr>
                <w:webHidden/>
              </w:rPr>
              <w:tab/>
            </w:r>
            <w:r w:rsidR="0031746E">
              <w:rPr>
                <w:webHidden/>
              </w:rPr>
              <w:fldChar w:fldCharType="begin"/>
            </w:r>
            <w:r w:rsidR="0031746E">
              <w:rPr>
                <w:webHidden/>
              </w:rPr>
              <w:instrText xml:space="preserve"> PAGEREF _Toc70944210 \h </w:instrText>
            </w:r>
            <w:r w:rsidR="0031746E">
              <w:rPr>
                <w:webHidden/>
              </w:rPr>
            </w:r>
            <w:r w:rsidR="0031746E">
              <w:rPr>
                <w:webHidden/>
              </w:rPr>
              <w:fldChar w:fldCharType="separate"/>
            </w:r>
            <w:r w:rsidR="0031746E">
              <w:rPr>
                <w:webHidden/>
              </w:rPr>
              <w:t>79</w:t>
            </w:r>
            <w:r w:rsidR="0031746E">
              <w:rPr>
                <w:webHidden/>
              </w:rPr>
              <w:fldChar w:fldCharType="end"/>
            </w:r>
          </w:hyperlink>
        </w:p>
        <w:p w14:paraId="2366DF32" w14:textId="0834C6C2" w:rsidR="0031746E" w:rsidRPr="00454020" w:rsidRDefault="00B66EB7" w:rsidP="004A1A20">
          <w:pPr>
            <w:pStyle w:val="TOC1"/>
            <w:rPr>
              <w:rFonts w:eastAsiaTheme="minorEastAsia" w:cstheme="minorBidi"/>
              <w:color w:val="auto"/>
            </w:rPr>
          </w:pPr>
          <w:hyperlink w:anchor="_Toc70944211" w:history="1">
            <w:r w:rsidR="0031746E" w:rsidRPr="00454020">
              <w:rPr>
                <w:rStyle w:val="Hyperlink"/>
                <w:rFonts w:ascii="Calibri" w:hAnsi="Calibri"/>
                <w14:scene3d>
                  <w14:camera w14:prst="orthographicFront"/>
                  <w14:lightRig w14:rig="threePt" w14:dir="t">
                    <w14:rot w14:lat="0" w14:lon="0" w14:rev="0"/>
                  </w14:lightRig>
                </w14:scene3d>
              </w:rPr>
              <w:t>X.</w:t>
            </w:r>
            <w:r w:rsidR="0031746E" w:rsidRPr="00454020">
              <w:rPr>
                <w:rFonts w:eastAsiaTheme="minorEastAsia" w:cstheme="minorBidi"/>
                <w:color w:val="auto"/>
              </w:rPr>
              <w:tab/>
            </w:r>
            <w:r w:rsidR="0031746E" w:rsidRPr="00454020">
              <w:rPr>
                <w:rStyle w:val="Hyperlink"/>
                <w:rFonts w:ascii="Calibri" w:hAnsi="Calibri"/>
              </w:rPr>
              <w:t>Models for Paying Employers to Assume the Post-Hire Roles Typically Filled by Employment Service Provider Agencies</w:t>
            </w:r>
            <w:r w:rsidR="0031746E" w:rsidRPr="00454020">
              <w:rPr>
                <w:webHidden/>
              </w:rPr>
              <w:tab/>
            </w:r>
            <w:r w:rsidR="0031746E" w:rsidRPr="00454020">
              <w:rPr>
                <w:webHidden/>
              </w:rPr>
              <w:fldChar w:fldCharType="begin"/>
            </w:r>
            <w:r w:rsidR="0031746E" w:rsidRPr="00454020">
              <w:rPr>
                <w:webHidden/>
              </w:rPr>
              <w:instrText xml:space="preserve"> PAGEREF _Toc70944211 \h </w:instrText>
            </w:r>
            <w:r w:rsidR="0031746E" w:rsidRPr="00454020">
              <w:rPr>
                <w:webHidden/>
              </w:rPr>
            </w:r>
            <w:r w:rsidR="0031746E" w:rsidRPr="00454020">
              <w:rPr>
                <w:webHidden/>
              </w:rPr>
              <w:fldChar w:fldCharType="separate"/>
            </w:r>
            <w:r w:rsidR="0031746E" w:rsidRPr="00454020">
              <w:rPr>
                <w:webHidden/>
              </w:rPr>
              <w:t>80</w:t>
            </w:r>
            <w:r w:rsidR="0031746E" w:rsidRPr="00454020">
              <w:rPr>
                <w:webHidden/>
              </w:rPr>
              <w:fldChar w:fldCharType="end"/>
            </w:r>
          </w:hyperlink>
        </w:p>
        <w:p w14:paraId="3C8D4BDE" w14:textId="72D248BA" w:rsidR="0031746E" w:rsidRDefault="00B66EB7" w:rsidP="00634408">
          <w:pPr>
            <w:pStyle w:val="TOC2"/>
            <w:rPr>
              <w:rFonts w:eastAsiaTheme="minorEastAsia" w:cstheme="minorBidi"/>
              <w:color w:val="auto"/>
              <w:sz w:val="24"/>
              <w:szCs w:val="24"/>
            </w:rPr>
          </w:pPr>
          <w:hyperlink w:anchor="_Toc70944212" w:history="1">
            <w:r w:rsidR="0031746E" w:rsidRPr="001F5254">
              <w:rPr>
                <w:rStyle w:val="Hyperlink"/>
              </w:rPr>
              <w:t>Case Example: Oklahoma</w:t>
            </w:r>
            <w:r w:rsidR="0031746E">
              <w:rPr>
                <w:webHidden/>
              </w:rPr>
              <w:tab/>
            </w:r>
            <w:r w:rsidR="0031746E">
              <w:rPr>
                <w:webHidden/>
              </w:rPr>
              <w:fldChar w:fldCharType="begin"/>
            </w:r>
            <w:r w:rsidR="0031746E">
              <w:rPr>
                <w:webHidden/>
              </w:rPr>
              <w:instrText xml:space="preserve"> PAGEREF _Toc70944212 \h </w:instrText>
            </w:r>
            <w:r w:rsidR="0031746E">
              <w:rPr>
                <w:webHidden/>
              </w:rPr>
            </w:r>
            <w:r w:rsidR="0031746E">
              <w:rPr>
                <w:webHidden/>
              </w:rPr>
              <w:fldChar w:fldCharType="separate"/>
            </w:r>
            <w:r w:rsidR="0031746E">
              <w:rPr>
                <w:webHidden/>
              </w:rPr>
              <w:t>83</w:t>
            </w:r>
            <w:r w:rsidR="0031746E">
              <w:rPr>
                <w:webHidden/>
              </w:rPr>
              <w:fldChar w:fldCharType="end"/>
            </w:r>
          </w:hyperlink>
        </w:p>
        <w:p w14:paraId="13A46129" w14:textId="5F39FC18" w:rsidR="0031746E" w:rsidRDefault="00B66EB7" w:rsidP="00634408">
          <w:pPr>
            <w:pStyle w:val="TOC2"/>
            <w:rPr>
              <w:rFonts w:eastAsiaTheme="minorEastAsia" w:cstheme="minorBidi"/>
              <w:color w:val="auto"/>
              <w:sz w:val="24"/>
              <w:szCs w:val="24"/>
            </w:rPr>
          </w:pPr>
          <w:hyperlink w:anchor="_Toc70944213" w:history="1">
            <w:r w:rsidR="0031746E" w:rsidRPr="001F5254">
              <w:rPr>
                <w:rStyle w:val="Hyperlink"/>
              </w:rPr>
              <w:t>Case Example: Wisconsin</w:t>
            </w:r>
            <w:r w:rsidR="0031746E">
              <w:rPr>
                <w:webHidden/>
              </w:rPr>
              <w:tab/>
            </w:r>
            <w:r w:rsidR="0031746E">
              <w:rPr>
                <w:webHidden/>
              </w:rPr>
              <w:fldChar w:fldCharType="begin"/>
            </w:r>
            <w:r w:rsidR="0031746E">
              <w:rPr>
                <w:webHidden/>
              </w:rPr>
              <w:instrText xml:space="preserve"> PAGEREF _Toc70944213 \h </w:instrText>
            </w:r>
            <w:r w:rsidR="0031746E">
              <w:rPr>
                <w:webHidden/>
              </w:rPr>
            </w:r>
            <w:r w:rsidR="0031746E">
              <w:rPr>
                <w:webHidden/>
              </w:rPr>
              <w:fldChar w:fldCharType="separate"/>
            </w:r>
            <w:r w:rsidR="0031746E">
              <w:rPr>
                <w:webHidden/>
              </w:rPr>
              <w:t>84</w:t>
            </w:r>
            <w:r w:rsidR="0031746E">
              <w:rPr>
                <w:webHidden/>
              </w:rPr>
              <w:fldChar w:fldCharType="end"/>
            </w:r>
          </w:hyperlink>
        </w:p>
        <w:p w14:paraId="24302FBF" w14:textId="21955636" w:rsidR="0031746E" w:rsidRDefault="00B66EB7" w:rsidP="00634408">
          <w:pPr>
            <w:pStyle w:val="TOC2"/>
            <w:rPr>
              <w:rFonts w:eastAsiaTheme="minorEastAsia" w:cstheme="minorBidi"/>
              <w:color w:val="auto"/>
              <w:sz w:val="24"/>
              <w:szCs w:val="24"/>
            </w:rPr>
          </w:pPr>
          <w:hyperlink w:anchor="_Toc70944214" w:history="1">
            <w:r w:rsidR="0031746E" w:rsidRPr="001F5254">
              <w:rPr>
                <w:rStyle w:val="Hyperlink"/>
              </w:rPr>
              <w:t>Case Example: Tennessee</w:t>
            </w:r>
            <w:r w:rsidR="0031746E">
              <w:rPr>
                <w:webHidden/>
              </w:rPr>
              <w:tab/>
            </w:r>
            <w:r w:rsidR="0031746E">
              <w:rPr>
                <w:webHidden/>
              </w:rPr>
              <w:fldChar w:fldCharType="begin"/>
            </w:r>
            <w:r w:rsidR="0031746E">
              <w:rPr>
                <w:webHidden/>
              </w:rPr>
              <w:instrText xml:space="preserve"> PAGEREF _Toc70944214 \h </w:instrText>
            </w:r>
            <w:r w:rsidR="0031746E">
              <w:rPr>
                <w:webHidden/>
              </w:rPr>
            </w:r>
            <w:r w:rsidR="0031746E">
              <w:rPr>
                <w:webHidden/>
              </w:rPr>
              <w:fldChar w:fldCharType="separate"/>
            </w:r>
            <w:r w:rsidR="0031746E">
              <w:rPr>
                <w:webHidden/>
              </w:rPr>
              <w:t>86</w:t>
            </w:r>
            <w:r w:rsidR="0031746E">
              <w:rPr>
                <w:webHidden/>
              </w:rPr>
              <w:fldChar w:fldCharType="end"/>
            </w:r>
          </w:hyperlink>
        </w:p>
        <w:p w14:paraId="67A481A9" w14:textId="2E2913EA" w:rsidR="0031746E" w:rsidRPr="00454020" w:rsidRDefault="00B66EB7" w:rsidP="004A1A20">
          <w:pPr>
            <w:pStyle w:val="TOC1"/>
            <w:rPr>
              <w:rFonts w:eastAsiaTheme="minorEastAsia" w:cstheme="minorBidi"/>
              <w:color w:val="auto"/>
            </w:rPr>
          </w:pPr>
          <w:hyperlink w:anchor="_Toc70944215" w:history="1">
            <w:r w:rsidR="0031746E" w:rsidRPr="00454020">
              <w:rPr>
                <w:rStyle w:val="Hyperlink"/>
                <w:rFonts w:ascii="Calibri" w:hAnsi="Calibri"/>
                <w14:scene3d>
                  <w14:camera w14:prst="orthographicFront"/>
                  <w14:lightRig w14:rig="threePt" w14:dir="t">
                    <w14:rot w14:lat="0" w14:lon="0" w14:rev="0"/>
                  </w14:lightRig>
                </w14:scene3d>
              </w:rPr>
              <w:t>XI.</w:t>
            </w:r>
            <w:r w:rsidR="0031746E" w:rsidRPr="00454020">
              <w:rPr>
                <w:rFonts w:eastAsiaTheme="minorEastAsia" w:cstheme="minorBidi"/>
                <w:color w:val="auto"/>
              </w:rPr>
              <w:tab/>
            </w:r>
            <w:r w:rsidR="0031746E" w:rsidRPr="00454020">
              <w:rPr>
                <w:rStyle w:val="Hyperlink"/>
                <w:rFonts w:ascii="Calibri" w:hAnsi="Calibri"/>
              </w:rPr>
              <w:t>What’s Next? Pushing the Envelope on Funding Models to Advance Competitive Integrated Employment and Employment First</w:t>
            </w:r>
            <w:r w:rsidR="0031746E" w:rsidRPr="00454020">
              <w:rPr>
                <w:webHidden/>
              </w:rPr>
              <w:tab/>
            </w:r>
            <w:r w:rsidR="0031746E" w:rsidRPr="00454020">
              <w:rPr>
                <w:webHidden/>
              </w:rPr>
              <w:fldChar w:fldCharType="begin"/>
            </w:r>
            <w:r w:rsidR="0031746E" w:rsidRPr="00454020">
              <w:rPr>
                <w:webHidden/>
              </w:rPr>
              <w:instrText xml:space="preserve"> PAGEREF _Toc70944215 \h </w:instrText>
            </w:r>
            <w:r w:rsidR="0031746E" w:rsidRPr="00454020">
              <w:rPr>
                <w:webHidden/>
              </w:rPr>
            </w:r>
            <w:r w:rsidR="0031746E" w:rsidRPr="00454020">
              <w:rPr>
                <w:webHidden/>
              </w:rPr>
              <w:fldChar w:fldCharType="separate"/>
            </w:r>
            <w:r w:rsidR="0031746E" w:rsidRPr="00454020">
              <w:rPr>
                <w:webHidden/>
              </w:rPr>
              <w:t>88</w:t>
            </w:r>
            <w:r w:rsidR="0031746E" w:rsidRPr="00454020">
              <w:rPr>
                <w:webHidden/>
              </w:rPr>
              <w:fldChar w:fldCharType="end"/>
            </w:r>
          </w:hyperlink>
        </w:p>
        <w:p w14:paraId="2D0F10FB" w14:textId="2C435448" w:rsidR="0031746E" w:rsidRPr="00634408" w:rsidRDefault="00B66EB7" w:rsidP="00634408">
          <w:pPr>
            <w:pStyle w:val="TOC2"/>
          </w:pPr>
          <w:hyperlink w:anchor="_Toc70944216" w:history="1">
            <w:r w:rsidR="0031746E" w:rsidRPr="001F5254">
              <w:rPr>
                <w:rStyle w:val="Hyperlink"/>
              </w:rPr>
              <w:t>1.</w:t>
            </w:r>
            <w:r w:rsidR="0031746E">
              <w:rPr>
                <w:rFonts w:eastAsiaTheme="minorEastAsia" w:cstheme="minorBidi"/>
                <w:color w:val="auto"/>
                <w:sz w:val="24"/>
                <w:szCs w:val="24"/>
              </w:rPr>
              <w:tab/>
            </w:r>
            <w:r w:rsidR="0031746E" w:rsidRPr="001F5254">
              <w:rPr>
                <w:rStyle w:val="Hyperlink"/>
              </w:rPr>
              <w:t>Incorporating Incentives for People with Disabilities into Competitive Integrated Employment Payment Models</w:t>
            </w:r>
            <w:r w:rsidR="0031746E">
              <w:rPr>
                <w:webHidden/>
              </w:rPr>
              <w:tab/>
            </w:r>
            <w:r w:rsidR="0031746E">
              <w:rPr>
                <w:webHidden/>
              </w:rPr>
              <w:fldChar w:fldCharType="begin"/>
            </w:r>
            <w:r w:rsidR="0031746E">
              <w:rPr>
                <w:webHidden/>
              </w:rPr>
              <w:instrText xml:space="preserve"> PAGEREF _Toc70944216 \h </w:instrText>
            </w:r>
            <w:r w:rsidR="0031746E">
              <w:rPr>
                <w:webHidden/>
              </w:rPr>
            </w:r>
            <w:r w:rsidR="0031746E">
              <w:rPr>
                <w:webHidden/>
              </w:rPr>
              <w:fldChar w:fldCharType="separate"/>
            </w:r>
            <w:r w:rsidR="0031746E">
              <w:rPr>
                <w:webHidden/>
              </w:rPr>
              <w:t>88</w:t>
            </w:r>
            <w:r w:rsidR="0031746E">
              <w:rPr>
                <w:webHidden/>
              </w:rPr>
              <w:fldChar w:fldCharType="end"/>
            </w:r>
          </w:hyperlink>
        </w:p>
        <w:p w14:paraId="360B25D5" w14:textId="62FFA90B" w:rsidR="0031746E" w:rsidRDefault="00B66EB7" w:rsidP="00634408">
          <w:pPr>
            <w:pStyle w:val="TOC2"/>
            <w:rPr>
              <w:rFonts w:eastAsiaTheme="minorEastAsia" w:cstheme="minorBidi"/>
              <w:color w:val="auto"/>
              <w:sz w:val="24"/>
              <w:szCs w:val="24"/>
            </w:rPr>
          </w:pPr>
          <w:hyperlink w:anchor="_Toc70944217" w:history="1">
            <w:r w:rsidR="0031746E" w:rsidRPr="001F5254">
              <w:rPr>
                <w:rStyle w:val="Hyperlink"/>
              </w:rPr>
              <w:t>2.</w:t>
            </w:r>
            <w:r w:rsidR="0031746E">
              <w:rPr>
                <w:rFonts w:eastAsiaTheme="minorEastAsia" w:cstheme="minorBidi"/>
                <w:color w:val="auto"/>
                <w:sz w:val="24"/>
                <w:szCs w:val="24"/>
              </w:rPr>
              <w:tab/>
            </w:r>
            <w:r w:rsidR="0031746E" w:rsidRPr="001F5254">
              <w:rPr>
                <w:rStyle w:val="Hyperlink"/>
              </w:rPr>
              <w:t>Sub-Capitation in Managed Long-Term Services and Supports</w:t>
            </w:r>
            <w:r w:rsidR="0031746E">
              <w:rPr>
                <w:webHidden/>
              </w:rPr>
              <w:tab/>
            </w:r>
            <w:r w:rsidR="0031746E">
              <w:rPr>
                <w:webHidden/>
              </w:rPr>
              <w:fldChar w:fldCharType="begin"/>
            </w:r>
            <w:r w:rsidR="0031746E">
              <w:rPr>
                <w:webHidden/>
              </w:rPr>
              <w:instrText xml:space="preserve"> PAGEREF _Toc70944217 \h </w:instrText>
            </w:r>
            <w:r w:rsidR="0031746E">
              <w:rPr>
                <w:webHidden/>
              </w:rPr>
            </w:r>
            <w:r w:rsidR="0031746E">
              <w:rPr>
                <w:webHidden/>
              </w:rPr>
              <w:fldChar w:fldCharType="separate"/>
            </w:r>
            <w:r w:rsidR="0031746E">
              <w:rPr>
                <w:webHidden/>
              </w:rPr>
              <w:t>89</w:t>
            </w:r>
            <w:r w:rsidR="0031746E">
              <w:rPr>
                <w:webHidden/>
              </w:rPr>
              <w:fldChar w:fldCharType="end"/>
            </w:r>
          </w:hyperlink>
        </w:p>
        <w:p w14:paraId="64B71C24" w14:textId="7ED0BAC5" w:rsidR="0031746E" w:rsidRDefault="00B66EB7" w:rsidP="00634408">
          <w:pPr>
            <w:pStyle w:val="TOC2"/>
            <w:rPr>
              <w:rFonts w:eastAsiaTheme="minorEastAsia" w:cstheme="minorBidi"/>
              <w:color w:val="auto"/>
              <w:sz w:val="24"/>
              <w:szCs w:val="24"/>
            </w:rPr>
          </w:pPr>
          <w:hyperlink w:anchor="_Toc70944218" w:history="1">
            <w:r w:rsidR="0031746E" w:rsidRPr="001F5254">
              <w:rPr>
                <w:rStyle w:val="Hyperlink"/>
              </w:rPr>
              <w:t>3.</w:t>
            </w:r>
            <w:r w:rsidR="0031746E">
              <w:rPr>
                <w:rFonts w:eastAsiaTheme="minorEastAsia" w:cstheme="minorBidi"/>
                <w:color w:val="auto"/>
                <w:sz w:val="24"/>
                <w:szCs w:val="24"/>
              </w:rPr>
              <w:tab/>
            </w:r>
            <w:r w:rsidR="0031746E" w:rsidRPr="001F5254">
              <w:rPr>
                <w:rStyle w:val="Hyperlink"/>
              </w:rPr>
              <w:t>Strategies for Consumer/Self-Direction Models of Purchasing</w:t>
            </w:r>
            <w:r w:rsidR="0031746E">
              <w:rPr>
                <w:webHidden/>
              </w:rPr>
              <w:tab/>
            </w:r>
            <w:r w:rsidR="0031746E">
              <w:rPr>
                <w:webHidden/>
              </w:rPr>
              <w:fldChar w:fldCharType="begin"/>
            </w:r>
            <w:r w:rsidR="0031746E">
              <w:rPr>
                <w:webHidden/>
              </w:rPr>
              <w:instrText xml:space="preserve"> PAGEREF _Toc70944218 \h </w:instrText>
            </w:r>
            <w:r w:rsidR="0031746E">
              <w:rPr>
                <w:webHidden/>
              </w:rPr>
            </w:r>
            <w:r w:rsidR="0031746E">
              <w:rPr>
                <w:webHidden/>
              </w:rPr>
              <w:fldChar w:fldCharType="separate"/>
            </w:r>
            <w:r w:rsidR="0031746E">
              <w:rPr>
                <w:webHidden/>
              </w:rPr>
              <w:t>89</w:t>
            </w:r>
            <w:r w:rsidR="0031746E">
              <w:rPr>
                <w:webHidden/>
              </w:rPr>
              <w:fldChar w:fldCharType="end"/>
            </w:r>
          </w:hyperlink>
        </w:p>
        <w:p w14:paraId="5FBF8105" w14:textId="0CA8A1FD" w:rsidR="0031746E" w:rsidRPr="00454020" w:rsidRDefault="00B66EB7" w:rsidP="004A1A20">
          <w:pPr>
            <w:pStyle w:val="TOC1"/>
            <w:rPr>
              <w:rFonts w:eastAsiaTheme="minorEastAsia" w:cstheme="minorBidi"/>
              <w:color w:val="auto"/>
            </w:rPr>
          </w:pPr>
          <w:hyperlink w:anchor="_Toc70944219" w:history="1">
            <w:r w:rsidR="0031746E" w:rsidRPr="00454020">
              <w:rPr>
                <w:rStyle w:val="Hyperlink"/>
                <w14:scene3d>
                  <w14:camera w14:prst="orthographicFront"/>
                  <w14:lightRig w14:rig="threePt" w14:dir="t">
                    <w14:rot w14:lat="0" w14:lon="0" w14:rev="0"/>
                  </w14:lightRig>
                </w14:scene3d>
              </w:rPr>
              <w:t>XII.</w:t>
            </w:r>
            <w:r w:rsidR="0031746E" w:rsidRPr="00454020">
              <w:rPr>
                <w:rFonts w:eastAsiaTheme="minorEastAsia" w:cstheme="minorBidi"/>
                <w:color w:val="auto"/>
              </w:rPr>
              <w:tab/>
            </w:r>
            <w:r w:rsidR="0031746E" w:rsidRPr="00454020">
              <w:rPr>
                <w:rStyle w:val="Hyperlink"/>
              </w:rPr>
              <w:t>Conclusion</w:t>
            </w:r>
            <w:r w:rsidR="0031746E" w:rsidRPr="00454020">
              <w:rPr>
                <w:webHidden/>
              </w:rPr>
              <w:tab/>
            </w:r>
            <w:r w:rsidR="0031746E" w:rsidRPr="00454020">
              <w:rPr>
                <w:webHidden/>
              </w:rPr>
              <w:fldChar w:fldCharType="begin"/>
            </w:r>
            <w:r w:rsidR="0031746E" w:rsidRPr="00454020">
              <w:rPr>
                <w:webHidden/>
              </w:rPr>
              <w:instrText xml:space="preserve"> PAGEREF _Toc70944219 \h </w:instrText>
            </w:r>
            <w:r w:rsidR="0031746E" w:rsidRPr="00454020">
              <w:rPr>
                <w:webHidden/>
              </w:rPr>
            </w:r>
            <w:r w:rsidR="0031746E" w:rsidRPr="00454020">
              <w:rPr>
                <w:webHidden/>
              </w:rPr>
              <w:fldChar w:fldCharType="separate"/>
            </w:r>
            <w:r w:rsidR="0031746E" w:rsidRPr="00454020">
              <w:rPr>
                <w:webHidden/>
              </w:rPr>
              <w:t>91</w:t>
            </w:r>
            <w:r w:rsidR="0031746E" w:rsidRPr="00454020">
              <w:rPr>
                <w:webHidden/>
              </w:rPr>
              <w:fldChar w:fldCharType="end"/>
            </w:r>
          </w:hyperlink>
        </w:p>
        <w:p w14:paraId="1C16583C" w14:textId="10439749" w:rsidR="008F7499" w:rsidRPr="0031746E" w:rsidRDefault="004667DF" w:rsidP="0031746E">
          <w:r>
            <w:rPr>
              <w:b/>
              <w:bCs/>
              <w:noProof/>
            </w:rPr>
            <w:fldChar w:fldCharType="end"/>
          </w:r>
        </w:p>
      </w:sdtContent>
    </w:sdt>
    <w:p w14:paraId="2D65A1BA" w14:textId="5922835C" w:rsidR="008F7499" w:rsidRDefault="008F7499" w:rsidP="00ED19A7">
      <w:pPr>
        <w:spacing w:before="0" w:after="0" w:line="240" w:lineRule="auto"/>
        <w:rPr>
          <w:b/>
          <w:noProof/>
        </w:rPr>
        <w:sectPr w:rsidR="008F7499" w:rsidSect="00CB6E0E">
          <w:pgSz w:w="12240" w:h="15840"/>
          <w:pgMar w:top="1008" w:right="864" w:bottom="1008" w:left="720" w:header="720" w:footer="720" w:gutter="720"/>
          <w:pgNumType w:fmt="lowerRoman" w:start="1"/>
          <w:cols w:space="720"/>
          <w:titlePg/>
          <w:docGrid w:linePitch="360"/>
        </w:sectPr>
      </w:pPr>
    </w:p>
    <w:p w14:paraId="2EFA16A4" w14:textId="77777777" w:rsidR="00F4472C" w:rsidRPr="007B181F" w:rsidRDefault="00F261D3" w:rsidP="00312093">
      <w:pPr>
        <w:pStyle w:val="Heading1-Nonumbering"/>
        <w:spacing w:before="0"/>
      </w:pPr>
      <w:bookmarkStart w:id="0" w:name="_Toc70944154"/>
      <w:r w:rsidRPr="007B181F">
        <w:lastRenderedPageBreak/>
        <w:t>Foreword</w:t>
      </w:r>
      <w:bookmarkEnd w:id="0"/>
    </w:p>
    <w:p w14:paraId="4B4362A6" w14:textId="31E9B778" w:rsidR="00F261D3" w:rsidRPr="00F261D3" w:rsidRDefault="00F261D3" w:rsidP="00B1367E">
      <w:r w:rsidRPr="00F261D3">
        <w:t>For more than two decades, I have spoken with anyone willing to listen about the idea of “Income Generation for All.” During these thought-provoking conversations, I am often asked if I truly mean to be saying that ALL people can work and earn</w:t>
      </w:r>
      <w:r w:rsidR="00223715">
        <w:t xml:space="preserve"> a competitive </w:t>
      </w:r>
      <w:r w:rsidRPr="00F261D3">
        <w:t>income. I used to quickly and enthusiastically respond, “Yes, all people can be successful with the right supports around them.” Through the years, however, I have found that our focus needs to be on something even more fundamental</w:t>
      </w:r>
      <w:r w:rsidR="008C4BED">
        <w:t xml:space="preserve">: </w:t>
      </w:r>
      <w:r w:rsidRPr="00F261D3">
        <w:t xml:space="preserve">ensuring everyone with a disability is </w:t>
      </w:r>
      <w:r w:rsidRPr="00783DB2">
        <w:rPr>
          <w:b/>
          <w:i/>
        </w:rPr>
        <w:t>given the chance</w:t>
      </w:r>
      <w:r w:rsidRPr="00F261D3">
        <w:t xml:space="preserve"> to succeed in </w:t>
      </w:r>
      <w:r w:rsidR="00223715">
        <w:t>competitive integrated employment</w:t>
      </w:r>
      <w:r w:rsidRPr="00F261D3">
        <w:t xml:space="preserve">. I have also come to recognize that giving people “a chance” means ensuring they have the supports, opportunities, and most importantly – </w:t>
      </w:r>
      <w:r w:rsidRPr="00783DB2">
        <w:rPr>
          <w:b/>
          <w:i/>
        </w:rPr>
        <w:t>the encouragement</w:t>
      </w:r>
      <w:r w:rsidRPr="00F261D3">
        <w:t xml:space="preserve"> – to try </w:t>
      </w:r>
      <w:r w:rsidR="00223715">
        <w:t xml:space="preserve">competitive integrated </w:t>
      </w:r>
      <w:r w:rsidRPr="00F261D3">
        <w:t xml:space="preserve">employment. </w:t>
      </w:r>
    </w:p>
    <w:p w14:paraId="732C68AC" w14:textId="1EE0374E" w:rsidR="00F261D3" w:rsidRPr="00F261D3" w:rsidRDefault="00F261D3" w:rsidP="00B1367E">
      <w:r w:rsidRPr="00F261D3">
        <w:t xml:space="preserve">As professionals of all stripes in the world of supports and services for people with disabilities, if WE don’t believe people with disabilities can succeed in </w:t>
      </w:r>
      <w:r w:rsidR="00223715">
        <w:t xml:space="preserve">competitive integrated </w:t>
      </w:r>
      <w:r w:rsidRPr="00F261D3">
        <w:t>employment, then who will</w:t>
      </w:r>
      <w:r w:rsidR="00590DD9">
        <w:t xml:space="preserve">? </w:t>
      </w:r>
      <w:r w:rsidRPr="00F261D3">
        <w:t>It has to be US, in partnership with the people we serve, that forge the path to success.</w:t>
      </w:r>
    </w:p>
    <w:p w14:paraId="09B87DAE" w14:textId="77777777" w:rsidR="00F261D3" w:rsidRPr="00F261D3" w:rsidRDefault="00F261D3" w:rsidP="00B1367E">
      <w:r w:rsidRPr="00F261D3">
        <w:t>At Oakland Community Health Network, we provide funding and oversight of service contracts for more than 27,000 people with intellectual or developmental disabilities, mental health needs, and substance use disorders. For many years, we have had the privilege to work with and benefit from the insight of Dr. Lisa Mills. Prior to meeting Dr. Mills, our employment services were historically funded using fee-for-service reimbursement methodologies. This practice promoted data, claims and service volume</w:t>
      </w:r>
      <w:r w:rsidR="00223715">
        <w:t>;</w:t>
      </w:r>
      <w:r w:rsidRPr="00F261D3">
        <w:t xml:space="preserve"> but didn’t distinguish quality or actual employment outcomes. </w:t>
      </w:r>
    </w:p>
    <w:p w14:paraId="05BA44F8" w14:textId="77777777" w:rsidR="00F261D3" w:rsidRPr="00F261D3" w:rsidRDefault="00F261D3" w:rsidP="00B1367E">
      <w:r w:rsidRPr="00F261D3">
        <w:t xml:space="preserve">Dr. Mills helped us realize the old saying is true, “You get what you pay for!” We soon made the informed decision to more clearly define our desired Supported Employment service outcome: competitive, integrated employment for ALL people. This included more transparent incentives for providers who excelled at delivering quality employment outcomes for individuals we mutually support, </w:t>
      </w:r>
      <w:r w:rsidRPr="009F5F0C">
        <w:t>including those individuals with the most significant and challenging impact of disability.</w:t>
      </w:r>
    </w:p>
    <w:p w14:paraId="55F49FE1" w14:textId="77777777" w:rsidR="00F261D3" w:rsidRPr="00F261D3" w:rsidRDefault="00F261D3" w:rsidP="00B1367E">
      <w:r w:rsidRPr="00343F83">
        <w:t xml:space="preserve">Our </w:t>
      </w:r>
      <w:r w:rsidR="007079F1" w:rsidRPr="00343F83">
        <w:t>S</w:t>
      </w:r>
      <w:r w:rsidRPr="00343F83">
        <w:t xml:space="preserve">upported </w:t>
      </w:r>
      <w:r w:rsidR="007079F1" w:rsidRPr="00343F83">
        <w:t>E</w:t>
      </w:r>
      <w:r w:rsidRPr="00343F83">
        <w:t xml:space="preserve">mployment service providers are now paid based on the </w:t>
      </w:r>
      <w:r w:rsidRPr="00386FD8">
        <w:t>hours people we serve</w:t>
      </w:r>
      <w:r w:rsidR="00EA3F43">
        <w:t xml:space="preserve"> </w:t>
      </w:r>
      <w:r w:rsidRPr="00343F83">
        <w:t>work in competitive, integrated jobs in our local community.</w:t>
      </w:r>
      <w:r w:rsidRPr="00F261D3">
        <w:t xml:space="preserve"> Higher rates are paid for those with greater needs, as we remain fully committed to the promotion of income generation as a valued outcome for ALL people, regardless of their level of disability. We have learned that to successfully advance our Employment First values, meet policy expectations, and achieve systems transformation that truly delivers </w:t>
      </w:r>
      <w:r w:rsidR="009F5F0C">
        <w:t xml:space="preserve">a </w:t>
      </w:r>
      <w:r w:rsidRPr="00F261D3">
        <w:t>better quality of life and increased economic self-sufficiency for people with disabilities</w:t>
      </w:r>
      <w:r w:rsidR="005363DA">
        <w:t xml:space="preserve">, </w:t>
      </w:r>
      <w:r w:rsidRPr="00F261D3">
        <w:t>we needed to thoroughly analyze our funding methodologies.</w:t>
      </w:r>
    </w:p>
    <w:p w14:paraId="24A66703" w14:textId="105A82C6" w:rsidR="004021A7" w:rsidRDefault="00F261D3" w:rsidP="00B1367E">
      <w:r w:rsidRPr="00F261D3">
        <w:t xml:space="preserve">The exciting ideas and approaches outlined in this </w:t>
      </w:r>
      <w:r w:rsidR="00017C97">
        <w:t>g</w:t>
      </w:r>
      <w:r w:rsidRPr="00F261D3">
        <w:t>uide will help you explore the mission of your work in a new and invigorating way. You may scratch your head at times when asking yourself and your teams, what are we incentivizing via our current payment structures</w:t>
      </w:r>
      <w:r w:rsidR="00852187">
        <w:t xml:space="preserve">? </w:t>
      </w:r>
      <w:r w:rsidRPr="00F261D3">
        <w:t xml:space="preserve">And like so many other important times and tipping points in the history of the disability rights movement, you should be prepared to remind yourselves of the famous Maya Angelo quote, </w:t>
      </w:r>
      <w:r w:rsidRPr="00C0791E">
        <w:rPr>
          <w:i/>
          <w:iCs/>
        </w:rPr>
        <w:t xml:space="preserve">“You do the best you can until you know better, and then when you know better, you do better.” </w:t>
      </w:r>
      <w:r w:rsidRPr="00F261D3">
        <w:t>It is the evolution of doing better and helping more and more people achieve employment success that makes the work we get to do every day so exciting, worthwhile, and fun.</w:t>
      </w:r>
    </w:p>
    <w:p w14:paraId="1ECAA3A0" w14:textId="77777777" w:rsidR="00CE168D" w:rsidRDefault="00CE168D" w:rsidP="00CE168D">
      <w:pPr>
        <w:spacing w:before="0" w:after="0" w:line="240" w:lineRule="auto"/>
      </w:pPr>
    </w:p>
    <w:p w14:paraId="5EF3FA2E" w14:textId="77777777" w:rsidR="00717E4A" w:rsidRPr="007C09FC" w:rsidRDefault="004021A7" w:rsidP="00792B86">
      <w:pPr>
        <w:pStyle w:val="Subtitle"/>
        <w:spacing w:before="0" w:after="0"/>
        <w:ind w:left="3240"/>
        <w:rPr>
          <w:i/>
          <w:iCs w:val="0"/>
        </w:rPr>
        <w:sectPr w:rsidR="00717E4A" w:rsidRPr="007C09FC" w:rsidSect="00203E9A">
          <w:pgSz w:w="12240" w:h="15840"/>
          <w:pgMar w:top="1440" w:right="1440" w:bottom="1440" w:left="1440" w:header="720" w:footer="720" w:gutter="0"/>
          <w:pgNumType w:fmt="lowerRoman"/>
          <w:cols w:space="720"/>
          <w:titlePg/>
          <w:docGrid w:linePitch="360"/>
        </w:sectPr>
      </w:pPr>
      <w:r w:rsidRPr="007C09FC">
        <w:rPr>
          <w:i/>
          <w:iCs w:val="0"/>
        </w:rPr>
        <w:t>Annette Downey</w:t>
      </w:r>
      <w:r w:rsidR="00C0791E" w:rsidRPr="007C09FC">
        <w:rPr>
          <w:i/>
          <w:iCs w:val="0"/>
        </w:rPr>
        <w:t xml:space="preserve">, </w:t>
      </w:r>
      <w:r w:rsidRPr="007C09FC">
        <w:rPr>
          <w:i/>
          <w:iCs w:val="0"/>
        </w:rPr>
        <w:t>Executive Director and Chief Executive Officer</w:t>
      </w:r>
      <w:r w:rsidRPr="007C09FC">
        <w:rPr>
          <w:i/>
          <w:iCs w:val="0"/>
        </w:rPr>
        <w:br/>
        <w:t>Oakland Community Health Network</w:t>
      </w:r>
      <w:r w:rsidR="00C0791E" w:rsidRPr="007C09FC">
        <w:rPr>
          <w:i/>
          <w:iCs w:val="0"/>
        </w:rPr>
        <w:t xml:space="preserve">, </w:t>
      </w:r>
      <w:r w:rsidRPr="007C09FC">
        <w:rPr>
          <w:i/>
          <w:iCs w:val="0"/>
        </w:rPr>
        <w:t>Oakland County, Michiga</w:t>
      </w:r>
      <w:r w:rsidR="004B0E6C" w:rsidRPr="007C09FC">
        <w:rPr>
          <w:i/>
          <w:iCs w:val="0"/>
        </w:rPr>
        <w:t>n</w:t>
      </w:r>
    </w:p>
    <w:p w14:paraId="50D1945F" w14:textId="77777777" w:rsidR="007D4EE6" w:rsidRPr="00022B8D" w:rsidRDefault="00CE168D" w:rsidP="001666DE">
      <w:pPr>
        <w:pStyle w:val="Heading1"/>
        <w:spacing w:before="0"/>
      </w:pPr>
      <w:bookmarkStart w:id="1" w:name="_Toc70944155"/>
      <w:r w:rsidRPr="00022B8D">
        <w:lastRenderedPageBreak/>
        <w:t>Introduction</w:t>
      </w:r>
      <w:bookmarkEnd w:id="1"/>
    </w:p>
    <w:p w14:paraId="1335DC4D" w14:textId="77777777" w:rsidR="00740E35" w:rsidRPr="009F2EF2" w:rsidRDefault="0069556B" w:rsidP="00401D8D">
      <w:pPr>
        <w:pStyle w:val="Heading2"/>
        <w:spacing w:after="180"/>
      </w:pPr>
      <w:bookmarkStart w:id="2" w:name="_Toc70944156"/>
      <w:r w:rsidRPr="009F2EF2">
        <w:t xml:space="preserve">Why This </w:t>
      </w:r>
      <w:r w:rsidRPr="007202B3">
        <w:t>Guide</w:t>
      </w:r>
      <w:r w:rsidRPr="009F2EF2">
        <w:t xml:space="preserve"> Was Created</w:t>
      </w:r>
      <w:bookmarkEnd w:id="2"/>
    </w:p>
    <w:p w14:paraId="14513D02" w14:textId="55E608A3" w:rsidR="0069556B" w:rsidRPr="009F7224" w:rsidRDefault="0069556B" w:rsidP="00B1367E">
      <w:r w:rsidRPr="009F7224">
        <w:t xml:space="preserve">This guide </w:t>
      </w:r>
      <w:r w:rsidR="00442AC6">
        <w:t>was</w:t>
      </w:r>
      <w:r w:rsidRPr="009F7224">
        <w:t xml:space="preserve"> created to assist state agencies and other funding sources (</w:t>
      </w:r>
      <w:r w:rsidR="00023280">
        <w:t xml:space="preserve">e.g., </w:t>
      </w:r>
      <w:r w:rsidRPr="009F7224">
        <w:t>managed care organizations, county governments, school districts, etc.) that serve people with disabilities and purchase</w:t>
      </w:r>
      <w:r w:rsidR="00520A6B">
        <w:t>,</w:t>
      </w:r>
      <w:r w:rsidRPr="009F7224">
        <w:t xml:space="preserve"> or plan to purchase</w:t>
      </w:r>
      <w:r w:rsidR="00520A6B">
        <w:t>,</w:t>
      </w:r>
      <w:r w:rsidRPr="009F7224">
        <w:t xml:space="preserve"> services that support competitive integrated employment participation</w:t>
      </w:r>
      <w:r w:rsidR="005043F4">
        <w:t xml:space="preserve">. </w:t>
      </w:r>
    </w:p>
    <w:p w14:paraId="0B9E30B3" w14:textId="18A4A0F1" w:rsidR="0069556B" w:rsidRPr="009F7224" w:rsidRDefault="0069556B" w:rsidP="00B1367E">
      <w:r w:rsidRPr="009F7224">
        <w:t>Throughout the country, the emphasis on public programs increasing competitive integrated employment outcomes among people with disabilities</w:t>
      </w:r>
      <w:r w:rsidR="00717BC3" w:rsidRPr="002A0254">
        <w:rPr>
          <w:szCs w:val="22"/>
        </w:rPr>
        <w:t>, especially those with mental health disabilities,</w:t>
      </w:r>
      <w:r w:rsidRPr="009F7224">
        <w:t xml:space="preserve"> has continued to grow. This expectation </w:t>
      </w:r>
      <w:r w:rsidR="00D92F25">
        <w:t>was</w:t>
      </w:r>
      <w:r w:rsidRPr="009F7224">
        <w:t xml:space="preserve"> fueled by a steady growth in research demonstrating the broad and varied benefits of working for people with disabilities, including benefits associated with improved health, mental health, independence, inclusion, financial security, and mobility</w:t>
      </w:r>
      <w:r w:rsidR="000432D9">
        <w:t>,</w:t>
      </w:r>
      <w:r w:rsidRPr="009F7224">
        <w:t xml:space="preserve"> to name just a few. The strong connection between such benefits and reduced costs or more cost-effective outcomes for public programs also continues to be demonstrated through both research and practice.</w:t>
      </w:r>
    </w:p>
    <w:p w14:paraId="4EBEF4A1" w14:textId="013FF59A" w:rsidR="0069556B" w:rsidRPr="009F7224" w:rsidRDefault="0069556B" w:rsidP="00B1367E">
      <w:r w:rsidRPr="009F7224">
        <w:t>Many states have established laws, executive orders, regulations</w:t>
      </w:r>
      <w:r w:rsidR="000432D9">
        <w:t>,</w:t>
      </w:r>
      <w:r w:rsidRPr="009F7224">
        <w:t xml:space="preserve"> and policies prioritizing competitive integrated employment supports and outcomes for people with disabilities served by public programs. </w:t>
      </w:r>
      <w:r w:rsidRPr="00FC003F">
        <w:t>At the same time,</w:t>
      </w:r>
      <w:r w:rsidRPr="009F7224">
        <w:t xml:space="preserve"> the U</w:t>
      </w:r>
      <w:r w:rsidR="00D92F25">
        <w:t>.</w:t>
      </w:r>
      <w:r w:rsidRPr="009F7224">
        <w:t>S</w:t>
      </w:r>
      <w:r w:rsidR="00D92F25">
        <w:t>.</w:t>
      </w:r>
      <w:r w:rsidRPr="009F7224">
        <w:t xml:space="preserve"> Congress has passed new laws (</w:t>
      </w:r>
      <w:r w:rsidR="00023280">
        <w:t xml:space="preserve">e.g., </w:t>
      </w:r>
      <w:r w:rsidRPr="009F7224">
        <w:t>the Workforce Innovation and Opportunity Act of 2014) and the federal government has promulgated new regulations (</w:t>
      </w:r>
      <w:r w:rsidR="00023280">
        <w:t xml:space="preserve">e.g., </w:t>
      </w:r>
      <w:r w:rsidRPr="009F7224">
        <w:t>the Medicaid Home and Community-Based Settings Rule) and released new guidance requiring greater efforts to ensure the growth of competitive integrated employment opportunities for people with disabilities served by Workforce, Vocational Rehabilitation</w:t>
      </w:r>
      <w:r>
        <w:t>, Education, Mental Health,</w:t>
      </w:r>
      <w:r w:rsidRPr="009F7224">
        <w:t xml:space="preserve"> and Medicaid programs.</w:t>
      </w:r>
    </w:p>
    <w:p w14:paraId="0EBBA7C6" w14:textId="5C5FADA6" w:rsidR="0069556B" w:rsidRPr="009F7224" w:rsidRDefault="0069556B" w:rsidP="00B1367E">
      <w:r w:rsidRPr="000D0E70">
        <w:t>At the same time,</w:t>
      </w:r>
      <w:r w:rsidRPr="009F7224">
        <w:t xml:space="preserve"> </w:t>
      </w:r>
      <w:r w:rsidRPr="000D0E70">
        <w:t xml:space="preserve">there has </w:t>
      </w:r>
      <w:r w:rsidR="00BC5712" w:rsidRPr="000D0E70">
        <w:t xml:space="preserve">generally </w:t>
      </w:r>
      <w:r w:rsidRPr="000D0E70">
        <w:t>been a broader focus on the adequacy of rates paid for Medicaid waiver services.</w:t>
      </w:r>
      <w:r w:rsidRPr="009F7224">
        <w:t xml:space="preserve"> In recent years, the Centers for Medicare and Medicaid Services (CMS) has emphasized the critical importance of rate sufficiency in Medicaid Home and Community-Based Services (HCBS) Waiver programs. Additionally, the Rehabilitation Services Administration</w:t>
      </w:r>
      <w:r>
        <w:t xml:space="preserve"> (RSA)</w:t>
      </w:r>
      <w:r w:rsidRPr="009F7224">
        <w:t xml:space="preserve"> placed new expectations on states to establish statewide fee structures based on </w:t>
      </w:r>
      <w:r w:rsidR="00A44BE5">
        <w:t xml:space="preserve">an </w:t>
      </w:r>
      <w:r w:rsidRPr="009F7224">
        <w:t>accurate understanding of contracted vendor costs associated with quality service delivery that produces desired outcomes. There are now either federal requirements or strong expectations that these programs have funding structures to support the use of evidence-based practices (</w:t>
      </w:r>
      <w:r w:rsidR="00023280">
        <w:t xml:space="preserve">e.g., </w:t>
      </w:r>
      <w:r w:rsidRPr="009F7224">
        <w:t>Individual Placement and Support</w:t>
      </w:r>
      <w:r>
        <w:t xml:space="preserve"> (IPS</w:t>
      </w:r>
      <w:r w:rsidRPr="00AF28DB">
        <w:t>)</w:t>
      </w:r>
      <w:r w:rsidR="002C7D84">
        <w:t>,</w:t>
      </w:r>
      <w:r w:rsidRPr="009F7224">
        <w:t xml:space="preserve"> Customized Employment) including practices that address people with more significant disabilities who in past decades </w:t>
      </w:r>
      <w:r w:rsidR="00D92F25">
        <w:t>were</w:t>
      </w:r>
      <w:r w:rsidRPr="009F7224">
        <w:t xml:space="preserve"> presumed unable to be competitively employed</w:t>
      </w:r>
      <w:r w:rsidR="005043F4">
        <w:t xml:space="preserve">. </w:t>
      </w:r>
    </w:p>
    <w:p w14:paraId="501FFDE4" w14:textId="77777777" w:rsidR="0069556B" w:rsidRPr="009F7224" w:rsidRDefault="0069556B" w:rsidP="00B1367E">
      <w:r w:rsidRPr="00A21F42">
        <w:t>Against this backdrop, as expectations around competitive integrated employment for people with disabilities continue to grow nationally, state agencies and other entities that directly contract for and purchase services for people with disabilities have begun to look closely at their funding structures, including reimbursement rates and rate methodologies, that may be impacting their efforts to grow competitive integrated employment participation among people with disabilities.</w:t>
      </w:r>
      <w:r w:rsidRPr="009F7224">
        <w:t xml:space="preserve"> </w:t>
      </w:r>
    </w:p>
    <w:p w14:paraId="765BFF0C" w14:textId="1508F753" w:rsidR="0069556B" w:rsidRPr="009F7224" w:rsidRDefault="0069556B" w:rsidP="00B1367E">
      <w:r w:rsidRPr="009F7224">
        <w:t>In 2012, the U</w:t>
      </w:r>
      <w:r w:rsidR="00D92F25">
        <w:t>.</w:t>
      </w:r>
      <w:r w:rsidRPr="009F7224">
        <w:t>S</w:t>
      </w:r>
      <w:r w:rsidR="00D92F25">
        <w:t>.</w:t>
      </w:r>
      <w:r w:rsidRPr="009F7224">
        <w:t xml:space="preserve"> Department of Labor</w:t>
      </w:r>
      <w:r w:rsidR="00D92F25">
        <w:t>’s</w:t>
      </w:r>
      <w:r w:rsidRPr="009F7224">
        <w:t xml:space="preserve"> Office of Disability Employment Policy (ODEP) launched the Employment First State Leadership Mentoring Program (EFSLMP) to support states in a broad-based way to advance competitive integrated employment for people with disabilities. </w:t>
      </w:r>
      <w:r w:rsidRPr="009F7224">
        <w:rPr>
          <w:color w:val="212121"/>
          <w:shd w:val="clear" w:color="auto" w:fill="FFFFFF"/>
        </w:rPr>
        <w:t xml:space="preserve">Under this approach, publicly-financed systems are supported to align policies, service delivery practices, and reimbursement structures </w:t>
      </w:r>
      <w:r w:rsidR="00D92F25">
        <w:rPr>
          <w:color w:val="212121"/>
          <w:shd w:val="clear" w:color="auto" w:fill="FFFFFF"/>
        </w:rPr>
        <w:t>to promote</w:t>
      </w:r>
      <w:r w:rsidRPr="009F7224">
        <w:rPr>
          <w:color w:val="212121"/>
          <w:shd w:val="clear" w:color="auto" w:fill="FFFFFF"/>
        </w:rPr>
        <w:t xml:space="preserve"> integrated employment as the priority option with respect to the use of publicly-financed day and employment services for youth and adults with significant </w:t>
      </w:r>
      <w:r w:rsidRPr="009F7224">
        <w:rPr>
          <w:color w:val="212121"/>
          <w:shd w:val="clear" w:color="auto" w:fill="FFFFFF"/>
        </w:rPr>
        <w:lastRenderedPageBreak/>
        <w:t>disabilities.</w:t>
      </w:r>
      <w:r w:rsidRPr="009F7224">
        <w:rPr>
          <w:rStyle w:val="FootnoteReference"/>
          <w:rFonts w:cstheme="minorHAnsi"/>
          <w:color w:val="212121"/>
          <w:shd w:val="clear" w:color="auto" w:fill="FFFFFF"/>
        </w:rPr>
        <w:footnoteReference w:id="2"/>
      </w:r>
      <w:r w:rsidRPr="009F7224">
        <w:rPr>
          <w:color w:val="212121"/>
          <w:shd w:val="clear" w:color="auto" w:fill="FFFFFF"/>
        </w:rPr>
        <w:t> </w:t>
      </w:r>
      <w:r w:rsidR="000E0FDD" w:rsidRPr="00B829F9">
        <w:rPr>
          <w:szCs w:val="22"/>
        </w:rPr>
        <w:t xml:space="preserve">State agencies from around the country and across systems were invited to apply to be part of the EFSLMP, benefitting from training, </w:t>
      </w:r>
      <w:r w:rsidR="000E0FDD" w:rsidRPr="003B695A">
        <w:rPr>
          <w:szCs w:val="22"/>
        </w:rPr>
        <w:t>technical assistance, and subject matter experts assigned based on each state’s unique self-assessment and plan for advancing competitive integrated employment.</w:t>
      </w:r>
      <w:r w:rsidR="000E0FDD" w:rsidRPr="00B829F9">
        <w:rPr>
          <w:szCs w:val="22"/>
        </w:rPr>
        <w:t xml:space="preserve"> </w:t>
      </w:r>
      <w:r w:rsidR="00BA3F13" w:rsidRPr="00B829F9">
        <w:rPr>
          <w:color w:val="212121"/>
          <w:szCs w:val="22"/>
          <w:shd w:val="clear" w:color="auto" w:fill="FFFFFF"/>
        </w:rPr>
        <w:t>Starting in 2018, EFSLMP</w:t>
      </w:r>
      <w:r w:rsidR="00817790">
        <w:rPr>
          <w:color w:val="212121"/>
          <w:szCs w:val="22"/>
          <w:shd w:val="clear" w:color="auto" w:fill="FFFFFF"/>
        </w:rPr>
        <w:t>, rebranded as Visionary Opportunities to Inspire Competitive Employment (VOICE),</w:t>
      </w:r>
      <w:r w:rsidR="00BA3F13" w:rsidRPr="00B829F9">
        <w:rPr>
          <w:color w:val="212121"/>
          <w:szCs w:val="22"/>
          <w:shd w:val="clear" w:color="auto" w:fill="FFFFFF"/>
        </w:rPr>
        <w:t xml:space="preserve"> placed a particular focus on increasing competitive integrated employment opportunities for people with mental health disabilities</w:t>
      </w:r>
      <w:r w:rsidR="000E0FDD">
        <w:rPr>
          <w:color w:val="212121"/>
          <w:szCs w:val="22"/>
          <w:shd w:val="clear" w:color="auto" w:fill="FFFFFF"/>
        </w:rPr>
        <w:t xml:space="preserve">, </w:t>
      </w:r>
      <w:r w:rsidR="000E0FDD">
        <w:rPr>
          <w:szCs w:val="22"/>
        </w:rPr>
        <w:t>a</w:t>
      </w:r>
      <w:r w:rsidR="00B829F9" w:rsidRPr="00B829F9">
        <w:rPr>
          <w:szCs w:val="22"/>
        </w:rPr>
        <w:t>nd starting in 2019, the mental health state agency was either the lead or co-lead for all EFSLMP</w:t>
      </w:r>
      <w:r w:rsidR="00817790">
        <w:rPr>
          <w:szCs w:val="22"/>
        </w:rPr>
        <w:t>/VOICE</w:t>
      </w:r>
      <w:r w:rsidR="00B829F9" w:rsidRPr="00B829F9">
        <w:rPr>
          <w:szCs w:val="22"/>
        </w:rPr>
        <w:t xml:space="preserve"> activities</w:t>
      </w:r>
      <w:r w:rsidR="00412F61">
        <w:rPr>
          <w:szCs w:val="22"/>
        </w:rPr>
        <w:t>,</w:t>
      </w:r>
      <w:r w:rsidR="00B829F9" w:rsidRPr="00B829F9">
        <w:rPr>
          <w:szCs w:val="22"/>
        </w:rPr>
        <w:t xml:space="preserve"> including rate reimbursement restructuring.</w:t>
      </w:r>
    </w:p>
    <w:p w14:paraId="42546CCA" w14:textId="492162AD" w:rsidR="0069556B" w:rsidRPr="009F7224" w:rsidRDefault="0069556B" w:rsidP="00B1367E">
      <w:r w:rsidRPr="009F7224">
        <w:t>Not long after the creation of the EFSLMP</w:t>
      </w:r>
      <w:r w:rsidR="00817790">
        <w:t>/VOICE</w:t>
      </w:r>
      <w:r w:rsidRPr="009F7224">
        <w:t xml:space="preserve"> initiative, it became clear that many states involved wanted to address their funding structures, not just </w:t>
      </w:r>
      <w:r w:rsidRPr="009F7224">
        <w:rPr>
          <w:b/>
          <w:i/>
        </w:rPr>
        <w:t>how much</w:t>
      </w:r>
      <w:r w:rsidRPr="009F7224">
        <w:t xml:space="preserve"> they paid for various services</w:t>
      </w:r>
      <w:r w:rsidR="00D92F25">
        <w:t>,</w:t>
      </w:r>
      <w:r w:rsidRPr="009F7224">
        <w:t xml:space="preserve"> but </w:t>
      </w:r>
      <w:r w:rsidRPr="009F7224">
        <w:rPr>
          <w:b/>
          <w:i/>
        </w:rPr>
        <w:t>how</w:t>
      </w:r>
      <w:r w:rsidRPr="009F7224">
        <w:t xml:space="preserve"> they paid</w:t>
      </w:r>
      <w:r w:rsidR="00D85E0C">
        <w:t>—</w:t>
      </w:r>
      <w:r w:rsidRPr="009F7224">
        <w:t>in other words, the specific methodology they used to pay. The focus quickly included paying for outcomes in addition to the traditional focus on purchasing services. Whether the agencies had never paid for outcomes and had only paid for services, or they had a history of paying for milestones or outcomes, many were interested in developing new and innovative ways to align financial incentives for service providers around achieving outcomes linked to increasing competitive integrated employment participation among people with disabilities</w:t>
      </w:r>
      <w:r w:rsidR="00817790">
        <w:t>, including those with mental health disabilities</w:t>
      </w:r>
      <w:r w:rsidR="005043F4">
        <w:t xml:space="preserve">. </w:t>
      </w:r>
    </w:p>
    <w:p w14:paraId="3BDE5DEB" w14:textId="77777777" w:rsidR="0069556B" w:rsidRPr="009F7224" w:rsidRDefault="0069556B" w:rsidP="00B1367E">
      <w:r w:rsidRPr="009F7224">
        <w:t>This overall emphasis on funding structures led to an effort coined as “</w:t>
      </w:r>
      <w:r w:rsidRPr="00B9290A">
        <w:rPr>
          <w:b/>
        </w:rPr>
        <w:t>Rate Restructuring</w:t>
      </w:r>
      <w:r w:rsidR="00344B9C">
        <w:t>.”</w:t>
      </w:r>
      <w:r w:rsidRPr="009F7224">
        <w:t xml:space="preserve"> With the emphasis on changing or creating new reimbursement methodologies, the work encompassed far more than the name it was given; but nonetheless, the idea of “Rate Restructuring” stuck and gained substantial momentum over the years.</w:t>
      </w:r>
    </w:p>
    <w:p w14:paraId="5CC5E6B9" w14:textId="12EE28C1" w:rsidR="0069556B" w:rsidRPr="009F7224" w:rsidRDefault="0069556B" w:rsidP="00B1367E">
      <w:r w:rsidRPr="009F7224">
        <w:t>While many examples of new models for setting rates and designing reimbursement methodologies were developed, through direct or indirect support from EFSLMP</w:t>
      </w:r>
      <w:r w:rsidR="00817790">
        <w:t>/VOICE</w:t>
      </w:r>
      <w:r w:rsidRPr="009F7224">
        <w:t>, there is no existing, single publication where all of this work is featured</w:t>
      </w:r>
      <w:r w:rsidR="0037194D">
        <w:t xml:space="preserve">. </w:t>
      </w:r>
      <w:r w:rsidRPr="009F7224">
        <w:t>This guide is intended to be just that: a single resource that captures a substantial variety of the approaches to “Rate Restructuring” that have been developed and implemented across the country</w:t>
      </w:r>
      <w:r w:rsidR="005043F4">
        <w:t xml:space="preserve">. </w:t>
      </w:r>
    </w:p>
    <w:p w14:paraId="2F3125B1" w14:textId="2FD7783A" w:rsidR="0069556B" w:rsidRPr="009F7224" w:rsidRDefault="0069556B" w:rsidP="00B1367E">
      <w:r w:rsidRPr="006E143C">
        <w:t>As the author of this guide, I am privileged to have been directly involved in</w:t>
      </w:r>
      <w:r w:rsidR="0032663C">
        <w:t xml:space="preserve"> </w:t>
      </w:r>
      <w:r w:rsidR="003A2909">
        <w:t>al</w:t>
      </w:r>
      <w:r w:rsidR="0032663C">
        <w:t>most</w:t>
      </w:r>
      <w:r w:rsidRPr="006E143C">
        <w:t xml:space="preserve"> all of the examples featured</w:t>
      </w:r>
      <w:r w:rsidR="0037194D">
        <w:t xml:space="preserve">. </w:t>
      </w:r>
      <w:r w:rsidRPr="009F7224">
        <w:t>There is no doubt that early adopters influenced later adopters, and that successive efforts appear to have yielded approaches that address some of the real or perceived shortcomings of the earliest innovators in this area</w:t>
      </w:r>
      <w:r w:rsidR="005043F4">
        <w:t xml:space="preserve">. </w:t>
      </w:r>
    </w:p>
    <w:p w14:paraId="0B7FD304" w14:textId="4DF15DD0" w:rsidR="0069556B" w:rsidRPr="009F7224" w:rsidRDefault="0069556B" w:rsidP="00B1367E">
      <w:r w:rsidRPr="009F7224">
        <w:t>What I most want the reader to recognize</w:t>
      </w:r>
      <w:r w:rsidR="00D56FC0">
        <w:t>,</w:t>
      </w:r>
      <w:r w:rsidRPr="009F7224">
        <w:t xml:space="preserve"> </w:t>
      </w:r>
      <w:r w:rsidR="00D56FC0">
        <w:t>by</w:t>
      </w:r>
      <w:r w:rsidRPr="009F7224">
        <w:t xml:space="preserve"> reading this guide</w:t>
      </w:r>
      <w:r w:rsidR="00D56FC0">
        <w:t>,</w:t>
      </w:r>
      <w:r w:rsidRPr="009F7224">
        <w:t xml:space="preserve"> is that there are many ways to use payment structures and financial incentives to </w:t>
      </w:r>
      <w:r w:rsidR="00E71CCC">
        <w:t>promote competitive, integrated employment</w:t>
      </w:r>
      <w:r w:rsidRPr="009F7224">
        <w:t xml:space="preserve"> for people with disabilities. The first step is recognizing when existing payment structures and incentives do not contribute to (and perhaps may even undermine) the outcomes desired. The second step is </w:t>
      </w:r>
      <w:r w:rsidRPr="009F7224">
        <w:rPr>
          <w:b/>
          <w:i/>
        </w:rPr>
        <w:t>setting aside</w:t>
      </w:r>
      <w:r w:rsidRPr="009F7224">
        <w:t xml:space="preserve"> the belief that cheap is cost-effective, </w:t>
      </w:r>
      <w:r w:rsidRPr="009F7224">
        <w:rPr>
          <w:b/>
          <w:i/>
        </w:rPr>
        <w:t>embracing</w:t>
      </w:r>
      <w:r w:rsidRPr="009F7224">
        <w:t xml:space="preserve"> the belief that penny-wise can often be pound-foolish, and </w:t>
      </w:r>
      <w:r w:rsidRPr="009F7224">
        <w:rPr>
          <w:b/>
          <w:i/>
        </w:rPr>
        <w:t>rejecting</w:t>
      </w:r>
      <w:r w:rsidRPr="009F7224">
        <w:t xml:space="preserve"> the assumption that what our money can produce in terms of quality and outcomes is purely determined by how much money we have, not by how we </w:t>
      </w:r>
      <w:r w:rsidRPr="009F7224">
        <w:rPr>
          <w:b/>
          <w:i/>
        </w:rPr>
        <w:t>use</w:t>
      </w:r>
      <w:r w:rsidRPr="009F7224">
        <w:t xml:space="preserve"> the money.</w:t>
      </w:r>
    </w:p>
    <w:p w14:paraId="41CF0084" w14:textId="77777777" w:rsidR="0058599D" w:rsidRPr="009F7224" w:rsidRDefault="0069556B" w:rsidP="009268EF">
      <w:r w:rsidRPr="009F7224">
        <w:t xml:space="preserve">As Albert Einstein once said: </w:t>
      </w:r>
      <w:r w:rsidRPr="002C7D84">
        <w:rPr>
          <w:i/>
          <w:iCs/>
        </w:rPr>
        <w:t>“The true sign of intelligence is not knowledge but imagination.”</w:t>
      </w:r>
      <w:r w:rsidRPr="009F7224">
        <w:t xml:space="preserve"> He also spoke another profound truth that underpins this work: </w:t>
      </w:r>
      <w:r w:rsidRPr="002C7D84">
        <w:rPr>
          <w:i/>
          <w:iCs/>
        </w:rPr>
        <w:t xml:space="preserve">“We cannot solve our problems with the same thinking </w:t>
      </w:r>
      <w:r w:rsidR="00E34071">
        <w:rPr>
          <w:i/>
          <w:iCs/>
        </w:rPr>
        <w:t>we used when we</w:t>
      </w:r>
      <w:r w:rsidRPr="002C7D84">
        <w:rPr>
          <w:i/>
          <w:iCs/>
        </w:rPr>
        <w:t xml:space="preserve"> created them.”</w:t>
      </w:r>
      <w:r w:rsidRPr="009F7224">
        <w:t xml:space="preserve"> </w:t>
      </w:r>
      <w:r w:rsidRPr="00B33395">
        <w:t>For me, this is the difference between devising changes with the assumption</w:t>
      </w:r>
      <w:r w:rsidR="00141B78" w:rsidRPr="00B33395">
        <w:t xml:space="preserve"> that</w:t>
      </w:r>
      <w:r w:rsidRPr="00B33395">
        <w:t xml:space="preserve"> our core model must remain in place, versus starting with the end in mind, and assuming much of our core model could (and perhaps should) be replaced with a new approach </w:t>
      </w:r>
      <w:r w:rsidRPr="00B33395">
        <w:lastRenderedPageBreak/>
        <w:t>that more directly ensures our investments and efforts are sharply focused on the end state we want to achieve.</w:t>
      </w:r>
      <w:r w:rsidR="009268EF" w:rsidDel="009268EF">
        <w:t xml:space="preserve"> </w:t>
      </w:r>
    </w:p>
    <w:p w14:paraId="3D53AD68" w14:textId="77777777" w:rsidR="0069556B" w:rsidRPr="009F2EF2" w:rsidRDefault="0069556B" w:rsidP="00B11115">
      <w:pPr>
        <w:pStyle w:val="Heading2"/>
      </w:pPr>
      <w:bookmarkStart w:id="3" w:name="_Toc70944157"/>
      <w:r w:rsidRPr="009F2EF2">
        <w:t>Disclaimers</w:t>
      </w:r>
      <w:bookmarkEnd w:id="3"/>
    </w:p>
    <w:p w14:paraId="4E30465F" w14:textId="236D7CD0" w:rsidR="0069556B" w:rsidRPr="009F7224" w:rsidRDefault="0069556B" w:rsidP="00B1367E">
      <w:r w:rsidRPr="009F7224">
        <w:t>This guide does not provide an exhaustive description of each example that has been included</w:t>
      </w:r>
      <w:r w:rsidR="005043F4">
        <w:t xml:space="preserve">. </w:t>
      </w:r>
      <w:r w:rsidRPr="009F7224">
        <w:t xml:space="preserve">What this guide does </w:t>
      </w:r>
      <w:r w:rsidR="004B2BFC">
        <w:t>offer</w:t>
      </w:r>
      <w:r w:rsidR="00F31B3B">
        <w:t xml:space="preserve">, however, </w:t>
      </w:r>
      <w:r w:rsidR="00C35BDD">
        <w:t>are</w:t>
      </w:r>
      <w:r w:rsidR="00075900">
        <w:t xml:space="preserve"> </w:t>
      </w:r>
      <w:r w:rsidRPr="009F7224">
        <w:t>descriptions of varying lengths for each example, based largely on how different from traditional approaches the examples are, and how different each example is from the rest of the examples in</w:t>
      </w:r>
      <w:r w:rsidR="00F00040">
        <w:t xml:space="preserve"> the guide</w:t>
      </w:r>
      <w:r w:rsidRPr="009F7224">
        <w:t>. As a reader, you may still walk away with questions. However, unlike many brief webinar</w:t>
      </w:r>
      <w:r w:rsidR="008912AC">
        <w:t>s</w:t>
      </w:r>
      <w:r w:rsidRPr="009F7224">
        <w:t xml:space="preserve"> or conference presentations, it is hoped that this guide offers a more robust description of each example, allowing for a level of reader understanding that can meaningfully and effectively inform your work in this area going forward.</w:t>
      </w:r>
    </w:p>
    <w:p w14:paraId="2D089151" w14:textId="77777777" w:rsidR="0069556B" w:rsidRPr="009F7224" w:rsidRDefault="0069556B" w:rsidP="00B1367E">
      <w:r w:rsidRPr="009F7224">
        <w:t xml:space="preserve">Additionally, it is important to note that some of the examples and models presented were developed nearly a decade ago. Not all information may be perfectly accurate as of the publication of this guide. Things change in every state and every system. As far as possible, we have confirmed these strategies are still being utilized in the place where they were developed. </w:t>
      </w:r>
      <w:r w:rsidRPr="001C37BE">
        <w:t>Outcome data presented is clearly dated</w:t>
      </w:r>
      <w:r w:rsidR="001C37BE" w:rsidRPr="001C37BE">
        <w:t>,</w:t>
      </w:r>
      <w:r w:rsidRPr="001C37BE">
        <w:t xml:space="preserve"> and if the date associated with certain outcome data is not </w:t>
      </w:r>
      <w:r w:rsidR="00F00040">
        <w:t>recent</w:t>
      </w:r>
      <w:r w:rsidRPr="001C37BE">
        <w:t>, please note th</w:t>
      </w:r>
      <w:r w:rsidR="00AF1C70">
        <w:t>at</w:t>
      </w:r>
      <w:r w:rsidRPr="001C37BE">
        <w:t xml:space="preserve"> outcomes may have changed.</w:t>
      </w:r>
    </w:p>
    <w:p w14:paraId="3CBB8BFF" w14:textId="77777777" w:rsidR="0069556B" w:rsidRPr="009F7224" w:rsidRDefault="0069556B" w:rsidP="00B1367E">
      <w:r w:rsidRPr="009F7224">
        <w:t>Few of the more significant change examples in this guide were accomplished with</w:t>
      </w:r>
      <w:r>
        <w:t>out</w:t>
      </w:r>
      <w:r w:rsidRPr="009F7224">
        <w:t xml:space="preserve"> stakeholder input. Many involved extensive stakeholder input, data collection and analysis, and piloting or impact modeling. These key elements of strong models are elaborated upon in this guide, but incorporating these approaches requires time, something that is often compromised in the systems and organizations we work in. It is further recognized that sometimes opportunities to make meaningful and much needed changes present themselves without much notice and compromises are made to avoid missing these opportunities. </w:t>
      </w:r>
      <w:r w:rsidRPr="008378DE">
        <w:t>If this guide is used to seize a time-limited opportunity, make a commitment that initial implementation will be considered phase one and adjustments will be made to refine and improve upon what is initially created.</w:t>
      </w:r>
    </w:p>
    <w:p w14:paraId="01F678A0" w14:textId="26E6EE8F" w:rsidR="0069556B" w:rsidRPr="009F7224" w:rsidRDefault="0069556B" w:rsidP="00F73FB8">
      <w:r w:rsidRPr="009F7224">
        <w:t>What has been learned through all of the experience contained in this guide is that every local system is best to develop its own customized strategies with its stakeholders</w:t>
      </w:r>
      <w:r w:rsidR="0037194D">
        <w:t xml:space="preserve">. </w:t>
      </w:r>
      <w:r w:rsidRPr="009F7224">
        <w:t>However, reinventing the wheel or not building upon other systems’ experiences and ideas is certainly not the optimal approach</w:t>
      </w:r>
      <w:r w:rsidR="0037194D">
        <w:t xml:space="preserve">. </w:t>
      </w:r>
      <w:r w:rsidRPr="009F7224">
        <w:t xml:space="preserve">When learning about others’ approaches, listening </w:t>
      </w:r>
      <w:r w:rsidR="003C4A67">
        <w:t>is critical</w:t>
      </w:r>
      <w:r w:rsidR="009A05AB">
        <w:t xml:space="preserve">− </w:t>
      </w:r>
      <w:r w:rsidRPr="009F7224">
        <w:t>not seeking to outright copy</w:t>
      </w:r>
      <w:r w:rsidR="00F00040">
        <w:t>,</w:t>
      </w:r>
      <w:r w:rsidRPr="009F7224">
        <w:t xml:space="preserve"> however attractive and simple that may seem, but instead seeking to pull out key elements of these other approaches that make sense to build into your own solutions. </w:t>
      </w:r>
    </w:p>
    <w:p w14:paraId="677E546F" w14:textId="23A0B490" w:rsidR="00CE168D" w:rsidRDefault="0069556B" w:rsidP="00CE168D">
      <w:pPr>
        <w:rPr>
          <w:highlight w:val="lightGray"/>
        </w:rPr>
      </w:pPr>
      <w:r w:rsidRPr="009F7224">
        <w:t>Finally, a significant lesson learned is that both funders of services and providers of services tend to want rate structures and reimbursement models that are highly advantageous to them. While this isn’t surprising, it is clear that when funders and providers do not look for balanced approaches to changing rates and reimbursement models, the strategies developed are not likely to be successful</w:t>
      </w:r>
      <w:r w:rsidR="0037194D">
        <w:t xml:space="preserve">. </w:t>
      </w:r>
      <w:r w:rsidRPr="009F7224">
        <w:t xml:space="preserve">It can be difficult for a funder or provider to let go of the model that provides optimal benefit for them in order to reach a compromise that ensures </w:t>
      </w:r>
      <w:r w:rsidRPr="009F7224">
        <w:rPr>
          <w:b/>
          <w:i/>
        </w:rPr>
        <w:t>both</w:t>
      </w:r>
      <w:r w:rsidRPr="009F7224">
        <w:t xml:space="preserve"> parties benefit</w:t>
      </w:r>
      <w:r w:rsidR="00575BA2">
        <w:t>,</w:t>
      </w:r>
      <w:r w:rsidRPr="009F7224">
        <w:t xml:space="preserve"> and therefore </w:t>
      </w:r>
      <w:r w:rsidRPr="009F7224">
        <w:rPr>
          <w:b/>
          <w:i/>
        </w:rPr>
        <w:t xml:space="preserve">both </w:t>
      </w:r>
      <w:r w:rsidRPr="009F7224">
        <w:t>parties are willing and motivated to participate in implementing the new rates and/or reimbursement models with fidelity to the intended outcomes.</w:t>
      </w:r>
    </w:p>
    <w:p w14:paraId="69F863DC" w14:textId="77777777" w:rsidR="00FE07F0" w:rsidRDefault="00FE07F0">
      <w:pPr>
        <w:spacing w:before="0" w:after="0" w:line="240" w:lineRule="auto"/>
        <w:rPr>
          <w:rFonts w:asciiTheme="majorHAnsi" w:eastAsiaTheme="majorEastAsia" w:hAnsiTheme="majorHAnsi" w:cs="Times New Roman (Headings CS)"/>
          <w:color w:val="215868" w:themeColor="accent5" w:themeShade="80"/>
          <w:sz w:val="24"/>
          <w:szCs w:val="26"/>
        </w:rPr>
      </w:pPr>
      <w:r>
        <w:br w:type="page"/>
      </w:r>
    </w:p>
    <w:p w14:paraId="747A1D03" w14:textId="424847D4" w:rsidR="0069556B" w:rsidRPr="009F2EF2" w:rsidRDefault="0069556B" w:rsidP="00B11115">
      <w:pPr>
        <w:pStyle w:val="Heading2"/>
      </w:pPr>
      <w:bookmarkStart w:id="4" w:name="_Toc70944158"/>
      <w:r w:rsidRPr="009F2EF2">
        <w:lastRenderedPageBreak/>
        <w:t>Recommendations for Making Best Use of this Guide</w:t>
      </w:r>
      <w:bookmarkEnd w:id="4"/>
    </w:p>
    <w:p w14:paraId="0BB7E225" w14:textId="77777777" w:rsidR="0069556B" w:rsidRPr="009F7224" w:rsidRDefault="0069556B" w:rsidP="00F73FB8">
      <w:r w:rsidRPr="009F7224">
        <w:t>This guide is most valuable if it is read (or skimmed) in its entirety to allow the reader to begin by gaining a sense of the wide variety of ways that funding structures can be designed or changed to advance competitive integrated employment opportunities and outcomes for people with disabilities. There is no one right way to do “Rate Restructuring</w:t>
      </w:r>
      <w:r w:rsidR="00413315">
        <w:t>,</w:t>
      </w:r>
      <w:r w:rsidRPr="009F7224">
        <w:t xml:space="preserve">” and it is certainly possible that more than one method can lead to the same desired outcomes. </w:t>
      </w:r>
    </w:p>
    <w:p w14:paraId="286B6834" w14:textId="77777777" w:rsidR="0069556B" w:rsidRPr="009F7224" w:rsidRDefault="0069556B" w:rsidP="00D3221E">
      <w:r w:rsidRPr="009F7224">
        <w:t>Beyond this recommendation, the Table of Contents is organized so the reader can identify specific sections of the guide that address rate and reimbursement models specific to certain programs (</w:t>
      </w:r>
      <w:r w:rsidR="00023280">
        <w:t xml:space="preserve">e.g., </w:t>
      </w:r>
      <w:r w:rsidRPr="009F7224">
        <w:t xml:space="preserve">Medicaid; Vocational Rehabilitation). While best and evidence-based practices can typically be purchased by all programs that serve transition and/or working-age people with disabilities, the reader may get </w:t>
      </w:r>
      <w:r w:rsidR="00413315">
        <w:t xml:space="preserve">the </w:t>
      </w:r>
      <w:r w:rsidRPr="009F7224">
        <w:t>most benefit by closely reviewing the sections that address the program in which they participate or work.</w:t>
      </w:r>
    </w:p>
    <w:p w14:paraId="3B8966A9" w14:textId="092E7F35" w:rsidR="0069556B" w:rsidRDefault="0069556B" w:rsidP="00F73FB8">
      <w:r w:rsidRPr="00FA58AF">
        <w:rPr>
          <w:b/>
          <w:bCs/>
        </w:rPr>
        <w:t xml:space="preserve">Before you start reading, be willing to reckon with the idea that money does drive behavior, as much as we might wish it did not, especially in services for people with disabilities. </w:t>
      </w:r>
      <w:r w:rsidRPr="009F7224">
        <w:t>In three decades working in the field of disability, I have found that almost every time someone asks why something is not happening or is not happening more for people with disabilities, the answer will often include, if not start with, a reference to the funding structure</w:t>
      </w:r>
      <w:r w:rsidR="00BE5686">
        <w:t xml:space="preserve"> </w:t>
      </w:r>
      <w:r w:rsidRPr="009F7224">
        <w:t>such as</w:t>
      </w:r>
      <w:r w:rsidR="008C4BED">
        <w:t xml:space="preserve">: </w:t>
      </w:r>
      <w:r w:rsidRPr="009F7224">
        <w:t xml:space="preserve">the reimbursement rates are too low; there is no way to pay for that; what a provider has to do to get paid is too hard; there is no financial incentive to do that; </w:t>
      </w:r>
      <w:r w:rsidR="00BB3747">
        <w:t xml:space="preserve">and </w:t>
      </w:r>
      <w:r w:rsidRPr="009F7224">
        <w:t xml:space="preserve">it’s cheaper to do something else. </w:t>
      </w:r>
    </w:p>
    <w:p w14:paraId="21343E15" w14:textId="3A59F3CE" w:rsidR="0069556B" w:rsidRPr="009F7224" w:rsidRDefault="0069556B" w:rsidP="0033729B">
      <w:r w:rsidRPr="009F7224">
        <w:t>Some say money drives behavior in our field because there simply isn’t enough of it</w:t>
      </w:r>
      <w:r w:rsidR="005043F4">
        <w:t xml:space="preserve">. </w:t>
      </w:r>
      <w:r w:rsidRPr="009F7224">
        <w:t xml:space="preserve">Others believe money would be a driver of behavior even if it were plentiful. Regardless of which opinion you </w:t>
      </w:r>
      <w:r w:rsidR="004B2BFC">
        <w:t>hold</w:t>
      </w:r>
      <w:r w:rsidRPr="009F7224">
        <w:t>, money drives behavior</w:t>
      </w:r>
      <w:r w:rsidR="00B51015">
        <w:t>; but</w:t>
      </w:r>
      <w:r w:rsidRPr="009F7224">
        <w:t xml:space="preserve"> this can be a force for progress if we pay attention to</w:t>
      </w:r>
      <w:r w:rsidRPr="009F7224">
        <w:rPr>
          <w:b/>
          <w:i/>
        </w:rPr>
        <w:t xml:space="preserve"> how </w:t>
      </w:r>
      <w:r w:rsidRPr="009F7224">
        <w:t>money drives current behavior</w:t>
      </w:r>
      <w:r w:rsidR="00B51015">
        <w:t xml:space="preserve"> and how that behavior</w:t>
      </w:r>
      <w:r w:rsidRPr="009F7224">
        <w:t xml:space="preserve"> drives </w:t>
      </w:r>
      <w:r w:rsidR="00B51015">
        <w:t xml:space="preserve">the </w:t>
      </w:r>
      <w:r w:rsidRPr="009F7224">
        <w:t xml:space="preserve">current opportunities and outcomes </w:t>
      </w:r>
      <w:r w:rsidR="00B51015">
        <w:t>available to</w:t>
      </w:r>
      <w:r w:rsidRPr="009F7224">
        <w:t xml:space="preserve"> people with disabilities.</w:t>
      </w:r>
    </w:p>
    <w:p w14:paraId="6C3E798D" w14:textId="393322D8" w:rsidR="001E6BF9" w:rsidRDefault="0069556B" w:rsidP="00912B7F">
      <w:pPr>
        <w:spacing w:after="240"/>
      </w:pPr>
      <w:r w:rsidRPr="00FA58AF">
        <w:rPr>
          <w:b/>
          <w:bCs/>
        </w:rPr>
        <w:t>The reality is that there are financial incentives and disincentives in every rate and reimbursement structure that exists in programs serving people with disabilities.</w:t>
      </w:r>
      <w:r w:rsidRPr="009F7224">
        <w:t xml:space="preserve"> Even individual budgeting and self-direction models have incentives and disincentives for people with disabilities. Given this,</w:t>
      </w:r>
      <w:r w:rsidR="00E71CCC">
        <w:t xml:space="preserve"> </w:t>
      </w:r>
      <w:r w:rsidRPr="009F7224">
        <w:t>the key question is whether those financial incentives and disincentives align with the opportunities and outcomes that are desired from the services being purchased. If you start with this frame of reference, this guide should be a helpful resource.</w:t>
      </w:r>
    </w:p>
    <w:p w14:paraId="33CA12D4" w14:textId="452BF152" w:rsidR="009268EF" w:rsidRDefault="00B52D9C" w:rsidP="005A1ACD">
      <w:pPr>
        <w:ind w:left="720"/>
      </w:pPr>
      <w:r w:rsidRPr="0076065B">
        <w:rPr>
          <w:noProof/>
        </w:rPr>
        <mc:AlternateContent>
          <mc:Choice Requires="wps">
            <w:drawing>
              <wp:inline distT="0" distB="0" distL="0" distR="0" wp14:anchorId="11F6FCD5" wp14:editId="76DF0BDC">
                <wp:extent cx="4965405" cy="1649095"/>
                <wp:effectExtent l="0" t="0" r="635"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405" cy="1649095"/>
                        </a:xfrm>
                        <a:prstGeom prst="rect">
                          <a:avLst/>
                        </a:prstGeom>
                        <a:solidFill>
                          <a:srgbClr val="F6FBFB"/>
                        </a:solidFill>
                        <a:ln w="9525">
                          <a:noFill/>
                          <a:miter lim="800000"/>
                          <a:headEnd/>
                          <a:tailEnd/>
                        </a:ln>
                      </wps:spPr>
                      <wps:txbx>
                        <w:txbxContent>
                          <w:p w14:paraId="36FBFF0C" w14:textId="7727992B" w:rsidR="00567853" w:rsidRPr="00912B7F" w:rsidRDefault="00567853" w:rsidP="005A1ACD">
                            <w:pPr>
                              <w:spacing w:after="0" w:line="264" w:lineRule="auto"/>
                              <w:ind w:left="360" w:right="346"/>
                              <w:rPr>
                                <w:rFonts w:asciiTheme="majorHAnsi" w:hAnsiTheme="majorHAnsi"/>
                                <w:i/>
                                <w:iCs/>
                                <w:color w:val="0F243E" w:themeColor="text2" w:themeShade="80"/>
                                <w:sz w:val="22"/>
                                <w:szCs w:val="22"/>
                              </w:rPr>
                            </w:pPr>
                            <w:r w:rsidRPr="00912B7F">
                              <w:rPr>
                                <w:rFonts w:asciiTheme="majorHAnsi" w:hAnsiTheme="majorHAnsi"/>
                                <w:i/>
                                <w:iCs/>
                                <w:color w:val="0F243E" w:themeColor="text2" w:themeShade="80"/>
                                <w:sz w:val="22"/>
                                <w:szCs w:val="22"/>
                              </w:rPr>
                              <w:t xml:space="preserve">“In three decades working in the field of disability, I have found that almost every time someone asks why something is not happening, or is not happening more, for people with disabilities, the answer will often include, if not start with, a reference to the funding structure. Answers like these are all too common in so many states: the reimbursement rates are too low; there is no way to pay for that; what a provider has to do to get paid is too hard; there is no financial incentive to do that; it’s cheaper and easier to do something else. I have resisted but ultimately accepted that </w:t>
                            </w:r>
                            <w:r w:rsidRPr="00912B7F">
                              <w:rPr>
                                <w:rFonts w:asciiTheme="majorHAnsi" w:hAnsiTheme="majorHAnsi"/>
                                <w:b/>
                                <w:i/>
                                <w:iCs/>
                                <w:color w:val="0F243E" w:themeColor="text2" w:themeShade="80"/>
                                <w:sz w:val="22"/>
                                <w:szCs w:val="22"/>
                              </w:rPr>
                              <w:t>money does drive behavior</w:t>
                            </w:r>
                            <w:r w:rsidRPr="00912B7F">
                              <w:rPr>
                                <w:rFonts w:asciiTheme="majorHAnsi" w:hAnsiTheme="majorHAnsi"/>
                                <w:i/>
                                <w:iCs/>
                                <w:color w:val="0F243E" w:themeColor="text2" w:themeShade="80"/>
                                <w:sz w:val="22"/>
                                <w:szCs w:val="22"/>
                              </w:rPr>
                              <w:t>, as much as we might wish it did not, especially in services for people with disabilities.”</w:t>
                            </w:r>
                          </w:p>
                          <w:p w14:paraId="7C74369D" w14:textId="77777777" w:rsidR="00567853" w:rsidRPr="00912B7F" w:rsidRDefault="00567853" w:rsidP="005A1ACD">
                            <w:pPr>
                              <w:pStyle w:val="ListParagraph"/>
                              <w:numPr>
                                <w:ilvl w:val="0"/>
                                <w:numId w:val="25"/>
                              </w:numPr>
                              <w:spacing w:before="60" w:line="264" w:lineRule="auto"/>
                              <w:ind w:left="630" w:right="346" w:firstLine="0"/>
                              <w:jc w:val="right"/>
                              <w:rPr>
                                <w:rFonts w:asciiTheme="majorHAnsi" w:hAnsiTheme="majorHAnsi"/>
                                <w:i/>
                                <w:iCs/>
                                <w:color w:val="0F243E" w:themeColor="text2" w:themeShade="80"/>
                                <w:sz w:val="22"/>
                                <w:szCs w:val="22"/>
                              </w:rPr>
                            </w:pPr>
                            <w:r w:rsidRPr="00912B7F">
                              <w:rPr>
                                <w:rFonts w:asciiTheme="majorHAnsi" w:hAnsiTheme="majorHAnsi"/>
                                <w:i/>
                                <w:iCs/>
                                <w:color w:val="0F243E" w:themeColor="text2" w:themeShade="80"/>
                                <w:sz w:val="22"/>
                                <w:szCs w:val="22"/>
                              </w:rPr>
                              <w:t xml:space="preserve"> Lisa A. Mills, Ph.D., Author</w:t>
                            </w:r>
                          </w:p>
                        </w:txbxContent>
                      </wps:txbx>
                      <wps:bodyPr rot="0" vert="horz" wrap="square" lIns="0" tIns="45720" rIns="0" bIns="45720" anchor="t" anchorCtr="0">
                        <a:spAutoFit/>
                      </wps:bodyPr>
                    </wps:wsp>
                  </a:graphicData>
                </a:graphic>
              </wp:inline>
            </w:drawing>
          </mc:Choice>
          <mc:Fallback>
            <w:pict>
              <v:shapetype w14:anchorId="11F6FCD5" id="_x0000_t202" coordsize="21600,21600" o:spt="202" path="m,l,21600r21600,l21600,xe">
                <v:stroke joinstyle="miter"/>
                <v:path gradientshapeok="t" o:connecttype="rect"/>
              </v:shapetype>
              <v:shape id="Text Box 2" o:spid="_x0000_s1046" type="#_x0000_t202" style="width:391pt;height:1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" fillcolor="#f6fbfb" stroked="f">
                <v:textbox style="mso-fit-shape-to-text:t" inset="0,,0">
                  <w:txbxContent>
                    <w:p w14:paraId="36FBFF0C" w14:textId="7727992B" w:rsidR="00567853" w:rsidRPr="00912B7F" w:rsidRDefault="00567853" w:rsidP="005A1ACD">
                      <w:pPr>
                        <w:spacing w:after="0" w:line="264" w:lineRule="auto"/>
                        <w:ind w:left="360" w:right="346"/>
                        <w:rPr>
                          <w:rFonts w:asciiTheme="majorHAnsi" w:hAnsiTheme="majorHAnsi"/>
                          <w:i/>
                          <w:iCs/>
                          <w:color w:val="0F243E" w:themeColor="text2" w:themeShade="80"/>
                          <w:sz w:val="22"/>
                          <w:szCs w:val="22"/>
                        </w:rPr>
                      </w:pPr>
                      <w:r w:rsidRPr="00912B7F">
                        <w:rPr>
                          <w:rFonts w:asciiTheme="majorHAnsi" w:hAnsiTheme="majorHAnsi"/>
                          <w:i/>
                          <w:iCs/>
                          <w:color w:val="0F243E" w:themeColor="text2" w:themeShade="80"/>
                          <w:sz w:val="22"/>
                          <w:szCs w:val="22"/>
                        </w:rPr>
                        <w:t xml:space="preserve">“In three decades working in the field of disability, I have found that almost every time someone asks why something is not happening, or is not happening more, for people with disabilities, the answer will often include, if not start with, a reference to the funding structure. Answers like these are all too common in so many states: the reimbursement rates are too low; there is no way to pay for that; what a provider has to do to get paid is too hard; there is no financial incentive to do that; it’s cheaper and easier to do something else. I have resisted but ultimately accepted that </w:t>
                      </w:r>
                      <w:r w:rsidRPr="00912B7F">
                        <w:rPr>
                          <w:rFonts w:asciiTheme="majorHAnsi" w:hAnsiTheme="majorHAnsi"/>
                          <w:b/>
                          <w:i/>
                          <w:iCs/>
                          <w:color w:val="0F243E" w:themeColor="text2" w:themeShade="80"/>
                          <w:sz w:val="22"/>
                          <w:szCs w:val="22"/>
                        </w:rPr>
                        <w:t>money does drive behavior</w:t>
                      </w:r>
                      <w:r w:rsidRPr="00912B7F">
                        <w:rPr>
                          <w:rFonts w:asciiTheme="majorHAnsi" w:hAnsiTheme="majorHAnsi"/>
                          <w:i/>
                          <w:iCs/>
                          <w:color w:val="0F243E" w:themeColor="text2" w:themeShade="80"/>
                          <w:sz w:val="22"/>
                          <w:szCs w:val="22"/>
                        </w:rPr>
                        <w:t>, as much as we might wish it did not, especially in services for people with disabilities.”</w:t>
                      </w:r>
                    </w:p>
                    <w:p w14:paraId="7C74369D" w14:textId="77777777" w:rsidR="00567853" w:rsidRPr="00912B7F" w:rsidRDefault="00567853" w:rsidP="005A1ACD">
                      <w:pPr>
                        <w:pStyle w:val="ListParagraph"/>
                        <w:numPr>
                          <w:ilvl w:val="0"/>
                          <w:numId w:val="25"/>
                        </w:numPr>
                        <w:spacing w:before="60" w:line="264" w:lineRule="auto"/>
                        <w:ind w:left="630" w:right="346" w:firstLine="0"/>
                        <w:jc w:val="right"/>
                        <w:rPr>
                          <w:rFonts w:asciiTheme="majorHAnsi" w:hAnsiTheme="majorHAnsi"/>
                          <w:i/>
                          <w:iCs/>
                          <w:color w:val="0F243E" w:themeColor="text2" w:themeShade="80"/>
                          <w:sz w:val="22"/>
                          <w:szCs w:val="22"/>
                        </w:rPr>
                      </w:pPr>
                      <w:r w:rsidRPr="00912B7F">
                        <w:rPr>
                          <w:rFonts w:asciiTheme="majorHAnsi" w:hAnsiTheme="majorHAnsi"/>
                          <w:i/>
                          <w:iCs/>
                          <w:color w:val="0F243E" w:themeColor="text2" w:themeShade="80"/>
                          <w:sz w:val="22"/>
                          <w:szCs w:val="22"/>
                        </w:rPr>
                        <w:t xml:space="preserve"> Lisa A. Mills, Ph.D., Author</w:t>
                      </w:r>
                    </w:p>
                  </w:txbxContent>
                </v:textbox>
                <w10:anchorlock/>
              </v:shape>
            </w:pict>
          </mc:Fallback>
        </mc:AlternateContent>
      </w:r>
    </w:p>
    <w:p w14:paraId="6A412B8D" w14:textId="77777777" w:rsidR="009268EF" w:rsidRDefault="009268EF" w:rsidP="00912B7F">
      <w:pPr>
        <w:spacing w:after="0" w:line="240" w:lineRule="auto"/>
        <w:sectPr w:rsidR="009268EF" w:rsidSect="00FE6C2D">
          <w:footerReference w:type="default" r:id="rId13"/>
          <w:pgSz w:w="12240" w:h="15840"/>
          <w:pgMar w:top="1440" w:right="1440" w:bottom="1440" w:left="1440" w:header="720" w:footer="720" w:gutter="0"/>
          <w:pgNumType w:start="1"/>
          <w:cols w:space="720"/>
          <w:docGrid w:linePitch="360"/>
        </w:sectPr>
      </w:pPr>
    </w:p>
    <w:p w14:paraId="6130A693" w14:textId="30462EB5" w:rsidR="004021A7" w:rsidRPr="0012035B" w:rsidRDefault="00CE168D" w:rsidP="00312093">
      <w:pPr>
        <w:pStyle w:val="Heading1"/>
        <w:spacing w:before="0"/>
      </w:pPr>
      <w:bookmarkStart w:id="5" w:name="_Toc70944159"/>
      <w:r w:rsidRPr="0012035B">
        <w:lastRenderedPageBreak/>
        <w:t xml:space="preserve">The </w:t>
      </w:r>
      <w:r w:rsidRPr="00022B8D">
        <w:t>Role</w:t>
      </w:r>
      <w:r w:rsidRPr="0012035B">
        <w:t xml:space="preserve"> of Funding Models in Advancing </w:t>
      </w:r>
      <w:r w:rsidR="00F15631">
        <w:t xml:space="preserve">Competitive Integrated Employment and </w:t>
      </w:r>
      <w:r w:rsidRPr="0012035B">
        <w:t>Employment First Systems Change</w:t>
      </w:r>
      <w:bookmarkEnd w:id="5"/>
    </w:p>
    <w:p w14:paraId="227333E4" w14:textId="77777777" w:rsidR="003E4A2A" w:rsidRPr="00934D06" w:rsidRDefault="003E4A2A" w:rsidP="00B1367E">
      <w:r>
        <w:t xml:space="preserve">When </w:t>
      </w:r>
      <w:r w:rsidRPr="00934D06">
        <w:t xml:space="preserve">studying funding structures </w:t>
      </w:r>
      <w:r>
        <w:t xml:space="preserve">across </w:t>
      </w:r>
      <w:r w:rsidRPr="00934D06">
        <w:t>many</w:t>
      </w:r>
      <w:r>
        <w:t xml:space="preserve"> different</w:t>
      </w:r>
      <w:r w:rsidRPr="00934D06">
        <w:t xml:space="preserve"> states and programs, </w:t>
      </w:r>
      <w:r>
        <w:t xml:space="preserve">it is readily apparent that </w:t>
      </w:r>
      <w:r w:rsidRPr="00934D06">
        <w:t>there are financial incentives and disincentives in every rate and reimbursement structure that exists in programs serving people with disabilities</w:t>
      </w:r>
      <w:r w:rsidR="005043F4">
        <w:t xml:space="preserve">. </w:t>
      </w:r>
      <w:r w:rsidRPr="00934D06">
        <w:t>Even individual budgeting and self-direction models have incentives and disincentives for people with disabilities due to the fact that many of these programs use historical (i.e.</w:t>
      </w:r>
      <w:r w:rsidR="0007028C">
        <w:t>,</w:t>
      </w:r>
      <w:r w:rsidRPr="00934D06">
        <w:t xml:space="preserve"> typical/status quo) </w:t>
      </w:r>
      <w:r w:rsidR="001B7192">
        <w:t xml:space="preserve">service </w:t>
      </w:r>
      <w:r w:rsidRPr="00934D06">
        <w:t>utilization</w:t>
      </w:r>
      <w:r w:rsidR="001B7192">
        <w:t xml:space="preserve"> and costs</w:t>
      </w:r>
      <w:r w:rsidRPr="00934D06">
        <w:t xml:space="preserve"> to set budget amounts while including few</w:t>
      </w:r>
      <w:r w:rsidR="00D35321">
        <w:t>,</w:t>
      </w:r>
      <w:r w:rsidRPr="00934D06">
        <w:t xml:space="preserve"> if any</w:t>
      </w:r>
      <w:r w:rsidR="00D35321">
        <w:t>,</w:t>
      </w:r>
      <w:r w:rsidRPr="00934D06">
        <w:t xml:space="preserve"> clear incentives for individuals </w:t>
      </w:r>
      <w:r w:rsidR="00A96FD9">
        <w:t xml:space="preserve">who choose </w:t>
      </w:r>
      <w:r w:rsidR="00A96FD9" w:rsidRPr="00934D06">
        <w:t>self-directi</w:t>
      </w:r>
      <w:r w:rsidR="00A96FD9">
        <w:t xml:space="preserve">on </w:t>
      </w:r>
      <w:r w:rsidRPr="00934D06">
        <w:t>to go in non-traditional directions with their lives (</w:t>
      </w:r>
      <w:r w:rsidR="00023280">
        <w:t xml:space="preserve">e.g., </w:t>
      </w:r>
      <w:r w:rsidRPr="00934D06">
        <w:t>to pursue competitive integrated employment). Given these realities, the key question is whether those financial incentives and disincentives align with the opportunities and outcomes that are desired from the services being delivered.</w:t>
      </w:r>
    </w:p>
    <w:p w14:paraId="389A672E" w14:textId="77777777" w:rsidR="00023280" w:rsidRDefault="003E4A2A" w:rsidP="00B1367E">
      <w:r w:rsidRPr="00934D06">
        <w:t>What is desired in the way of opportunities and outcomes from publicly funded services is often expected to be defined by each person with a disability rather than the system funders (</w:t>
      </w:r>
      <w:r w:rsidR="003F11DE">
        <w:t>representing</w:t>
      </w:r>
      <w:r w:rsidRPr="00934D06">
        <w:t xml:space="preserve"> taxpayers) and stakeholders. Some will say that expecting people with disabilities supported by public programs to work in competitive integrated employment is disrespecting their right to choose</w:t>
      </w:r>
      <w:r w:rsidR="005043F4">
        <w:t xml:space="preserve">. </w:t>
      </w:r>
      <w:r w:rsidRPr="00934D06">
        <w:t xml:space="preserve">Choice has become a lightning rod concept. Those comfortable with the expectation that people with disabilities should work and contribute to their full ability are typically those who recognize first, that people are capable, and second, that real equality and full inclusion will only come when responsibility, as a key dimension of citizenship, is encouraged and effectively supported. </w:t>
      </w:r>
      <w:r w:rsidRPr="00997D45">
        <w:rPr>
          <w:b/>
        </w:rPr>
        <w:t xml:space="preserve">We do a great disservice to people with disabilities and advancing their </w:t>
      </w:r>
      <w:r w:rsidRPr="00997D45">
        <w:rPr>
          <w:b/>
          <w:u w:val="single"/>
        </w:rPr>
        <w:t>right</w:t>
      </w:r>
      <w:r w:rsidRPr="00997D45">
        <w:rPr>
          <w:b/>
        </w:rPr>
        <w:t xml:space="preserve"> to full equality when we encourage them, in the name of choice, to abdicate their </w:t>
      </w:r>
      <w:r w:rsidRPr="00997D45">
        <w:rPr>
          <w:b/>
          <w:u w:val="single"/>
        </w:rPr>
        <w:t>responsibility</w:t>
      </w:r>
      <w:r w:rsidRPr="00997D45">
        <w:rPr>
          <w:b/>
        </w:rPr>
        <w:t xml:space="preserve"> to contribute</w:t>
      </w:r>
      <w:r w:rsidR="001B7565">
        <w:rPr>
          <w:b/>
        </w:rPr>
        <w:t>.</w:t>
      </w:r>
      <w:r w:rsidR="001B7565" w:rsidRPr="001B7565">
        <w:t xml:space="preserve"> </w:t>
      </w:r>
      <w:r w:rsidR="001B7565">
        <w:t>We do a great disservice (and indeed injustice) to people with disabilities</w:t>
      </w:r>
      <w:r w:rsidRPr="00997D45">
        <w:t xml:space="preserve"> when we discourage a person capable of competitive integrated employment (with or without reasonable accommodations and/or other services and supports) to opt out of such employment.</w:t>
      </w:r>
      <w:r w:rsidRPr="00934D06">
        <w:t xml:space="preserve"> </w:t>
      </w:r>
    </w:p>
    <w:p w14:paraId="16750FC7" w14:textId="27EB012D" w:rsidR="003E4A2A" w:rsidRPr="00934D06" w:rsidRDefault="003E4A2A" w:rsidP="00B1367E">
      <w:r w:rsidRPr="00934D06">
        <w:t xml:space="preserve">While benefits and program rules may currently create barriers to full employment, there is without a doubt, still an opportunity for every person with a disability to earn something as part of contributing to the broader society through work in competitive integrated employment. With Social Security reform that is likely inevitable, and Medicaid’s increasing focus on the importance of employment, there is broad certainty this opportunity will only increase. </w:t>
      </w:r>
    </w:p>
    <w:p w14:paraId="23EB0462" w14:textId="617E603F" w:rsidR="003E4A2A" w:rsidRPr="00934D06" w:rsidRDefault="003E4A2A" w:rsidP="00B1367E">
      <w:r w:rsidRPr="00934D06">
        <w:t xml:space="preserve">Full inclusion will come when we no longer need the word “inclusion” since there will be no opposite state of exclusion. Competitive integrated employment actively counters exclusion, and changes the perceptions of everyone, paving the way to exclusion becoming a thing of the past. To advance Employment First, we must not be shy about the expectation that </w:t>
      </w:r>
      <w:r w:rsidRPr="00934D06">
        <w:rPr>
          <w:b/>
        </w:rPr>
        <w:t>people with disabilities have something of value to contribute to the broader society, and therefore it is appropriate to expect that people with disabilities will have the opportunity to make that valuable contribution through employment</w:t>
      </w:r>
      <w:r w:rsidRPr="00934D06">
        <w:t>, just like the overwhelming majority of working-age people in our country without disabilities</w:t>
      </w:r>
      <w:r w:rsidR="005043F4">
        <w:t xml:space="preserve">. </w:t>
      </w:r>
      <w:r w:rsidRPr="00934D06">
        <w:t>Funding models must align with these expectations</w:t>
      </w:r>
      <w:r w:rsidR="0013568E">
        <w:t>,</w:t>
      </w:r>
      <w:r w:rsidRPr="00934D06">
        <w:t xml:space="preserve"> and </w:t>
      </w:r>
      <w:r w:rsidRPr="00934D06">
        <w:rPr>
          <w:b/>
        </w:rPr>
        <w:t>the dollars allocated must come to be recognized as dollars invested, not just dollars spent</w:t>
      </w:r>
      <w:r w:rsidR="005043F4">
        <w:t xml:space="preserve">. </w:t>
      </w:r>
      <w:r w:rsidRPr="00934D06">
        <w:t xml:space="preserve">Making smart investments to advance </w:t>
      </w:r>
      <w:r w:rsidR="00F15631" w:rsidRPr="00F15631">
        <w:t xml:space="preserve">Competitive Integrated Employment and </w:t>
      </w:r>
      <w:r w:rsidRPr="00934D06">
        <w:t>Employment First starts with recognizing, as mentioned above, that money does drive behavior</w:t>
      </w:r>
      <w:r w:rsidR="0013568E">
        <w:t>,</w:t>
      </w:r>
      <w:r w:rsidRPr="00934D06">
        <w:t xml:space="preserve"> and there are financial incentives and disincentives in every rate and reimbursement structure that exists in programs serving people with disabilities</w:t>
      </w:r>
      <w:r w:rsidR="005043F4">
        <w:t xml:space="preserve">. </w:t>
      </w:r>
      <w:r w:rsidRPr="00934D06">
        <w:t>Our task is carefully aligning the financial incentives (and as necessary, disincentives) to create funding models that realize the investments we want and need to make.</w:t>
      </w:r>
    </w:p>
    <w:p w14:paraId="0A2D638A" w14:textId="77777777" w:rsidR="00130CA1" w:rsidRDefault="003E4A2A" w:rsidP="00130CA1">
      <w:pPr>
        <w:spacing w:after="0"/>
      </w:pPr>
      <w:r w:rsidRPr="00934D06">
        <w:lastRenderedPageBreak/>
        <w:t xml:space="preserve">The three-legged stool </w:t>
      </w:r>
      <w:r w:rsidR="00DD065A">
        <w:t>is</w:t>
      </w:r>
      <w:r w:rsidRPr="00934D06">
        <w:t xml:space="preserve"> used as </w:t>
      </w:r>
      <w:r w:rsidR="0013568E">
        <w:t xml:space="preserve">a </w:t>
      </w:r>
      <w:r w:rsidRPr="00934D06">
        <w:t xml:space="preserve">metaphor for many things. If we think about Employment First </w:t>
      </w:r>
      <w:r w:rsidR="00C31948">
        <w:t>as a</w:t>
      </w:r>
      <w:r w:rsidRPr="00934D06">
        <w:t xml:space="preserve"> three-legged stool, funding for employment services and supports would </w:t>
      </w:r>
      <w:r w:rsidR="00C31948">
        <w:t>represent</w:t>
      </w:r>
      <w:r w:rsidRPr="00934D06">
        <w:t xml:space="preserve"> one of the legs, with policy </w:t>
      </w:r>
      <w:r w:rsidR="00C31948">
        <w:t xml:space="preserve">as the second, </w:t>
      </w:r>
      <w:r w:rsidRPr="00934D06">
        <w:t>and commitment/capacity/competency</w:t>
      </w:r>
      <w:r>
        <w:t xml:space="preserve"> as the </w:t>
      </w:r>
      <w:r w:rsidR="00C31948">
        <w:t>third</w:t>
      </w:r>
      <w:r w:rsidRPr="00934D06">
        <w:t xml:space="preserve"> (applying to both providers of employment services and employers). </w:t>
      </w:r>
      <w:r w:rsidRPr="00F8368E">
        <w:t>Note, the three-legged stool assumes commitment, capacity</w:t>
      </w:r>
      <w:r w:rsidR="001E2F72" w:rsidRPr="00F8368E">
        <w:t>,</w:t>
      </w:r>
      <w:r w:rsidRPr="00F8368E">
        <w:t xml:space="preserve"> and competency of individuals with disabilities already exists, if they have access to effective employment services and supports</w:t>
      </w:r>
      <w:r w:rsidR="004E2B6F" w:rsidRPr="00F8368E">
        <w:t xml:space="preserve"> </w:t>
      </w:r>
      <w:r w:rsidR="004E2B6F" w:rsidRPr="00783DB2">
        <w:rPr>
          <w:b/>
          <w:i/>
        </w:rPr>
        <w:t>and encouragement</w:t>
      </w:r>
      <w:r w:rsidR="004E2B6F" w:rsidRPr="00F8368E">
        <w:t xml:space="preserve"> to contribute what they have to offer the world</w:t>
      </w:r>
      <w:r w:rsidRPr="00F8368E">
        <w:t>.</w:t>
      </w:r>
    </w:p>
    <w:p w14:paraId="0C90049C" w14:textId="71245925" w:rsidR="004575AD" w:rsidRDefault="0028781B" w:rsidP="00312093">
      <w:pPr>
        <w:spacing w:before="0" w:after="0"/>
      </w:pPr>
      <w:bookmarkStart w:id="6" w:name="_MON_1680900986"/>
      <w:bookmarkEnd w:id="6"/>
      <w:r w:rsidRPr="0028781B">
        <w:rPr>
          <w:noProof/>
        </w:rPr>
        <w:drawing>
          <wp:inline distT="0" distB="0" distL="0" distR="0" wp14:anchorId="1FF54412" wp14:editId="42474BD6">
            <wp:extent cx="5952226" cy="3035760"/>
            <wp:effectExtent l="0" t="0" r="4445" b="0"/>
            <wp:docPr id="4" name="Picture 4" descr="Diagram of the three-legged stool metaphor for Employment First. The first leg reads Funding, the second leg reads Policy, the third leg reads Employment Service Provider and Employer Commitment, Capacity, and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the three-legged stool metaphor for Employment First. The first leg reads Funding, the second leg reads Policy, the third leg reads Employment Service Provider and Employer Commitment, Capacity, and Competency."/>
                    <pic:cNvPicPr/>
                  </pic:nvPicPr>
                  <pic:blipFill>
                    <a:blip r:embed="rId14"/>
                    <a:stretch>
                      <a:fillRect/>
                    </a:stretch>
                  </pic:blipFill>
                  <pic:spPr>
                    <a:xfrm>
                      <a:off x="0" y="0"/>
                      <a:ext cx="5965363" cy="3042460"/>
                    </a:xfrm>
                    <a:prstGeom prst="rect">
                      <a:avLst/>
                    </a:prstGeom>
                  </pic:spPr>
                </pic:pic>
              </a:graphicData>
            </a:graphic>
          </wp:inline>
        </w:drawing>
      </w:r>
    </w:p>
    <w:p w14:paraId="1A7CCCB7" w14:textId="661EAD7F" w:rsidR="00130CA1" w:rsidRDefault="00130CA1" w:rsidP="00130CA1">
      <w:pPr>
        <w:pStyle w:val="NoSpacing"/>
      </w:pPr>
    </w:p>
    <w:p w14:paraId="41F2DB1F" w14:textId="77777777" w:rsidR="00312093" w:rsidRDefault="00312093" w:rsidP="00130CA1">
      <w:pPr>
        <w:pStyle w:val="NoSpacing"/>
      </w:pPr>
    </w:p>
    <w:p w14:paraId="3B986D9A" w14:textId="6E3FA9D0" w:rsidR="003E4A2A" w:rsidRDefault="003E4A2A" w:rsidP="006D1CFC">
      <w:r w:rsidRPr="000A10E0">
        <w:t>Yet while the absence or severe lack of funding for employment services and supports is clearly a problem that will interfere with the achievement of increased competitive integrated employment participation by people with disabilities, the presence of what is construed as adequate</w:t>
      </w:r>
      <w:r w:rsidR="00813620">
        <w:t>,</w:t>
      </w:r>
      <w:r w:rsidRPr="000A10E0">
        <w:t xml:space="preserve"> or even generous</w:t>
      </w:r>
      <w:r w:rsidR="00813620">
        <w:t>,</w:t>
      </w:r>
      <w:r w:rsidRPr="000A10E0">
        <w:t xml:space="preserve"> funding for employment services and supports is not, in and of itself, a catalyst for increased competitive integrated employment</w:t>
      </w:r>
      <w:r w:rsidR="005043F4" w:rsidRPr="000A10E0">
        <w:t>.</w:t>
      </w:r>
      <w:r w:rsidR="005043F4">
        <w:t xml:space="preserve"> </w:t>
      </w:r>
    </w:p>
    <w:p w14:paraId="61B18EE0" w14:textId="77777777" w:rsidR="003E4A2A" w:rsidRPr="009F2EF2" w:rsidRDefault="003E4A2A" w:rsidP="00B1367E">
      <w:pPr>
        <w:rPr>
          <w:b/>
          <w:bCs/>
          <w:color w:val="000000" w:themeColor="text1"/>
        </w:rPr>
      </w:pPr>
      <w:r w:rsidRPr="009F2EF2">
        <w:rPr>
          <w:b/>
          <w:bCs/>
          <w:color w:val="000000" w:themeColor="text1"/>
        </w:rPr>
        <w:t>The presence of funding creates potential; it does not guarantee outcomes.</w:t>
      </w:r>
    </w:p>
    <w:p w14:paraId="73C310B9" w14:textId="77777777" w:rsidR="003E4A2A" w:rsidRPr="00934D06" w:rsidRDefault="003E4A2A" w:rsidP="00B1367E">
      <w:r w:rsidRPr="00934D06">
        <w:t>This is where funding models</w:t>
      </w:r>
      <w:r w:rsidR="004021A7">
        <w:t>—</w:t>
      </w:r>
      <w:r w:rsidRPr="00934D06">
        <w:t>how the funding is made available, for what purposes, at what payment levels, for how long</w:t>
      </w:r>
      <w:r w:rsidR="001F733D">
        <w:t>,</w:t>
      </w:r>
      <w:r w:rsidRPr="00934D06">
        <w:t xml:space="preserve"> etc.</w:t>
      </w:r>
      <w:r w:rsidR="004021A7">
        <w:t>—</w:t>
      </w:r>
      <w:r w:rsidRPr="00934D06">
        <w:t>become critical for advancing Employment First systems change</w:t>
      </w:r>
      <w:r w:rsidR="005043F4">
        <w:rPr>
          <w:b/>
        </w:rPr>
        <w:t xml:space="preserve">. </w:t>
      </w:r>
      <w:r w:rsidRPr="00934D06">
        <w:rPr>
          <w:b/>
        </w:rPr>
        <w:t>Contrary to our typical assumptions, less funding, used through more effective funding models, has the potential to produce better competitive integrated employment outcomes than more funding distributed through less effective funding models.</w:t>
      </w:r>
      <w:r w:rsidRPr="00934D06">
        <w:t xml:space="preserve"> This is not always welcome news to some Employment First stakeholders</w:t>
      </w:r>
      <w:r w:rsidR="005043F4">
        <w:t xml:space="preserve">. </w:t>
      </w:r>
      <w:r w:rsidRPr="00934D06">
        <w:t xml:space="preserve">Funders who have maintained they cannot advance Employment First, because they do not have the amount of funding they perceive as necessary to do so, might find their funding is </w:t>
      </w:r>
      <w:r w:rsidR="00F675A7">
        <w:t>actually</w:t>
      </w:r>
      <w:r w:rsidRPr="00934D06">
        <w:t xml:space="preserve"> adequate if it is used in a different way</w:t>
      </w:r>
      <w:r w:rsidR="005043F4">
        <w:t xml:space="preserve">. </w:t>
      </w:r>
      <w:r w:rsidRPr="00934D06">
        <w:t xml:space="preserve">Providers who have maintained they cannot advance Employment First without more revenue may find that by redirecting and repurposing their existing revenue, they can </w:t>
      </w:r>
      <w:r w:rsidR="00F675A7">
        <w:t>actually</w:t>
      </w:r>
      <w:r w:rsidRPr="00934D06">
        <w:t xml:space="preserve"> do much more to advance Employment First.</w:t>
      </w:r>
    </w:p>
    <w:p w14:paraId="1D6571E2" w14:textId="77777777" w:rsidR="003E4A2A" w:rsidRPr="00934D06" w:rsidRDefault="003E4A2A" w:rsidP="00B1367E">
      <w:r w:rsidRPr="00171E66">
        <w:t>Apart from these sometimes “inconvenient” truths, another significant factor that combines with a funding model to create the strongest inter-related drivers of behavior</w:t>
      </w:r>
      <w:r w:rsidR="00595E54">
        <w:t>—</w:t>
      </w:r>
      <w:r w:rsidRPr="00171E66">
        <w:t xml:space="preserve">among both funders and </w:t>
      </w:r>
      <w:r w:rsidRPr="00171E66">
        <w:lastRenderedPageBreak/>
        <w:t>providers</w:t>
      </w:r>
      <w:r w:rsidR="00595E54">
        <w:t>–</w:t>
      </w:r>
      <w:r w:rsidRPr="00934D06">
        <w:t xml:space="preserve">is </w:t>
      </w:r>
      <w:r w:rsidRPr="00934D06">
        <w:rPr>
          <w:b/>
        </w:rPr>
        <w:t>how hard it is to do something</w:t>
      </w:r>
      <w:r w:rsidRPr="00934D06">
        <w:t xml:space="preserve">, </w:t>
      </w:r>
      <w:r w:rsidRPr="00934D06">
        <w:rPr>
          <w:b/>
        </w:rPr>
        <w:t>particularly something different</w:t>
      </w:r>
      <w:r w:rsidRPr="00934D06">
        <w:t xml:space="preserve">. </w:t>
      </w:r>
      <w:r w:rsidRPr="00F8368E">
        <w:t>At a very basic level, you can pay me more to do something you want me to do than you pay me to do something else;</w:t>
      </w:r>
      <w:r w:rsidRPr="00934D06">
        <w:t xml:space="preserve"> but if it</w:t>
      </w:r>
      <w:r w:rsidR="00DA6F9F">
        <w:t>’</w:t>
      </w:r>
      <w:r w:rsidRPr="00934D06">
        <w:t xml:space="preserve">s harder </w:t>
      </w:r>
      <w:r w:rsidRPr="00934D06">
        <w:rPr>
          <w:u w:val="single"/>
        </w:rPr>
        <w:t>and</w:t>
      </w:r>
      <w:r w:rsidRPr="00934D06">
        <w:t xml:space="preserve"> may cost more to do what you want me to do, and it is </w:t>
      </w:r>
      <w:r w:rsidRPr="00934D06">
        <w:rPr>
          <w:u w:val="single"/>
        </w:rPr>
        <w:t>different</w:t>
      </w:r>
      <w:r w:rsidRPr="00934D06">
        <w:t xml:space="preserve"> </w:t>
      </w:r>
      <w:r w:rsidR="00F675A7">
        <w:t>from</w:t>
      </w:r>
      <w:r w:rsidRPr="00934D06">
        <w:t xml:space="preserve"> what I am comfortable and experienced doing, there may not be any real incentive for me to do that, even though you are offering to pay me more. </w:t>
      </w:r>
    </w:p>
    <w:p w14:paraId="57CEBB80" w14:textId="1BB5611E" w:rsidR="003E4A2A" w:rsidRPr="00934D06" w:rsidRDefault="003E4A2A" w:rsidP="00B1367E">
      <w:r w:rsidRPr="003461F4">
        <w:t>Supporting people with disabilities in more individualized ways</w:t>
      </w:r>
      <w:r w:rsidR="003461F4">
        <w:t xml:space="preserve"> </w:t>
      </w:r>
      <w:r w:rsidR="00006812" w:rsidRPr="003461F4">
        <w:t>is typically seen as harder than serving people in traditional programs.</w:t>
      </w:r>
      <w:r w:rsidR="00006812">
        <w:t xml:space="preserve"> One difficulty is </w:t>
      </w:r>
      <w:r w:rsidRPr="003461F4">
        <w:t>developing and supporting individualized opportunities in the broader community that involve partnership</w:t>
      </w:r>
      <w:r w:rsidR="00477F0B">
        <w:t>s</w:t>
      </w:r>
      <w:r w:rsidRPr="003461F4">
        <w:t xml:space="preserve"> with employers, other community organizations</w:t>
      </w:r>
      <w:r w:rsidR="00133AB2" w:rsidRPr="003461F4">
        <w:t>,</w:t>
      </w:r>
      <w:r w:rsidRPr="003461F4">
        <w:t xml:space="preserve"> and a variety of members of the broader community</w:t>
      </w:r>
      <w:r w:rsidR="00555A2C">
        <w:t>.</w:t>
      </w:r>
      <w:r w:rsidR="009F21C9" w:rsidRPr="003461F4">
        <w:t xml:space="preserve"> </w:t>
      </w:r>
      <w:r w:rsidRPr="00133AB2">
        <w:t>Even if people with disabilities don’t use or attend traditional programs, there is more comfort and experience with serving them in their own home</w:t>
      </w:r>
      <w:r w:rsidR="0023112E" w:rsidRPr="00133AB2">
        <w:t>s</w:t>
      </w:r>
      <w:r w:rsidRPr="00133AB2">
        <w:t xml:space="preserve"> as</w:t>
      </w:r>
      <w:r w:rsidRPr="00934D06">
        <w:t xml:space="preserve"> opposed to supporting them in the broader community</w:t>
      </w:r>
      <w:r w:rsidR="0037194D">
        <w:t xml:space="preserve">. </w:t>
      </w:r>
      <w:r w:rsidRPr="0023112E">
        <w:t>There are many reasons why providing supports in t</w:t>
      </w:r>
      <w:r w:rsidR="00F675A7">
        <w:t>he broader community</w:t>
      </w:r>
      <w:r w:rsidRPr="0023112E">
        <w:t>, including supports for competitive integrated employment, is seen as harder</w:t>
      </w:r>
      <w:r w:rsidR="0037194D">
        <w:t xml:space="preserve">. </w:t>
      </w:r>
      <w:r w:rsidRPr="00934D06">
        <w:t xml:space="preserve">One obvious reason is </w:t>
      </w:r>
      <w:r w:rsidR="00592F2C">
        <w:t>that</w:t>
      </w:r>
      <w:r w:rsidR="00592F2C" w:rsidRPr="00934D06">
        <w:t xml:space="preserve"> </w:t>
      </w:r>
      <w:r w:rsidRPr="00934D06">
        <w:t xml:space="preserve">the infrastructure of provider agencies is not built to support this kind of service provision, </w:t>
      </w:r>
      <w:r w:rsidR="00F675A7">
        <w:t>and thus requires</w:t>
      </w:r>
      <w:r w:rsidRPr="00934D06">
        <w:t xml:space="preserve"> significant restructuring and internal organizational change to optimize an organization’s ability to provide individualized, integrated supports in the best possible ways</w:t>
      </w:r>
      <w:r w:rsidR="0037194D">
        <w:t xml:space="preserve">. </w:t>
      </w:r>
      <w:r w:rsidRPr="00934D06">
        <w:t>Add to this the challenge of inertia</w:t>
      </w:r>
      <w:r w:rsidR="0037194D">
        <w:t xml:space="preserve">. </w:t>
      </w:r>
      <w:r w:rsidRPr="00934D06">
        <w:t>Research has shown that larger service provider organizations, who are likely to have the resources to more successfully implement change, are challenged more by inertia than smaller organizations that typically lack the resources to underwrite their change efforts.</w:t>
      </w:r>
      <w:r w:rsidRPr="00934D06">
        <w:rPr>
          <w:rStyle w:val="FootnoteReference"/>
        </w:rPr>
        <w:footnoteReference w:id="3"/>
      </w:r>
      <w:r w:rsidR="000E4CAB">
        <w:t xml:space="preserve"> </w:t>
      </w:r>
    </w:p>
    <w:p w14:paraId="30FBF385" w14:textId="77777777" w:rsidR="003E4A2A" w:rsidRPr="00934D06" w:rsidRDefault="003E4A2A" w:rsidP="00B1367E">
      <w:r w:rsidRPr="00934D06">
        <w:t>Further, everything just mentioned is also true for funders of services: their systems are not set up to support these kinds of approaches to service provisions; it is hard to implement policy and system changes, in addition to funding changes, to support providers to go in these critical directions. And most funders are large organizations, often governmental entities</w:t>
      </w:r>
      <w:r w:rsidR="00FD15FE">
        <w:t>,</w:t>
      </w:r>
      <w:r w:rsidRPr="00934D06">
        <w:t xml:space="preserve"> which are known to experience more challenges with inertia than</w:t>
      </w:r>
      <w:r w:rsidR="00AD0BCD">
        <w:t xml:space="preserve"> </w:t>
      </w:r>
      <w:r w:rsidRPr="00934D06">
        <w:t>other types of organizations.</w:t>
      </w:r>
    </w:p>
    <w:p w14:paraId="4CB9FCDF" w14:textId="77777777" w:rsidR="003E4A2A" w:rsidRPr="00934D06" w:rsidRDefault="003E4A2A" w:rsidP="00B1367E">
      <w:r w:rsidRPr="00934D06">
        <w:t>While there is no intent here to take the reader down a proverbial “rabbit hole” with regard to the interconnectivity between funding models and the challenges associated with changing from familiar systems, programs</w:t>
      </w:r>
      <w:r w:rsidR="00FD15FE">
        <w:t>,</w:t>
      </w:r>
      <w:r w:rsidRPr="00934D06">
        <w:t xml:space="preserve"> and practices to less familiar and initially more challenging ways of doing things, it seems clear that </w:t>
      </w:r>
      <w:r w:rsidRPr="00934D06">
        <w:rPr>
          <w:b/>
        </w:rPr>
        <w:t>devising effective funding models requires heightened awareness of these other ubiquitous influencers</w:t>
      </w:r>
      <w:r w:rsidRPr="00934D06">
        <w:t xml:space="preserve">. </w:t>
      </w:r>
    </w:p>
    <w:p w14:paraId="1626E2C3" w14:textId="77777777" w:rsidR="003E4A2A" w:rsidRPr="00934D06" w:rsidRDefault="003E4A2A" w:rsidP="00B1367E">
      <w:pPr>
        <w:rPr>
          <w:b/>
        </w:rPr>
      </w:pPr>
      <w:r w:rsidRPr="00934D06">
        <w:t>Returning to the topic at hand, no one likes to hear “it depends” when they ask a question and really want to know the answer</w:t>
      </w:r>
      <w:r w:rsidR="005043F4">
        <w:t xml:space="preserve">. </w:t>
      </w:r>
      <w:r w:rsidRPr="00934D06">
        <w:t>This guide is focused on shedding light on the complexities that make “it depends” a common answer in this arena</w:t>
      </w:r>
      <w:r w:rsidR="005043F4">
        <w:t xml:space="preserve">. </w:t>
      </w:r>
      <w:r w:rsidRPr="00934D06">
        <w:t>One basic observation from experience is that things are not often as they seem</w:t>
      </w:r>
      <w:r w:rsidR="005043F4">
        <w:t xml:space="preserve">. </w:t>
      </w:r>
      <w:r w:rsidRPr="00934D06">
        <w:t>What is true may not be obvious, nor intuitive; yet in other ways, what is true is often very much aligned with common sense.</w:t>
      </w:r>
    </w:p>
    <w:p w14:paraId="6CD60DF5" w14:textId="77777777" w:rsidR="003E4A2A" w:rsidRDefault="003E4A2A" w:rsidP="00B1367E">
      <w:r w:rsidRPr="00934D06">
        <w:t>As a fundamental starting point, one simplistic assumption that must be put aside is this: if one reimbursement rate or milestone payment is higher than another, there must be an incentive to provide the service that is paid at the higher rate or payment</w:t>
      </w:r>
      <w:r w:rsidR="005043F4">
        <w:t xml:space="preserve">. </w:t>
      </w:r>
      <w:r w:rsidRPr="00934D06">
        <w:t>This is simply not true</w:t>
      </w:r>
      <w:r w:rsidR="005043F4">
        <w:t xml:space="preserve">. </w:t>
      </w:r>
      <w:r w:rsidR="00962C3B">
        <w:t>Below is</w:t>
      </w:r>
      <w:r w:rsidRPr="00934D06">
        <w:t xml:space="preserve"> a simple illustration to prove this point</w:t>
      </w:r>
      <w:r w:rsidR="00962C3B">
        <w:t>.</w:t>
      </w:r>
    </w:p>
    <w:p w14:paraId="6AE255E7" w14:textId="49D964DB" w:rsidR="00962C3B" w:rsidRDefault="00962C3B" w:rsidP="00F05DFF">
      <w:pPr>
        <w:spacing w:after="240"/>
      </w:pPr>
      <w:r w:rsidRPr="00F8368E">
        <w:t>The incentive to the provider is clearly not to provide the service that has the higher hourly rate.</w:t>
      </w:r>
    </w:p>
    <w:tbl>
      <w:tblPr>
        <w:tblStyle w:val="EconSysTable"/>
        <w:tblW w:w="0" w:type="auto"/>
        <w:tblInd w:w="0" w:type="dxa"/>
        <w:tblLook w:val="0420" w:firstRow="1" w:lastRow="0" w:firstColumn="0" w:lastColumn="0" w:noHBand="0" w:noVBand="1"/>
      </w:tblPr>
      <w:tblGrid>
        <w:gridCol w:w="3485"/>
        <w:gridCol w:w="2700"/>
        <w:gridCol w:w="2725"/>
      </w:tblGrid>
      <w:tr w:rsidR="00BB1A40" w:rsidRPr="006946E0" w14:paraId="53E065DF" w14:textId="77777777" w:rsidTr="00312093">
        <w:trPr>
          <w:cnfStyle w:val="100000000000" w:firstRow="1" w:lastRow="0" w:firstColumn="0" w:lastColumn="0" w:oddVBand="0" w:evenVBand="0" w:oddHBand="0" w:evenHBand="0" w:firstRowFirstColumn="0" w:firstRowLastColumn="0" w:lastRowFirstColumn="0" w:lastRowLastColumn="0"/>
          <w:trHeight w:val="254"/>
        </w:trPr>
        <w:tc>
          <w:tcPr>
            <w:tcW w:w="3485" w:type="dxa"/>
            <w:tcBorders>
              <w:bottom w:val="none" w:sz="0" w:space="0" w:color="auto"/>
            </w:tcBorders>
            <w:shd w:val="clear" w:color="auto" w:fill="215868" w:themeFill="accent5" w:themeFillShade="80"/>
            <w:vAlign w:val="center"/>
          </w:tcPr>
          <w:p w14:paraId="69339938" w14:textId="77777777" w:rsidR="00BB1A40" w:rsidRPr="006946E0" w:rsidRDefault="00BB1A40" w:rsidP="00D93068">
            <w:pPr>
              <w:spacing w:before="0" w:after="0" w:line="240" w:lineRule="auto"/>
              <w:contextualSpacing w:val="0"/>
              <w:jc w:val="center"/>
              <w:rPr>
                <w:rFonts w:ascii="Optima" w:hAnsi="Optima"/>
                <w:color w:val="FFFFFF" w:themeColor="background1"/>
                <w:sz w:val="19"/>
                <w:szCs w:val="19"/>
              </w:rPr>
            </w:pPr>
          </w:p>
        </w:tc>
        <w:tc>
          <w:tcPr>
            <w:tcW w:w="2700" w:type="dxa"/>
            <w:tcBorders>
              <w:bottom w:val="none" w:sz="0" w:space="0" w:color="auto"/>
            </w:tcBorders>
            <w:shd w:val="clear" w:color="auto" w:fill="215868" w:themeFill="accent5" w:themeFillShade="80"/>
            <w:vAlign w:val="center"/>
          </w:tcPr>
          <w:p w14:paraId="7B89D73A" w14:textId="77777777" w:rsidR="00BB1A40" w:rsidRPr="006946E0" w:rsidRDefault="00BB1A40" w:rsidP="00D93068">
            <w:pPr>
              <w:spacing w:before="0" w:after="40" w:line="240" w:lineRule="auto"/>
              <w:contextualSpacing w:val="0"/>
              <w:jc w:val="center"/>
              <w:rPr>
                <w:rFonts w:ascii="Optima" w:hAnsi="Optima"/>
                <w:color w:val="FFFFFF" w:themeColor="background1"/>
                <w:sz w:val="19"/>
                <w:szCs w:val="19"/>
              </w:rPr>
            </w:pPr>
            <w:r w:rsidRPr="006946E0">
              <w:rPr>
                <w:rFonts w:ascii="Optima" w:hAnsi="Optima"/>
                <w:color w:val="FFFFFF" w:themeColor="background1"/>
                <w:sz w:val="19"/>
                <w:szCs w:val="19"/>
              </w:rPr>
              <w:t>Facility-Based</w:t>
            </w:r>
            <w:r w:rsidRPr="006946E0">
              <w:rPr>
                <w:rFonts w:ascii="Optima" w:hAnsi="Optima"/>
                <w:color w:val="FFFFFF" w:themeColor="background1"/>
                <w:sz w:val="19"/>
                <w:szCs w:val="19"/>
              </w:rPr>
              <w:br/>
              <w:t>Day Habilitation</w:t>
            </w:r>
          </w:p>
        </w:tc>
        <w:tc>
          <w:tcPr>
            <w:tcW w:w="2725" w:type="dxa"/>
            <w:tcBorders>
              <w:bottom w:val="none" w:sz="0" w:space="0" w:color="auto"/>
            </w:tcBorders>
            <w:shd w:val="clear" w:color="auto" w:fill="215868" w:themeFill="accent5" w:themeFillShade="80"/>
            <w:vAlign w:val="center"/>
          </w:tcPr>
          <w:p w14:paraId="7212BCC2" w14:textId="77777777" w:rsidR="00BB1A40" w:rsidRPr="006946E0" w:rsidRDefault="00BB1A40" w:rsidP="00D93068">
            <w:pPr>
              <w:spacing w:before="0" w:after="40" w:line="240" w:lineRule="auto"/>
              <w:contextualSpacing w:val="0"/>
              <w:jc w:val="center"/>
              <w:rPr>
                <w:rFonts w:ascii="Optima" w:hAnsi="Optima"/>
                <w:color w:val="FFFFFF" w:themeColor="background1"/>
                <w:sz w:val="19"/>
                <w:szCs w:val="19"/>
              </w:rPr>
            </w:pPr>
            <w:r w:rsidRPr="006946E0">
              <w:rPr>
                <w:rFonts w:ascii="Optima" w:hAnsi="Optima"/>
                <w:color w:val="FFFFFF" w:themeColor="background1"/>
                <w:sz w:val="19"/>
                <w:szCs w:val="19"/>
              </w:rPr>
              <w:t xml:space="preserve">Supported Employment </w:t>
            </w:r>
            <w:r w:rsidRPr="006946E0">
              <w:rPr>
                <w:rFonts w:ascii="Optima" w:hAnsi="Optima"/>
                <w:color w:val="FFFFFF" w:themeColor="background1"/>
                <w:sz w:val="19"/>
                <w:szCs w:val="19"/>
              </w:rPr>
              <w:br/>
              <w:t>Individual Job Coaching</w:t>
            </w:r>
          </w:p>
        </w:tc>
      </w:tr>
      <w:tr w:rsidR="00BB1A40" w:rsidRPr="00C51AFE" w14:paraId="5CF6B061" w14:textId="77777777" w:rsidTr="00312093">
        <w:trPr>
          <w:cnfStyle w:val="000000100000" w:firstRow="0" w:lastRow="0" w:firstColumn="0" w:lastColumn="0" w:oddVBand="0" w:evenVBand="0" w:oddHBand="1" w:evenHBand="0" w:firstRowFirstColumn="0" w:firstRowLastColumn="0" w:lastRowFirstColumn="0" w:lastRowLastColumn="0"/>
          <w:trHeight w:val="346"/>
        </w:trPr>
        <w:tc>
          <w:tcPr>
            <w:tcW w:w="3485" w:type="dxa"/>
            <w:tcBorders>
              <w:bottom w:val="single" w:sz="2" w:space="0" w:color="D9D9D9" w:themeColor="background1" w:themeShade="D9"/>
            </w:tcBorders>
            <w:shd w:val="clear" w:color="auto" w:fill="auto"/>
          </w:tcPr>
          <w:p w14:paraId="62B0FE8A" w14:textId="77777777" w:rsidR="00BB1A40" w:rsidRPr="00C51AFE" w:rsidRDefault="00BB1A40" w:rsidP="00912B7F">
            <w:pPr>
              <w:spacing w:before="40" w:after="40" w:line="240" w:lineRule="auto"/>
              <w:contextualSpacing w:val="0"/>
              <w:rPr>
                <w:rFonts w:ascii="Optima" w:hAnsi="Optima"/>
                <w:b/>
                <w:bCs/>
                <w:sz w:val="19"/>
                <w:szCs w:val="19"/>
              </w:rPr>
            </w:pPr>
            <w:r w:rsidRPr="00C51AFE">
              <w:rPr>
                <w:rFonts w:ascii="Optima" w:hAnsi="Optima"/>
                <w:b/>
                <w:bCs/>
                <w:sz w:val="19"/>
                <w:szCs w:val="19"/>
              </w:rPr>
              <w:t>Reimbursement Rate Per Service Hour</w:t>
            </w:r>
          </w:p>
        </w:tc>
        <w:tc>
          <w:tcPr>
            <w:tcW w:w="2700" w:type="dxa"/>
            <w:tcBorders>
              <w:bottom w:val="single" w:sz="2" w:space="0" w:color="D9D9D9" w:themeColor="background1" w:themeShade="D9"/>
            </w:tcBorders>
            <w:shd w:val="clear" w:color="auto" w:fill="auto"/>
          </w:tcPr>
          <w:p w14:paraId="3B21EEDE" w14:textId="77777777" w:rsidR="00BB1A40" w:rsidRPr="00C51AFE" w:rsidRDefault="00BB1A40" w:rsidP="00D93068">
            <w:pPr>
              <w:spacing w:before="40" w:after="40" w:line="240" w:lineRule="auto"/>
              <w:contextualSpacing w:val="0"/>
              <w:jc w:val="center"/>
              <w:rPr>
                <w:rFonts w:ascii="Optima" w:hAnsi="Optima"/>
                <w:b/>
                <w:bCs/>
                <w:sz w:val="19"/>
                <w:szCs w:val="19"/>
              </w:rPr>
            </w:pPr>
            <w:r w:rsidRPr="00C51AFE">
              <w:rPr>
                <w:rFonts w:ascii="Optima" w:hAnsi="Optima"/>
                <w:b/>
                <w:bCs/>
                <w:sz w:val="19"/>
                <w:szCs w:val="19"/>
              </w:rPr>
              <w:t>$7.00/hour</w:t>
            </w:r>
          </w:p>
        </w:tc>
        <w:tc>
          <w:tcPr>
            <w:tcW w:w="2725" w:type="dxa"/>
            <w:tcBorders>
              <w:bottom w:val="single" w:sz="2" w:space="0" w:color="D9D9D9" w:themeColor="background1" w:themeShade="D9"/>
            </w:tcBorders>
            <w:shd w:val="clear" w:color="auto" w:fill="auto"/>
          </w:tcPr>
          <w:p w14:paraId="1FD5825B" w14:textId="77777777" w:rsidR="00BB1A40" w:rsidRPr="00C51AFE" w:rsidRDefault="00BB1A40" w:rsidP="00D93068">
            <w:pPr>
              <w:spacing w:before="40" w:after="40" w:line="240" w:lineRule="auto"/>
              <w:contextualSpacing w:val="0"/>
              <w:jc w:val="center"/>
              <w:rPr>
                <w:rFonts w:ascii="Optima" w:hAnsi="Optima"/>
                <w:b/>
                <w:bCs/>
                <w:sz w:val="19"/>
                <w:szCs w:val="19"/>
              </w:rPr>
            </w:pPr>
            <w:r w:rsidRPr="00C51AFE">
              <w:rPr>
                <w:rFonts w:ascii="Optima" w:hAnsi="Optima"/>
                <w:b/>
                <w:bCs/>
                <w:sz w:val="19"/>
                <w:szCs w:val="19"/>
              </w:rPr>
              <w:t>$28.00/hour</w:t>
            </w:r>
          </w:p>
        </w:tc>
      </w:tr>
      <w:tr w:rsidR="00BB1A40" w:rsidRPr="0006363F" w14:paraId="6872B92F" w14:textId="77777777" w:rsidTr="00312093">
        <w:trPr>
          <w:cnfStyle w:val="000000010000" w:firstRow="0" w:lastRow="0" w:firstColumn="0" w:lastColumn="0" w:oddVBand="0" w:evenVBand="0" w:oddHBand="0" w:evenHBand="1" w:firstRowFirstColumn="0" w:firstRowLastColumn="0" w:lastRowFirstColumn="0" w:lastRowLastColumn="0"/>
          <w:trHeight w:val="346"/>
        </w:trPr>
        <w:tc>
          <w:tcPr>
            <w:tcW w:w="3485"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7ED95279" w14:textId="77777777" w:rsidR="00BB1A40" w:rsidRPr="0006363F" w:rsidRDefault="00BB1A40" w:rsidP="00912B7F">
            <w:pPr>
              <w:spacing w:before="40" w:after="40" w:line="240" w:lineRule="auto"/>
              <w:contextualSpacing w:val="0"/>
              <w:rPr>
                <w:rFonts w:ascii="Optima" w:hAnsi="Optima"/>
                <w:sz w:val="19"/>
                <w:szCs w:val="19"/>
              </w:rPr>
            </w:pPr>
            <w:r w:rsidRPr="0006363F">
              <w:rPr>
                <w:rFonts w:ascii="Optima" w:hAnsi="Optima"/>
                <w:sz w:val="19"/>
                <w:szCs w:val="19"/>
              </w:rPr>
              <w:t>Minimum Staffing Ratio</w:t>
            </w:r>
          </w:p>
        </w:tc>
        <w:tc>
          <w:tcPr>
            <w:tcW w:w="270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723DF8F8" w14:textId="77777777" w:rsidR="00BB1A40" w:rsidRPr="0006363F" w:rsidRDefault="00BB1A40" w:rsidP="00D93068">
            <w:pPr>
              <w:spacing w:before="40" w:after="40" w:line="240" w:lineRule="auto"/>
              <w:contextualSpacing w:val="0"/>
              <w:jc w:val="center"/>
              <w:rPr>
                <w:rFonts w:ascii="Optima" w:hAnsi="Optima"/>
                <w:sz w:val="19"/>
                <w:szCs w:val="19"/>
              </w:rPr>
            </w:pPr>
            <w:r w:rsidRPr="0006363F">
              <w:rPr>
                <w:rFonts w:ascii="Optima" w:hAnsi="Optima"/>
                <w:sz w:val="19"/>
                <w:szCs w:val="19"/>
              </w:rPr>
              <w:t>1:8</w:t>
            </w:r>
          </w:p>
        </w:tc>
        <w:tc>
          <w:tcPr>
            <w:tcW w:w="2725"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4E853C9A" w14:textId="77777777" w:rsidR="00BB1A40" w:rsidRPr="0006363F" w:rsidRDefault="00BB1A40" w:rsidP="00D93068">
            <w:pPr>
              <w:spacing w:before="40" w:after="40" w:line="240" w:lineRule="auto"/>
              <w:contextualSpacing w:val="0"/>
              <w:jc w:val="center"/>
              <w:rPr>
                <w:rFonts w:ascii="Optima" w:hAnsi="Optima"/>
                <w:sz w:val="19"/>
                <w:szCs w:val="19"/>
              </w:rPr>
            </w:pPr>
            <w:r w:rsidRPr="0006363F">
              <w:rPr>
                <w:rFonts w:ascii="Optima" w:hAnsi="Optima"/>
                <w:sz w:val="19"/>
                <w:szCs w:val="19"/>
              </w:rPr>
              <w:t>1:1</w:t>
            </w:r>
          </w:p>
        </w:tc>
      </w:tr>
      <w:tr w:rsidR="00BB1A40" w:rsidRPr="0006363F" w14:paraId="4F571FD8" w14:textId="77777777" w:rsidTr="00312093">
        <w:trPr>
          <w:cnfStyle w:val="000000100000" w:firstRow="0" w:lastRow="0" w:firstColumn="0" w:lastColumn="0" w:oddVBand="0" w:evenVBand="0" w:oddHBand="1" w:evenHBand="0" w:firstRowFirstColumn="0" w:firstRowLastColumn="0" w:lastRowFirstColumn="0" w:lastRowLastColumn="0"/>
          <w:trHeight w:val="346"/>
        </w:trPr>
        <w:tc>
          <w:tcPr>
            <w:tcW w:w="3485" w:type="dxa"/>
            <w:tcBorders>
              <w:top w:val="single" w:sz="2" w:space="0" w:color="D9D9D9" w:themeColor="background1" w:themeShade="D9"/>
              <w:bottom w:val="single" w:sz="2" w:space="0" w:color="D9D9D9" w:themeColor="background1" w:themeShade="D9"/>
            </w:tcBorders>
            <w:shd w:val="clear" w:color="auto" w:fill="auto"/>
          </w:tcPr>
          <w:p w14:paraId="143726BB" w14:textId="77777777" w:rsidR="00BB1A40" w:rsidRPr="0006363F" w:rsidRDefault="00BB1A40" w:rsidP="00912B7F">
            <w:pPr>
              <w:spacing w:before="40" w:after="40" w:line="240" w:lineRule="auto"/>
              <w:contextualSpacing w:val="0"/>
              <w:rPr>
                <w:rFonts w:ascii="Optima" w:hAnsi="Optima"/>
                <w:sz w:val="19"/>
                <w:szCs w:val="19"/>
              </w:rPr>
            </w:pPr>
            <w:r w:rsidRPr="0006363F">
              <w:rPr>
                <w:rFonts w:ascii="Optima" w:hAnsi="Optima"/>
                <w:sz w:val="19"/>
                <w:szCs w:val="19"/>
              </w:rPr>
              <w:t>Total Cost Per Staff Hour (all costs)</w:t>
            </w:r>
          </w:p>
        </w:tc>
        <w:tc>
          <w:tcPr>
            <w:tcW w:w="2700" w:type="dxa"/>
            <w:tcBorders>
              <w:top w:val="single" w:sz="2" w:space="0" w:color="D9D9D9" w:themeColor="background1" w:themeShade="D9"/>
              <w:bottom w:val="single" w:sz="2" w:space="0" w:color="D9D9D9" w:themeColor="background1" w:themeShade="D9"/>
            </w:tcBorders>
            <w:shd w:val="clear" w:color="auto" w:fill="auto"/>
          </w:tcPr>
          <w:p w14:paraId="22D58191" w14:textId="77777777" w:rsidR="00BB1A40" w:rsidRPr="0006363F" w:rsidRDefault="00BB1A40" w:rsidP="00D93068">
            <w:pPr>
              <w:spacing w:before="40" w:after="40" w:line="240" w:lineRule="auto"/>
              <w:contextualSpacing w:val="0"/>
              <w:jc w:val="center"/>
              <w:rPr>
                <w:rFonts w:ascii="Optima" w:hAnsi="Optima"/>
                <w:sz w:val="19"/>
                <w:szCs w:val="19"/>
              </w:rPr>
            </w:pPr>
            <w:r w:rsidRPr="0006363F">
              <w:rPr>
                <w:rFonts w:ascii="Optima" w:hAnsi="Optima"/>
                <w:sz w:val="19"/>
                <w:szCs w:val="19"/>
              </w:rPr>
              <w:t>$40.00</w:t>
            </w:r>
          </w:p>
        </w:tc>
        <w:tc>
          <w:tcPr>
            <w:tcW w:w="2725" w:type="dxa"/>
            <w:tcBorders>
              <w:top w:val="single" w:sz="2" w:space="0" w:color="D9D9D9" w:themeColor="background1" w:themeShade="D9"/>
              <w:bottom w:val="single" w:sz="2" w:space="0" w:color="D9D9D9" w:themeColor="background1" w:themeShade="D9"/>
            </w:tcBorders>
            <w:shd w:val="clear" w:color="auto" w:fill="auto"/>
          </w:tcPr>
          <w:p w14:paraId="73D862E7" w14:textId="77777777" w:rsidR="00BB1A40" w:rsidRPr="0006363F" w:rsidRDefault="00BB1A40" w:rsidP="00D93068">
            <w:pPr>
              <w:spacing w:before="40" w:after="40" w:line="240" w:lineRule="auto"/>
              <w:contextualSpacing w:val="0"/>
              <w:jc w:val="center"/>
              <w:rPr>
                <w:rFonts w:ascii="Optima" w:hAnsi="Optima"/>
                <w:sz w:val="19"/>
                <w:szCs w:val="19"/>
              </w:rPr>
            </w:pPr>
            <w:r w:rsidRPr="0006363F">
              <w:rPr>
                <w:rFonts w:ascii="Optima" w:hAnsi="Optima"/>
                <w:sz w:val="19"/>
                <w:szCs w:val="19"/>
              </w:rPr>
              <w:t>$27.00</w:t>
            </w:r>
          </w:p>
        </w:tc>
      </w:tr>
      <w:tr w:rsidR="00BB1A40" w:rsidRPr="0006363F" w14:paraId="193955BB" w14:textId="77777777" w:rsidTr="00312093">
        <w:trPr>
          <w:cnfStyle w:val="000000010000" w:firstRow="0" w:lastRow="0" w:firstColumn="0" w:lastColumn="0" w:oddVBand="0" w:evenVBand="0" w:oddHBand="0" w:evenHBand="1" w:firstRowFirstColumn="0" w:firstRowLastColumn="0" w:lastRowFirstColumn="0" w:lastRowLastColumn="0"/>
          <w:trHeight w:val="346"/>
        </w:trPr>
        <w:tc>
          <w:tcPr>
            <w:tcW w:w="3485" w:type="dxa"/>
            <w:tcBorders>
              <w:top w:val="single" w:sz="2" w:space="0" w:color="D9D9D9" w:themeColor="background1" w:themeShade="D9"/>
              <w:bottom w:val="single" w:sz="2" w:space="0" w:color="D9D9D9" w:themeColor="background1" w:themeShade="D9"/>
            </w:tcBorders>
            <w:shd w:val="clear" w:color="auto" w:fill="auto"/>
          </w:tcPr>
          <w:p w14:paraId="5C6D78E9" w14:textId="77777777" w:rsidR="00BB1A40" w:rsidRPr="0006363F" w:rsidRDefault="00BB1A40" w:rsidP="00912B7F">
            <w:pPr>
              <w:spacing w:before="40" w:after="40" w:line="240" w:lineRule="auto"/>
              <w:contextualSpacing w:val="0"/>
              <w:rPr>
                <w:rFonts w:ascii="Optima" w:hAnsi="Optima"/>
                <w:sz w:val="19"/>
                <w:szCs w:val="19"/>
              </w:rPr>
            </w:pPr>
            <w:r w:rsidRPr="0006363F">
              <w:rPr>
                <w:rFonts w:ascii="Optima" w:hAnsi="Optima"/>
                <w:sz w:val="19"/>
                <w:szCs w:val="19"/>
              </w:rPr>
              <w:t>Total Billable Per Staff Hour</w:t>
            </w:r>
          </w:p>
        </w:tc>
        <w:tc>
          <w:tcPr>
            <w:tcW w:w="2700" w:type="dxa"/>
            <w:tcBorders>
              <w:top w:val="single" w:sz="2" w:space="0" w:color="D9D9D9" w:themeColor="background1" w:themeShade="D9"/>
              <w:bottom w:val="single" w:sz="2" w:space="0" w:color="D9D9D9" w:themeColor="background1" w:themeShade="D9"/>
            </w:tcBorders>
            <w:shd w:val="clear" w:color="auto" w:fill="auto"/>
          </w:tcPr>
          <w:p w14:paraId="6EC45B82" w14:textId="77777777" w:rsidR="00BB1A40" w:rsidRPr="0006363F" w:rsidRDefault="00BB1A40" w:rsidP="00D93068">
            <w:pPr>
              <w:spacing w:before="40" w:after="40" w:line="240" w:lineRule="auto"/>
              <w:contextualSpacing w:val="0"/>
              <w:jc w:val="center"/>
              <w:rPr>
                <w:rFonts w:ascii="Optima" w:hAnsi="Optima"/>
                <w:sz w:val="19"/>
                <w:szCs w:val="19"/>
              </w:rPr>
            </w:pPr>
            <w:r w:rsidRPr="0006363F">
              <w:rPr>
                <w:rFonts w:ascii="Optima" w:hAnsi="Optima"/>
                <w:sz w:val="19"/>
                <w:szCs w:val="19"/>
              </w:rPr>
              <w:t>$56.00</w:t>
            </w:r>
          </w:p>
        </w:tc>
        <w:tc>
          <w:tcPr>
            <w:tcW w:w="2725" w:type="dxa"/>
            <w:tcBorders>
              <w:top w:val="single" w:sz="2" w:space="0" w:color="D9D9D9" w:themeColor="background1" w:themeShade="D9"/>
              <w:bottom w:val="single" w:sz="2" w:space="0" w:color="D9D9D9" w:themeColor="background1" w:themeShade="D9"/>
            </w:tcBorders>
            <w:shd w:val="clear" w:color="auto" w:fill="auto"/>
          </w:tcPr>
          <w:p w14:paraId="7DF77466" w14:textId="77777777" w:rsidR="00BB1A40" w:rsidRPr="0006363F" w:rsidRDefault="00BB1A40" w:rsidP="00D93068">
            <w:pPr>
              <w:spacing w:before="40" w:after="40" w:line="240" w:lineRule="auto"/>
              <w:contextualSpacing w:val="0"/>
              <w:jc w:val="center"/>
              <w:rPr>
                <w:rFonts w:ascii="Optima" w:hAnsi="Optima"/>
                <w:sz w:val="19"/>
                <w:szCs w:val="19"/>
              </w:rPr>
            </w:pPr>
            <w:r w:rsidRPr="0006363F">
              <w:rPr>
                <w:rFonts w:ascii="Optima" w:hAnsi="Optima"/>
                <w:sz w:val="19"/>
                <w:szCs w:val="19"/>
              </w:rPr>
              <w:t>$28.00</w:t>
            </w:r>
          </w:p>
        </w:tc>
      </w:tr>
      <w:tr w:rsidR="00BB1A40" w:rsidRPr="00C51AFE" w14:paraId="2E7035EC" w14:textId="77777777" w:rsidTr="00312093">
        <w:trPr>
          <w:cnfStyle w:val="000000100000" w:firstRow="0" w:lastRow="0" w:firstColumn="0" w:lastColumn="0" w:oddVBand="0" w:evenVBand="0" w:oddHBand="1" w:evenHBand="0" w:firstRowFirstColumn="0" w:firstRowLastColumn="0" w:lastRowFirstColumn="0" w:lastRowLastColumn="0"/>
          <w:trHeight w:val="346"/>
        </w:trPr>
        <w:tc>
          <w:tcPr>
            <w:tcW w:w="3485"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479AB755" w14:textId="77777777" w:rsidR="00BB1A40" w:rsidRPr="00C51AFE" w:rsidRDefault="00BB1A40" w:rsidP="00912B7F">
            <w:pPr>
              <w:spacing w:before="40" w:after="40" w:line="240" w:lineRule="auto"/>
              <w:contextualSpacing w:val="0"/>
              <w:rPr>
                <w:rFonts w:ascii="Optima" w:hAnsi="Optima"/>
                <w:b/>
                <w:bCs/>
                <w:sz w:val="19"/>
                <w:szCs w:val="19"/>
              </w:rPr>
            </w:pPr>
            <w:r w:rsidRPr="00C51AFE">
              <w:rPr>
                <w:rFonts w:ascii="Optima" w:hAnsi="Optima"/>
                <w:b/>
                <w:bCs/>
                <w:sz w:val="19"/>
                <w:szCs w:val="19"/>
              </w:rPr>
              <w:t>Net Income Per Staff Hour</w:t>
            </w:r>
          </w:p>
        </w:tc>
        <w:tc>
          <w:tcPr>
            <w:tcW w:w="270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15780DE6" w14:textId="77777777" w:rsidR="00BB1A40" w:rsidRPr="00C51AFE" w:rsidRDefault="00BB1A40" w:rsidP="00D93068">
            <w:pPr>
              <w:spacing w:before="40" w:after="40" w:line="240" w:lineRule="auto"/>
              <w:contextualSpacing w:val="0"/>
              <w:jc w:val="center"/>
              <w:rPr>
                <w:rFonts w:ascii="Optima" w:hAnsi="Optima"/>
                <w:b/>
                <w:bCs/>
                <w:sz w:val="19"/>
                <w:szCs w:val="19"/>
              </w:rPr>
            </w:pPr>
            <w:r w:rsidRPr="00C51AFE">
              <w:rPr>
                <w:rFonts w:ascii="Optima" w:hAnsi="Optima"/>
                <w:b/>
                <w:bCs/>
                <w:sz w:val="19"/>
                <w:szCs w:val="19"/>
              </w:rPr>
              <w:t>$16.00</w:t>
            </w:r>
          </w:p>
        </w:tc>
        <w:tc>
          <w:tcPr>
            <w:tcW w:w="2725"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39B9F81D" w14:textId="77777777" w:rsidR="00BB1A40" w:rsidRPr="00C51AFE" w:rsidRDefault="00BB1A40" w:rsidP="00D93068">
            <w:pPr>
              <w:spacing w:before="40" w:after="40" w:line="240" w:lineRule="auto"/>
              <w:contextualSpacing w:val="0"/>
              <w:jc w:val="center"/>
              <w:rPr>
                <w:rFonts w:ascii="Optima" w:hAnsi="Optima"/>
                <w:b/>
                <w:bCs/>
                <w:sz w:val="19"/>
                <w:szCs w:val="19"/>
              </w:rPr>
            </w:pPr>
            <w:r w:rsidRPr="00C51AFE">
              <w:rPr>
                <w:rFonts w:ascii="Optima" w:hAnsi="Optima"/>
                <w:b/>
                <w:bCs/>
                <w:sz w:val="19"/>
                <w:szCs w:val="19"/>
              </w:rPr>
              <w:t>$1.00</w:t>
            </w:r>
          </w:p>
        </w:tc>
      </w:tr>
    </w:tbl>
    <w:p w14:paraId="11DFFC3F" w14:textId="77777777" w:rsidR="00312093" w:rsidRDefault="00312093" w:rsidP="005D0492">
      <w:pPr>
        <w:pStyle w:val="NoSpacing"/>
      </w:pPr>
    </w:p>
    <w:p w14:paraId="174DC9BF" w14:textId="5AC34FF9" w:rsidR="003E4A2A" w:rsidRDefault="003E4A2A" w:rsidP="00F8388F">
      <w:pPr>
        <w:spacing w:after="0"/>
      </w:pPr>
      <w:r w:rsidRPr="00934D06">
        <w:t>Another common</w:t>
      </w:r>
      <w:r w:rsidR="00DD065A">
        <w:t>,</w:t>
      </w:r>
      <w:r w:rsidRPr="00934D06">
        <w:t xml:space="preserve"> but simplistic assumption that goes hand-in-hand with the one just mentioned</w:t>
      </w:r>
      <w:r w:rsidR="00F675A7">
        <w:t xml:space="preserve"> is this</w:t>
      </w:r>
      <w:r w:rsidR="008C4BED">
        <w:t xml:space="preserve">: </w:t>
      </w:r>
      <w:r w:rsidRPr="00934D06">
        <w:t>if one reimbursement rate or milestone payment is higher than another, the service that is paid at the higher rate or payment must be more expensive and less cost-effective</w:t>
      </w:r>
      <w:r w:rsidR="005043F4">
        <w:t xml:space="preserve">. </w:t>
      </w:r>
      <w:r w:rsidRPr="00934D06">
        <w:t xml:space="preserve">This is also not true. </w:t>
      </w:r>
      <w:r w:rsidR="00C87803">
        <w:t>Below i</w:t>
      </w:r>
      <w:r w:rsidRPr="00934D06">
        <w:t>s another simple illustration that proves this point</w:t>
      </w:r>
      <w:r w:rsidR="00C87803">
        <w:t>.</w:t>
      </w:r>
    </w:p>
    <w:p w14:paraId="27F158F9" w14:textId="77777777" w:rsidR="005D0492" w:rsidRDefault="005D0492" w:rsidP="00BB1A40">
      <w:pPr>
        <w:pStyle w:val="NoSpacing"/>
      </w:pPr>
    </w:p>
    <w:tbl>
      <w:tblPr>
        <w:tblStyle w:val="EconSysTable"/>
        <w:tblW w:w="9000" w:type="dxa"/>
        <w:tblInd w:w="-90" w:type="dxa"/>
        <w:tblLook w:val="0420" w:firstRow="1" w:lastRow="0" w:firstColumn="0" w:lastColumn="0" w:noHBand="0" w:noVBand="1"/>
        <w:tblDescription w:val="Table illustrates the incentive to the provider is clearly not to provide the service that has the higher hourly rate."/>
      </w:tblPr>
      <w:tblGrid>
        <w:gridCol w:w="3665"/>
        <w:gridCol w:w="3085"/>
        <w:gridCol w:w="2250"/>
      </w:tblGrid>
      <w:tr w:rsidR="00BB1A40" w:rsidRPr="006946E0" w14:paraId="031D0F5F" w14:textId="77777777" w:rsidTr="00912B7F">
        <w:trPr>
          <w:cnfStyle w:val="100000000000" w:firstRow="1" w:lastRow="0" w:firstColumn="0" w:lastColumn="0" w:oddVBand="0" w:evenVBand="0" w:oddHBand="0" w:evenHBand="0" w:firstRowFirstColumn="0" w:firstRowLastColumn="0" w:lastRowFirstColumn="0" w:lastRowLastColumn="0"/>
          <w:trHeight w:val="236"/>
        </w:trPr>
        <w:tc>
          <w:tcPr>
            <w:tcW w:w="3665" w:type="dxa"/>
            <w:shd w:val="clear" w:color="auto" w:fill="215868" w:themeFill="accent5" w:themeFillShade="80"/>
            <w:vAlign w:val="center"/>
          </w:tcPr>
          <w:p w14:paraId="7DF26684" w14:textId="77777777" w:rsidR="00BB1A40" w:rsidRPr="006946E0" w:rsidRDefault="00BB1A40" w:rsidP="00D93068">
            <w:pPr>
              <w:spacing w:before="40" w:after="40" w:line="240" w:lineRule="auto"/>
              <w:contextualSpacing w:val="0"/>
              <w:rPr>
                <w:rFonts w:ascii="Optima" w:hAnsi="Optima"/>
                <w:color w:val="FFFFFF" w:themeColor="background1"/>
                <w:sz w:val="19"/>
                <w:szCs w:val="19"/>
              </w:rPr>
            </w:pPr>
          </w:p>
        </w:tc>
        <w:tc>
          <w:tcPr>
            <w:tcW w:w="3085" w:type="dxa"/>
            <w:shd w:val="clear" w:color="auto" w:fill="215868" w:themeFill="accent5" w:themeFillShade="80"/>
            <w:vAlign w:val="center"/>
          </w:tcPr>
          <w:p w14:paraId="5753C884" w14:textId="77777777" w:rsidR="00BB1A40" w:rsidRPr="006946E0" w:rsidRDefault="00BB1A40" w:rsidP="00D93068">
            <w:pPr>
              <w:spacing w:before="40" w:after="40" w:line="240" w:lineRule="auto"/>
              <w:contextualSpacing w:val="0"/>
              <w:jc w:val="center"/>
              <w:rPr>
                <w:rFonts w:ascii="Optima" w:hAnsi="Optima"/>
                <w:color w:val="FFFFFF" w:themeColor="background1"/>
                <w:sz w:val="19"/>
                <w:szCs w:val="19"/>
              </w:rPr>
            </w:pPr>
            <w:r w:rsidRPr="006946E0">
              <w:rPr>
                <w:rFonts w:ascii="Optima" w:hAnsi="Optima"/>
                <w:color w:val="FFFFFF" w:themeColor="background1"/>
                <w:sz w:val="19"/>
                <w:szCs w:val="19"/>
              </w:rPr>
              <w:t>Facility-Based</w:t>
            </w:r>
            <w:r w:rsidRPr="006946E0">
              <w:rPr>
                <w:rFonts w:ascii="Optima" w:hAnsi="Optima"/>
                <w:color w:val="FFFFFF" w:themeColor="background1"/>
                <w:sz w:val="19"/>
                <w:szCs w:val="19"/>
              </w:rPr>
              <w:br/>
              <w:t>Day Habilitation</w:t>
            </w:r>
          </w:p>
        </w:tc>
        <w:tc>
          <w:tcPr>
            <w:tcW w:w="2250" w:type="dxa"/>
            <w:shd w:val="clear" w:color="auto" w:fill="215868" w:themeFill="accent5" w:themeFillShade="80"/>
            <w:vAlign w:val="center"/>
          </w:tcPr>
          <w:p w14:paraId="758ED20C" w14:textId="4C37D49C" w:rsidR="00BB1A40" w:rsidRPr="006946E0" w:rsidRDefault="00BB1A40" w:rsidP="00912B7F">
            <w:pPr>
              <w:spacing w:before="40" w:after="40" w:line="240" w:lineRule="auto"/>
              <w:contextualSpacing w:val="0"/>
              <w:jc w:val="center"/>
              <w:rPr>
                <w:rFonts w:ascii="Optima" w:hAnsi="Optima"/>
                <w:color w:val="FFFFFF" w:themeColor="background1"/>
                <w:sz w:val="19"/>
                <w:szCs w:val="19"/>
              </w:rPr>
            </w:pPr>
            <w:r w:rsidRPr="006946E0">
              <w:rPr>
                <w:rFonts w:ascii="Optima" w:hAnsi="Optima"/>
                <w:color w:val="FFFFFF" w:themeColor="background1"/>
                <w:sz w:val="19"/>
                <w:szCs w:val="19"/>
              </w:rPr>
              <w:t>Supported Employment</w:t>
            </w:r>
            <w:r w:rsidR="00912B7F">
              <w:rPr>
                <w:rFonts w:ascii="Optima" w:hAnsi="Optima"/>
                <w:color w:val="FFFFFF" w:themeColor="background1"/>
                <w:sz w:val="19"/>
                <w:szCs w:val="19"/>
              </w:rPr>
              <w:br/>
            </w:r>
            <w:r w:rsidRPr="006946E0">
              <w:rPr>
                <w:rFonts w:ascii="Optima" w:hAnsi="Optima"/>
                <w:color w:val="FFFFFF" w:themeColor="background1"/>
                <w:sz w:val="19"/>
                <w:szCs w:val="19"/>
              </w:rPr>
              <w:t>Individual Job Coaching</w:t>
            </w:r>
          </w:p>
        </w:tc>
      </w:tr>
      <w:tr w:rsidR="00BB1A40" w:rsidRPr="00DD0E6B" w14:paraId="0395535B" w14:textId="77777777" w:rsidTr="00CA1889">
        <w:trPr>
          <w:cnfStyle w:val="000000100000" w:firstRow="0" w:lastRow="0" w:firstColumn="0" w:lastColumn="0" w:oddVBand="0" w:evenVBand="0" w:oddHBand="1" w:evenHBand="0" w:firstRowFirstColumn="0" w:firstRowLastColumn="0" w:lastRowFirstColumn="0" w:lastRowLastColumn="0"/>
          <w:trHeight w:val="226"/>
        </w:trPr>
        <w:tc>
          <w:tcPr>
            <w:tcW w:w="3665" w:type="dxa"/>
            <w:tcBorders>
              <w:top w:val="single" w:sz="4" w:space="0" w:color="BFBFBF" w:themeColor="background1" w:themeShade="BF"/>
              <w:bottom w:val="none" w:sz="0" w:space="0" w:color="auto"/>
            </w:tcBorders>
            <w:vAlign w:val="top"/>
          </w:tcPr>
          <w:p w14:paraId="0CE3707A" w14:textId="77777777" w:rsidR="00BB1A40" w:rsidRPr="00DD0E6B" w:rsidRDefault="00BB1A40" w:rsidP="00D93068">
            <w:pPr>
              <w:spacing w:before="40" w:after="0" w:line="240" w:lineRule="auto"/>
              <w:contextualSpacing w:val="0"/>
              <w:rPr>
                <w:rFonts w:ascii="Optima" w:hAnsi="Optima"/>
                <w:b/>
                <w:bCs/>
                <w:sz w:val="19"/>
                <w:szCs w:val="19"/>
              </w:rPr>
            </w:pPr>
            <w:r w:rsidRPr="00DD0E6B">
              <w:rPr>
                <w:rFonts w:ascii="Optima" w:hAnsi="Optima"/>
                <w:b/>
                <w:bCs/>
                <w:sz w:val="19"/>
                <w:szCs w:val="19"/>
              </w:rPr>
              <w:t>Reimbursement Rate Per Service Hour</w:t>
            </w:r>
          </w:p>
        </w:tc>
        <w:tc>
          <w:tcPr>
            <w:tcW w:w="3085" w:type="dxa"/>
            <w:tcBorders>
              <w:top w:val="single" w:sz="4" w:space="0" w:color="BFBFBF" w:themeColor="background1" w:themeShade="BF"/>
              <w:bottom w:val="none" w:sz="0" w:space="0" w:color="auto"/>
            </w:tcBorders>
            <w:vAlign w:val="top"/>
          </w:tcPr>
          <w:p w14:paraId="0C5EBE4F" w14:textId="7F6800A6" w:rsidR="00BB1A40" w:rsidRPr="00DD0E6B" w:rsidRDefault="00BB1A40" w:rsidP="00D93068">
            <w:pPr>
              <w:spacing w:before="40" w:after="0" w:line="240" w:lineRule="auto"/>
              <w:contextualSpacing w:val="0"/>
              <w:jc w:val="center"/>
              <w:rPr>
                <w:rFonts w:ascii="Optima" w:hAnsi="Optima"/>
                <w:b/>
                <w:bCs/>
                <w:sz w:val="19"/>
                <w:szCs w:val="19"/>
              </w:rPr>
            </w:pPr>
            <w:r w:rsidRPr="0012194E">
              <w:rPr>
                <w:rFonts w:ascii="Optima" w:hAnsi="Optima"/>
                <w:noProof/>
                <w:sz w:val="19"/>
                <w:szCs w:val="19"/>
              </w:rPr>
              <mc:AlternateContent>
                <mc:Choice Requires="wps">
                  <w:drawing>
                    <wp:anchor distT="0" distB="0" distL="114300" distR="114300" simplePos="0" relativeHeight="251691021" behindDoc="0" locked="0" layoutInCell="1" allowOverlap="1" wp14:anchorId="494ED831" wp14:editId="045A46CA">
                      <wp:simplePos x="0" y="0"/>
                      <wp:positionH relativeFrom="column">
                        <wp:posOffset>365760</wp:posOffset>
                      </wp:positionH>
                      <wp:positionV relativeFrom="paragraph">
                        <wp:posOffset>99060</wp:posOffset>
                      </wp:positionV>
                      <wp:extent cx="155448" cy="274320"/>
                      <wp:effectExtent l="38100" t="25400" r="22860" b="17780"/>
                      <wp:wrapNone/>
                      <wp:docPr id="5" name="Up Arrow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 cy="27432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39A8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alt="&quot;&quot;" style="position:absolute;margin-left:28.8pt;margin-top:7.8pt;width:12.25pt;height:21.6pt;z-index:251691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" adj="6120" filled="f" strokecolor="#243f60 [1604]" strokeweight="2pt"/>
                  </w:pict>
                </mc:Fallback>
              </mc:AlternateContent>
            </w:r>
            <w:r w:rsidRPr="00DD0E6B">
              <w:rPr>
                <w:rFonts w:ascii="Optima" w:hAnsi="Optima"/>
                <w:b/>
                <w:bCs/>
                <w:sz w:val="19"/>
                <w:szCs w:val="19"/>
              </w:rPr>
              <w:t>$7.00/hour</w:t>
            </w:r>
          </w:p>
        </w:tc>
        <w:tc>
          <w:tcPr>
            <w:tcW w:w="2250" w:type="dxa"/>
            <w:tcBorders>
              <w:top w:val="single" w:sz="4" w:space="0" w:color="BFBFBF" w:themeColor="background1" w:themeShade="BF"/>
              <w:bottom w:val="none" w:sz="0" w:space="0" w:color="auto"/>
            </w:tcBorders>
            <w:vAlign w:val="top"/>
          </w:tcPr>
          <w:p w14:paraId="29B799D5" w14:textId="77777777" w:rsidR="00BB1A40" w:rsidRPr="00DD0E6B" w:rsidRDefault="00BB1A40" w:rsidP="00D93068">
            <w:pPr>
              <w:spacing w:before="40" w:after="0" w:line="240" w:lineRule="auto"/>
              <w:contextualSpacing w:val="0"/>
              <w:jc w:val="center"/>
              <w:rPr>
                <w:rFonts w:ascii="Optima" w:hAnsi="Optima"/>
                <w:b/>
                <w:bCs/>
                <w:sz w:val="19"/>
                <w:szCs w:val="19"/>
              </w:rPr>
            </w:pPr>
            <w:r w:rsidRPr="0012194E">
              <w:rPr>
                <w:rFonts w:ascii="Optima" w:hAnsi="Optima"/>
                <w:noProof/>
                <w:sz w:val="19"/>
                <w:szCs w:val="19"/>
              </w:rPr>
              <mc:AlternateContent>
                <mc:Choice Requires="wps">
                  <w:drawing>
                    <wp:anchor distT="0" distB="0" distL="114300" distR="114300" simplePos="0" relativeHeight="251689997" behindDoc="0" locked="0" layoutInCell="1" allowOverlap="1" wp14:anchorId="5BC4F9E6" wp14:editId="165A5601">
                      <wp:simplePos x="0" y="0"/>
                      <wp:positionH relativeFrom="column">
                        <wp:posOffset>91440</wp:posOffset>
                      </wp:positionH>
                      <wp:positionV relativeFrom="paragraph">
                        <wp:posOffset>98425</wp:posOffset>
                      </wp:positionV>
                      <wp:extent cx="155448" cy="274320"/>
                      <wp:effectExtent l="38100" t="25400" r="22860" b="17780"/>
                      <wp:wrapNone/>
                      <wp:docPr id="6" name="Up Arrow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 cy="27432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EBE2" id="Up Arrow 7" o:spid="_x0000_s1026" type="#_x0000_t68" alt="&quot;&quot;" style="position:absolute;margin-left:7.2pt;margin-top:7.75pt;width:12.25pt;height:21.6pt;z-index:251689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" adj="6120" filled="f" strokecolor="#243f60 [1604]" strokeweight="2pt"/>
                  </w:pict>
                </mc:Fallback>
              </mc:AlternateContent>
            </w:r>
            <w:r w:rsidRPr="00DD0E6B">
              <w:rPr>
                <w:rFonts w:ascii="Optima" w:hAnsi="Optima"/>
                <w:b/>
                <w:bCs/>
                <w:sz w:val="19"/>
                <w:szCs w:val="19"/>
              </w:rPr>
              <w:t>$28.00/hour</w:t>
            </w:r>
          </w:p>
        </w:tc>
      </w:tr>
      <w:tr w:rsidR="00BB1A40" w:rsidRPr="0012194E" w14:paraId="58A7F342" w14:textId="77777777" w:rsidTr="00CA1889">
        <w:trPr>
          <w:cnfStyle w:val="000000010000" w:firstRow="0" w:lastRow="0" w:firstColumn="0" w:lastColumn="0" w:oddVBand="0" w:evenVBand="0" w:oddHBand="0" w:evenHBand="1" w:firstRowFirstColumn="0" w:firstRowLastColumn="0" w:lastRowFirstColumn="0" w:lastRowLastColumn="0"/>
          <w:trHeight w:val="137"/>
        </w:trPr>
        <w:tc>
          <w:tcPr>
            <w:tcW w:w="3665" w:type="dxa"/>
            <w:tcBorders>
              <w:bottom w:val="none" w:sz="0" w:space="0" w:color="auto"/>
            </w:tcBorders>
            <w:vAlign w:val="top"/>
          </w:tcPr>
          <w:p w14:paraId="12AB87E1" w14:textId="77777777" w:rsidR="00BB1A40" w:rsidRPr="0012194E" w:rsidRDefault="00BB1A40" w:rsidP="00D93068">
            <w:pPr>
              <w:spacing w:before="0" w:after="0" w:line="240" w:lineRule="auto"/>
              <w:contextualSpacing w:val="0"/>
              <w:rPr>
                <w:rFonts w:ascii="Optima" w:hAnsi="Optima"/>
                <w:sz w:val="19"/>
                <w:szCs w:val="19"/>
              </w:rPr>
            </w:pPr>
          </w:p>
        </w:tc>
        <w:tc>
          <w:tcPr>
            <w:tcW w:w="3085" w:type="dxa"/>
            <w:tcBorders>
              <w:bottom w:val="none" w:sz="0" w:space="0" w:color="auto"/>
            </w:tcBorders>
            <w:vAlign w:val="top"/>
          </w:tcPr>
          <w:p w14:paraId="59887098" w14:textId="77777777" w:rsidR="00BB1A40" w:rsidRPr="0012194E" w:rsidRDefault="00BB1A40" w:rsidP="00D93068">
            <w:pPr>
              <w:spacing w:before="0" w:after="0" w:line="240" w:lineRule="auto"/>
              <w:contextualSpacing w:val="0"/>
              <w:jc w:val="center"/>
              <w:rPr>
                <w:rFonts w:ascii="Optima" w:hAnsi="Optima"/>
                <w:noProof/>
                <w:sz w:val="19"/>
                <w:szCs w:val="19"/>
              </w:rPr>
            </w:pPr>
          </w:p>
        </w:tc>
        <w:tc>
          <w:tcPr>
            <w:tcW w:w="2250" w:type="dxa"/>
            <w:tcBorders>
              <w:bottom w:val="none" w:sz="0" w:space="0" w:color="auto"/>
            </w:tcBorders>
            <w:vAlign w:val="top"/>
          </w:tcPr>
          <w:p w14:paraId="6254575A" w14:textId="77777777" w:rsidR="00BB1A40" w:rsidRPr="0012194E" w:rsidRDefault="00BB1A40" w:rsidP="00D93068">
            <w:pPr>
              <w:spacing w:before="0" w:after="0" w:line="240" w:lineRule="auto"/>
              <w:contextualSpacing w:val="0"/>
              <w:jc w:val="center"/>
              <w:rPr>
                <w:rFonts w:ascii="Optima" w:hAnsi="Optima"/>
                <w:sz w:val="19"/>
                <w:szCs w:val="19"/>
              </w:rPr>
            </w:pPr>
          </w:p>
        </w:tc>
      </w:tr>
      <w:tr w:rsidR="00BB1A40" w:rsidRPr="00FE665D" w14:paraId="79B1F807" w14:textId="77777777" w:rsidTr="00AE07EF">
        <w:trPr>
          <w:cnfStyle w:val="000000100000" w:firstRow="0" w:lastRow="0" w:firstColumn="0" w:lastColumn="0" w:oddVBand="0" w:evenVBand="0" w:oddHBand="1" w:evenHBand="0" w:firstRowFirstColumn="0" w:firstRowLastColumn="0" w:lastRowFirstColumn="0" w:lastRowLastColumn="0"/>
          <w:trHeight w:val="317"/>
        </w:trPr>
        <w:tc>
          <w:tcPr>
            <w:tcW w:w="3665" w:type="dxa"/>
            <w:tcBorders>
              <w:bottom w:val="none" w:sz="0" w:space="0" w:color="auto"/>
            </w:tcBorders>
            <w:shd w:val="clear" w:color="auto" w:fill="DAEEF3" w:themeFill="accent5" w:themeFillTint="33"/>
          </w:tcPr>
          <w:p w14:paraId="3E2C0378" w14:textId="77777777" w:rsidR="00BB1A40" w:rsidRPr="00FE665D" w:rsidRDefault="00BB1A40" w:rsidP="00D93068">
            <w:pPr>
              <w:spacing w:before="40" w:after="40" w:line="240" w:lineRule="auto"/>
              <w:contextualSpacing w:val="0"/>
              <w:rPr>
                <w:rFonts w:ascii="Optima" w:hAnsi="Optima"/>
                <w:b/>
                <w:bCs/>
                <w:sz w:val="19"/>
                <w:szCs w:val="19"/>
              </w:rPr>
            </w:pPr>
            <w:r w:rsidRPr="00FE665D">
              <w:rPr>
                <w:rFonts w:ascii="Optima" w:hAnsi="Optima"/>
                <w:b/>
                <w:bCs/>
                <w:sz w:val="19"/>
                <w:szCs w:val="19"/>
              </w:rPr>
              <w:t>Assumptions</w:t>
            </w:r>
          </w:p>
        </w:tc>
        <w:tc>
          <w:tcPr>
            <w:tcW w:w="3085" w:type="dxa"/>
            <w:tcBorders>
              <w:bottom w:val="none" w:sz="0" w:space="0" w:color="auto"/>
            </w:tcBorders>
            <w:shd w:val="clear" w:color="auto" w:fill="DAEEF3" w:themeFill="accent5" w:themeFillTint="33"/>
          </w:tcPr>
          <w:p w14:paraId="398DD9ED" w14:textId="77777777" w:rsidR="00BB1A40" w:rsidRPr="00FE665D" w:rsidRDefault="00BB1A40" w:rsidP="00CA1889">
            <w:pPr>
              <w:spacing w:before="40" w:after="40" w:line="240" w:lineRule="auto"/>
              <w:contextualSpacing w:val="0"/>
              <w:jc w:val="center"/>
              <w:rPr>
                <w:rFonts w:ascii="Optima" w:hAnsi="Optima"/>
                <w:b/>
                <w:bCs/>
                <w:sz w:val="19"/>
                <w:szCs w:val="19"/>
              </w:rPr>
            </w:pPr>
            <w:r w:rsidRPr="00E47115">
              <w:rPr>
                <w:rFonts w:ascii="Optima" w:hAnsi="Optima"/>
                <w:b/>
                <w:bCs/>
                <w:color w:val="000000" w:themeColor="text1"/>
                <w:sz w:val="19"/>
                <w:szCs w:val="19"/>
              </w:rPr>
              <w:t>Less expensive/</w:t>
            </w:r>
            <w:r w:rsidRPr="00E47115">
              <w:rPr>
                <w:rFonts w:ascii="Optima" w:hAnsi="Optima"/>
                <w:b/>
                <w:bCs/>
                <w:color w:val="000000" w:themeColor="text1"/>
                <w:sz w:val="19"/>
                <w:szCs w:val="19"/>
              </w:rPr>
              <w:br/>
              <w:t>More cost-effective</w:t>
            </w:r>
          </w:p>
        </w:tc>
        <w:tc>
          <w:tcPr>
            <w:tcW w:w="2250" w:type="dxa"/>
            <w:tcBorders>
              <w:bottom w:val="none" w:sz="0" w:space="0" w:color="auto"/>
            </w:tcBorders>
            <w:shd w:val="clear" w:color="auto" w:fill="DAEEF3" w:themeFill="accent5" w:themeFillTint="33"/>
          </w:tcPr>
          <w:p w14:paraId="11EE2FF1" w14:textId="77777777" w:rsidR="00BB1A40" w:rsidRPr="00FE665D" w:rsidRDefault="00BB1A40" w:rsidP="00D93068">
            <w:pPr>
              <w:spacing w:before="40" w:after="40" w:line="240" w:lineRule="auto"/>
              <w:contextualSpacing w:val="0"/>
              <w:jc w:val="center"/>
              <w:rPr>
                <w:rFonts w:ascii="Optima" w:hAnsi="Optima"/>
                <w:b/>
                <w:bCs/>
                <w:sz w:val="19"/>
                <w:szCs w:val="19"/>
              </w:rPr>
            </w:pPr>
            <w:r w:rsidRPr="00AE5D7B">
              <w:rPr>
                <w:rFonts w:ascii="Optima" w:hAnsi="Optima"/>
                <w:b/>
                <w:bCs/>
                <w:color w:val="C00000"/>
                <w:sz w:val="19"/>
                <w:szCs w:val="19"/>
              </w:rPr>
              <w:t>More expensive/</w:t>
            </w:r>
            <w:r w:rsidRPr="00AE5D7B">
              <w:rPr>
                <w:rFonts w:ascii="Optima" w:hAnsi="Optima"/>
                <w:b/>
                <w:bCs/>
                <w:color w:val="C00000"/>
                <w:sz w:val="19"/>
                <w:szCs w:val="19"/>
              </w:rPr>
              <w:br/>
              <w:t>Less cost-effective</w:t>
            </w:r>
          </w:p>
        </w:tc>
      </w:tr>
      <w:tr w:rsidR="00BB1A40" w:rsidRPr="0012194E" w14:paraId="11B552D4" w14:textId="77777777" w:rsidTr="00AE07EF">
        <w:trPr>
          <w:cnfStyle w:val="000000010000" w:firstRow="0" w:lastRow="0" w:firstColumn="0" w:lastColumn="0" w:oddVBand="0" w:evenVBand="0" w:oddHBand="0" w:evenHBand="1" w:firstRowFirstColumn="0" w:firstRowLastColumn="0" w:lastRowFirstColumn="0" w:lastRowLastColumn="0"/>
          <w:trHeight w:val="407"/>
        </w:trPr>
        <w:tc>
          <w:tcPr>
            <w:tcW w:w="3665" w:type="dxa"/>
            <w:tcBorders>
              <w:bottom w:val="single" w:sz="2" w:space="0" w:color="D9D9D9" w:themeColor="background1" w:themeShade="D9"/>
            </w:tcBorders>
          </w:tcPr>
          <w:p w14:paraId="3B852FAF" w14:textId="77777777" w:rsidR="00BB1A40" w:rsidRPr="0012194E" w:rsidRDefault="00BB1A40" w:rsidP="00D93068">
            <w:pPr>
              <w:spacing w:before="40" w:after="40" w:line="240" w:lineRule="auto"/>
              <w:contextualSpacing w:val="0"/>
              <w:rPr>
                <w:rFonts w:ascii="Optima" w:hAnsi="Optima"/>
                <w:sz w:val="19"/>
                <w:szCs w:val="19"/>
              </w:rPr>
            </w:pPr>
            <w:r w:rsidRPr="0012194E">
              <w:rPr>
                <w:rFonts w:ascii="Optima" w:hAnsi="Optima"/>
                <w:sz w:val="19"/>
                <w:szCs w:val="19"/>
              </w:rPr>
              <w:t>Weekly Hours of Participation in Day Habilitation or Paid Integrated Work</w:t>
            </w:r>
          </w:p>
        </w:tc>
        <w:tc>
          <w:tcPr>
            <w:tcW w:w="3085" w:type="dxa"/>
            <w:tcBorders>
              <w:bottom w:val="single" w:sz="2" w:space="0" w:color="D9D9D9" w:themeColor="background1" w:themeShade="D9"/>
            </w:tcBorders>
          </w:tcPr>
          <w:p w14:paraId="7F833240" w14:textId="77777777" w:rsidR="00BB1A40" w:rsidRPr="0012194E" w:rsidRDefault="00BB1A40" w:rsidP="00D93068">
            <w:pPr>
              <w:spacing w:before="40" w:after="40" w:line="240" w:lineRule="auto"/>
              <w:contextualSpacing w:val="0"/>
              <w:jc w:val="center"/>
              <w:rPr>
                <w:rFonts w:ascii="Optima" w:hAnsi="Optima"/>
                <w:sz w:val="19"/>
                <w:szCs w:val="19"/>
              </w:rPr>
            </w:pPr>
            <w:r w:rsidRPr="0012194E">
              <w:rPr>
                <w:rFonts w:ascii="Optima" w:hAnsi="Optima"/>
                <w:sz w:val="19"/>
                <w:szCs w:val="19"/>
              </w:rPr>
              <w:t>20</w:t>
            </w:r>
          </w:p>
        </w:tc>
        <w:tc>
          <w:tcPr>
            <w:tcW w:w="2250" w:type="dxa"/>
            <w:tcBorders>
              <w:bottom w:val="single" w:sz="2" w:space="0" w:color="D9D9D9" w:themeColor="background1" w:themeShade="D9"/>
            </w:tcBorders>
          </w:tcPr>
          <w:p w14:paraId="672BADBE" w14:textId="77777777" w:rsidR="00BB1A40" w:rsidRPr="0012194E" w:rsidRDefault="00BB1A40" w:rsidP="00D93068">
            <w:pPr>
              <w:spacing w:before="40" w:after="40" w:line="240" w:lineRule="auto"/>
              <w:contextualSpacing w:val="0"/>
              <w:jc w:val="center"/>
              <w:rPr>
                <w:rFonts w:ascii="Optima" w:hAnsi="Optima"/>
                <w:sz w:val="19"/>
                <w:szCs w:val="19"/>
              </w:rPr>
            </w:pPr>
            <w:r w:rsidRPr="0012194E">
              <w:rPr>
                <w:rFonts w:ascii="Optima" w:hAnsi="Optima"/>
                <w:sz w:val="19"/>
                <w:szCs w:val="19"/>
              </w:rPr>
              <w:t>20</w:t>
            </w:r>
          </w:p>
        </w:tc>
      </w:tr>
      <w:tr w:rsidR="00BB1A40" w:rsidRPr="0012194E" w14:paraId="12BB60E0" w14:textId="77777777" w:rsidTr="00AE07EF">
        <w:trPr>
          <w:cnfStyle w:val="000000100000" w:firstRow="0" w:lastRow="0" w:firstColumn="0" w:lastColumn="0" w:oddVBand="0" w:evenVBand="0" w:oddHBand="1" w:evenHBand="0" w:firstRowFirstColumn="0" w:firstRowLastColumn="0" w:lastRowFirstColumn="0" w:lastRowLastColumn="0"/>
          <w:trHeight w:val="398"/>
        </w:trPr>
        <w:tc>
          <w:tcPr>
            <w:tcW w:w="3665" w:type="dxa"/>
            <w:tcBorders>
              <w:top w:val="single" w:sz="2" w:space="0" w:color="D9D9D9" w:themeColor="background1" w:themeShade="D9"/>
              <w:bottom w:val="single" w:sz="2" w:space="0" w:color="D9D9D9" w:themeColor="background1" w:themeShade="D9"/>
            </w:tcBorders>
          </w:tcPr>
          <w:p w14:paraId="74374BB4" w14:textId="77777777" w:rsidR="00BB1A40" w:rsidRPr="0012194E" w:rsidRDefault="00BB1A40" w:rsidP="00D93068">
            <w:pPr>
              <w:spacing w:before="60" w:after="60" w:line="240" w:lineRule="auto"/>
              <w:contextualSpacing w:val="0"/>
              <w:rPr>
                <w:rFonts w:ascii="Optima" w:hAnsi="Optima"/>
                <w:sz w:val="19"/>
                <w:szCs w:val="19"/>
              </w:rPr>
            </w:pPr>
            <w:r w:rsidRPr="0012194E">
              <w:rPr>
                <w:rFonts w:ascii="Optima" w:hAnsi="Optima"/>
                <w:sz w:val="19"/>
                <w:szCs w:val="19"/>
              </w:rPr>
              <w:t>Weekly Hours of Service Required</w:t>
            </w:r>
          </w:p>
        </w:tc>
        <w:tc>
          <w:tcPr>
            <w:tcW w:w="3085" w:type="dxa"/>
            <w:tcBorders>
              <w:top w:val="single" w:sz="2" w:space="0" w:color="D9D9D9" w:themeColor="background1" w:themeShade="D9"/>
              <w:bottom w:val="single" w:sz="2" w:space="0" w:color="D9D9D9" w:themeColor="background1" w:themeShade="D9"/>
            </w:tcBorders>
          </w:tcPr>
          <w:p w14:paraId="08603D8B" w14:textId="77777777" w:rsidR="00BB1A40" w:rsidRPr="0012194E" w:rsidRDefault="00BB1A40" w:rsidP="00D93068">
            <w:pPr>
              <w:spacing w:before="60" w:after="60" w:line="240" w:lineRule="auto"/>
              <w:contextualSpacing w:val="0"/>
              <w:jc w:val="center"/>
              <w:rPr>
                <w:rFonts w:ascii="Optima" w:hAnsi="Optima"/>
                <w:sz w:val="19"/>
                <w:szCs w:val="19"/>
              </w:rPr>
            </w:pPr>
            <w:r w:rsidRPr="0012194E">
              <w:rPr>
                <w:rFonts w:ascii="Optima" w:hAnsi="Optima"/>
                <w:sz w:val="19"/>
                <w:szCs w:val="19"/>
              </w:rPr>
              <w:t>20</w:t>
            </w:r>
          </w:p>
        </w:tc>
        <w:tc>
          <w:tcPr>
            <w:tcW w:w="2250" w:type="dxa"/>
            <w:tcBorders>
              <w:top w:val="single" w:sz="2" w:space="0" w:color="D9D9D9" w:themeColor="background1" w:themeShade="D9"/>
              <w:bottom w:val="single" w:sz="2" w:space="0" w:color="D9D9D9" w:themeColor="background1" w:themeShade="D9"/>
            </w:tcBorders>
          </w:tcPr>
          <w:p w14:paraId="6F25A86D" w14:textId="77777777" w:rsidR="00BB1A40" w:rsidRPr="0012194E" w:rsidRDefault="00BB1A40" w:rsidP="00D93068">
            <w:pPr>
              <w:spacing w:before="60" w:after="60" w:line="240" w:lineRule="auto"/>
              <w:contextualSpacing w:val="0"/>
              <w:jc w:val="center"/>
              <w:rPr>
                <w:rFonts w:ascii="Optima" w:hAnsi="Optima"/>
                <w:sz w:val="19"/>
                <w:szCs w:val="19"/>
              </w:rPr>
            </w:pPr>
            <w:r w:rsidRPr="0012194E">
              <w:rPr>
                <w:rFonts w:ascii="Optima" w:hAnsi="Optima"/>
                <w:sz w:val="19"/>
                <w:szCs w:val="19"/>
              </w:rPr>
              <w:t>4</w:t>
            </w:r>
          </w:p>
        </w:tc>
      </w:tr>
      <w:tr w:rsidR="00BB1A40" w:rsidRPr="00784A10" w14:paraId="35EBDC31" w14:textId="77777777" w:rsidTr="00AE07EF">
        <w:trPr>
          <w:cnfStyle w:val="000000010000" w:firstRow="0" w:lastRow="0" w:firstColumn="0" w:lastColumn="0" w:oddVBand="0" w:evenVBand="0" w:oddHBand="0" w:evenHBand="1" w:firstRowFirstColumn="0" w:firstRowLastColumn="0" w:lastRowFirstColumn="0" w:lastRowLastColumn="0"/>
          <w:trHeight w:val="136"/>
        </w:trPr>
        <w:tc>
          <w:tcPr>
            <w:tcW w:w="3665" w:type="dxa"/>
            <w:tcBorders>
              <w:top w:val="single" w:sz="2" w:space="0" w:color="D9D9D9" w:themeColor="background1" w:themeShade="D9"/>
              <w:bottom w:val="none" w:sz="0" w:space="0" w:color="auto"/>
            </w:tcBorders>
            <w:shd w:val="clear" w:color="auto" w:fill="auto"/>
            <w:vAlign w:val="top"/>
          </w:tcPr>
          <w:p w14:paraId="39802DD8" w14:textId="77777777" w:rsidR="00BB1A40" w:rsidRPr="00784A10" w:rsidRDefault="00BB1A40" w:rsidP="00D93068">
            <w:pPr>
              <w:spacing w:before="40" w:after="0" w:line="240" w:lineRule="auto"/>
              <w:contextualSpacing w:val="0"/>
              <w:rPr>
                <w:rFonts w:ascii="Optima" w:hAnsi="Optima"/>
                <w:b/>
                <w:bCs/>
                <w:sz w:val="19"/>
                <w:szCs w:val="19"/>
              </w:rPr>
            </w:pPr>
            <w:r w:rsidRPr="00784A10">
              <w:rPr>
                <w:rFonts w:ascii="Optima" w:hAnsi="Optima"/>
                <w:b/>
                <w:bCs/>
                <w:sz w:val="19"/>
                <w:szCs w:val="19"/>
              </w:rPr>
              <w:t>Total Service Cost Per Week</w:t>
            </w:r>
          </w:p>
        </w:tc>
        <w:tc>
          <w:tcPr>
            <w:tcW w:w="3085" w:type="dxa"/>
            <w:tcBorders>
              <w:top w:val="single" w:sz="2" w:space="0" w:color="D9D9D9" w:themeColor="background1" w:themeShade="D9"/>
              <w:bottom w:val="none" w:sz="0" w:space="0" w:color="auto"/>
            </w:tcBorders>
            <w:shd w:val="clear" w:color="auto" w:fill="auto"/>
            <w:vAlign w:val="top"/>
          </w:tcPr>
          <w:p w14:paraId="056B815A" w14:textId="60D6E7EE" w:rsidR="00BB1A40" w:rsidRPr="00784A10" w:rsidRDefault="00BB1A40" w:rsidP="00D93068">
            <w:pPr>
              <w:spacing w:before="40" w:after="0" w:line="240" w:lineRule="auto"/>
              <w:contextualSpacing w:val="0"/>
              <w:jc w:val="center"/>
              <w:rPr>
                <w:rFonts w:ascii="Optima" w:hAnsi="Optima"/>
                <w:b/>
                <w:bCs/>
                <w:sz w:val="19"/>
                <w:szCs w:val="19"/>
              </w:rPr>
            </w:pPr>
            <w:r w:rsidRPr="0012194E">
              <w:rPr>
                <w:rFonts w:ascii="Optima" w:hAnsi="Optima"/>
                <w:noProof/>
                <w:sz w:val="19"/>
                <w:szCs w:val="19"/>
              </w:rPr>
              <mc:AlternateContent>
                <mc:Choice Requires="wps">
                  <w:drawing>
                    <wp:anchor distT="0" distB="0" distL="114300" distR="114300" simplePos="0" relativeHeight="251692045" behindDoc="0" locked="0" layoutInCell="1" allowOverlap="1" wp14:anchorId="41BDA324" wp14:editId="22A214B2">
                      <wp:simplePos x="0" y="0"/>
                      <wp:positionH relativeFrom="column">
                        <wp:posOffset>365760</wp:posOffset>
                      </wp:positionH>
                      <wp:positionV relativeFrom="paragraph">
                        <wp:posOffset>90805</wp:posOffset>
                      </wp:positionV>
                      <wp:extent cx="155448" cy="274320"/>
                      <wp:effectExtent l="38100" t="25400" r="22860" b="17780"/>
                      <wp:wrapNone/>
                      <wp:docPr id="7" name="Up Arrow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 cy="27432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BCD1" id="Up Arrow 7" o:spid="_x0000_s1026" type="#_x0000_t68" alt="&quot;&quot;" style="position:absolute;margin-left:28.8pt;margin-top:7.15pt;width:12.25pt;height:21.6pt;z-index:251692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" adj="6120" filled="f" strokecolor="#243f60 [1604]" strokeweight="2pt"/>
                  </w:pict>
                </mc:Fallback>
              </mc:AlternateContent>
            </w:r>
            <w:r w:rsidRPr="00784A10">
              <w:rPr>
                <w:rFonts w:ascii="Optima" w:hAnsi="Optima"/>
                <w:b/>
                <w:bCs/>
                <w:sz w:val="19"/>
                <w:szCs w:val="19"/>
              </w:rPr>
              <w:t>$140.00/w</w:t>
            </w:r>
            <w:r w:rsidR="00CA1889">
              <w:rPr>
                <w:rFonts w:ascii="Optima" w:hAnsi="Optima"/>
                <w:b/>
                <w:bCs/>
                <w:sz w:val="19"/>
                <w:szCs w:val="19"/>
              </w:rPr>
              <w:t>ee</w:t>
            </w:r>
            <w:r w:rsidRPr="00784A10">
              <w:rPr>
                <w:rFonts w:ascii="Optima" w:hAnsi="Optima"/>
                <w:b/>
                <w:bCs/>
                <w:sz w:val="19"/>
                <w:szCs w:val="19"/>
              </w:rPr>
              <w:t>k</w:t>
            </w:r>
          </w:p>
        </w:tc>
        <w:tc>
          <w:tcPr>
            <w:tcW w:w="2250" w:type="dxa"/>
            <w:tcBorders>
              <w:top w:val="single" w:sz="2" w:space="0" w:color="D9D9D9" w:themeColor="background1" w:themeShade="D9"/>
              <w:bottom w:val="none" w:sz="0" w:space="0" w:color="auto"/>
            </w:tcBorders>
            <w:shd w:val="clear" w:color="auto" w:fill="auto"/>
            <w:vAlign w:val="top"/>
          </w:tcPr>
          <w:p w14:paraId="084E10EC" w14:textId="3D738228" w:rsidR="00BB1A40" w:rsidRPr="00784A10" w:rsidRDefault="00BB1A40" w:rsidP="00D93068">
            <w:pPr>
              <w:spacing w:before="40" w:after="0" w:line="240" w:lineRule="auto"/>
              <w:contextualSpacing w:val="0"/>
              <w:jc w:val="center"/>
              <w:rPr>
                <w:rFonts w:ascii="Optima" w:hAnsi="Optima"/>
                <w:b/>
                <w:bCs/>
                <w:sz w:val="19"/>
                <w:szCs w:val="19"/>
              </w:rPr>
            </w:pPr>
            <w:r w:rsidRPr="0012194E">
              <w:rPr>
                <w:rFonts w:ascii="Optima" w:hAnsi="Optima"/>
                <w:noProof/>
                <w:sz w:val="19"/>
                <w:szCs w:val="19"/>
              </w:rPr>
              <mc:AlternateContent>
                <mc:Choice Requires="wps">
                  <w:drawing>
                    <wp:anchor distT="0" distB="0" distL="114300" distR="114300" simplePos="0" relativeHeight="251693069" behindDoc="0" locked="0" layoutInCell="1" allowOverlap="1" wp14:anchorId="6024225B" wp14:editId="3F00AA36">
                      <wp:simplePos x="0" y="0"/>
                      <wp:positionH relativeFrom="column">
                        <wp:posOffset>91440</wp:posOffset>
                      </wp:positionH>
                      <wp:positionV relativeFrom="paragraph">
                        <wp:posOffset>90170</wp:posOffset>
                      </wp:positionV>
                      <wp:extent cx="155448" cy="274320"/>
                      <wp:effectExtent l="38100" t="25400" r="22860" b="17780"/>
                      <wp:wrapNone/>
                      <wp:docPr id="11" name="Up Arrow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 cy="27432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5AA2" id="Up Arrow 7" o:spid="_x0000_s1026" type="#_x0000_t68" alt="&quot;&quot;" style="position:absolute;margin-left:7.2pt;margin-top:7.1pt;width:12.25pt;height:21.6pt;z-index:251693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" adj="6120" filled="f" strokecolor="#243f60 [1604]" strokeweight="2pt"/>
                  </w:pict>
                </mc:Fallback>
              </mc:AlternateContent>
            </w:r>
            <w:r w:rsidRPr="00784A10">
              <w:rPr>
                <w:rFonts w:ascii="Optima" w:hAnsi="Optima"/>
                <w:b/>
                <w:bCs/>
                <w:sz w:val="19"/>
                <w:szCs w:val="19"/>
              </w:rPr>
              <w:t>$112.00/w</w:t>
            </w:r>
            <w:r w:rsidR="00CA1889">
              <w:rPr>
                <w:rFonts w:ascii="Optima" w:hAnsi="Optima"/>
                <w:b/>
                <w:bCs/>
                <w:sz w:val="19"/>
                <w:szCs w:val="19"/>
              </w:rPr>
              <w:t>ee</w:t>
            </w:r>
            <w:r w:rsidRPr="00784A10">
              <w:rPr>
                <w:rFonts w:ascii="Optima" w:hAnsi="Optima"/>
                <w:b/>
                <w:bCs/>
                <w:sz w:val="19"/>
                <w:szCs w:val="19"/>
              </w:rPr>
              <w:t>k</w:t>
            </w:r>
          </w:p>
        </w:tc>
      </w:tr>
      <w:tr w:rsidR="00BB1A40" w:rsidRPr="0012194E" w14:paraId="232B8810" w14:textId="77777777" w:rsidTr="00AE07EF">
        <w:trPr>
          <w:cnfStyle w:val="000000100000" w:firstRow="0" w:lastRow="0" w:firstColumn="0" w:lastColumn="0" w:oddVBand="0" w:evenVBand="0" w:oddHBand="1" w:evenHBand="0" w:firstRowFirstColumn="0" w:firstRowLastColumn="0" w:lastRowFirstColumn="0" w:lastRowLastColumn="0"/>
          <w:trHeight w:val="92"/>
        </w:trPr>
        <w:tc>
          <w:tcPr>
            <w:tcW w:w="3665" w:type="dxa"/>
            <w:tcBorders>
              <w:bottom w:val="none" w:sz="0" w:space="0" w:color="auto"/>
            </w:tcBorders>
            <w:vAlign w:val="top"/>
          </w:tcPr>
          <w:p w14:paraId="346B0EF4" w14:textId="77777777" w:rsidR="00BB1A40" w:rsidRPr="0012194E" w:rsidRDefault="00BB1A40" w:rsidP="00D93068">
            <w:pPr>
              <w:spacing w:before="0" w:after="0" w:line="240" w:lineRule="auto"/>
              <w:contextualSpacing w:val="0"/>
              <w:rPr>
                <w:rFonts w:ascii="Optima" w:hAnsi="Optima"/>
                <w:sz w:val="19"/>
                <w:szCs w:val="19"/>
              </w:rPr>
            </w:pPr>
          </w:p>
        </w:tc>
        <w:tc>
          <w:tcPr>
            <w:tcW w:w="3085" w:type="dxa"/>
            <w:tcBorders>
              <w:bottom w:val="none" w:sz="0" w:space="0" w:color="auto"/>
            </w:tcBorders>
            <w:vAlign w:val="top"/>
          </w:tcPr>
          <w:p w14:paraId="0A29879A" w14:textId="77777777" w:rsidR="00BB1A40" w:rsidRPr="0012194E" w:rsidRDefault="00BB1A40" w:rsidP="00D93068">
            <w:pPr>
              <w:spacing w:before="0" w:after="0" w:line="240" w:lineRule="auto"/>
              <w:contextualSpacing w:val="0"/>
              <w:jc w:val="center"/>
              <w:rPr>
                <w:rFonts w:ascii="Optima" w:hAnsi="Optima"/>
                <w:noProof/>
                <w:sz w:val="19"/>
                <w:szCs w:val="19"/>
              </w:rPr>
            </w:pPr>
          </w:p>
        </w:tc>
        <w:tc>
          <w:tcPr>
            <w:tcW w:w="2250" w:type="dxa"/>
            <w:tcBorders>
              <w:bottom w:val="none" w:sz="0" w:space="0" w:color="auto"/>
            </w:tcBorders>
            <w:vAlign w:val="top"/>
          </w:tcPr>
          <w:p w14:paraId="7643D411" w14:textId="77777777" w:rsidR="00BB1A40" w:rsidRPr="0012194E" w:rsidRDefault="00BB1A40" w:rsidP="00D93068">
            <w:pPr>
              <w:spacing w:before="0" w:after="0" w:line="240" w:lineRule="auto"/>
              <w:contextualSpacing w:val="0"/>
              <w:jc w:val="center"/>
              <w:rPr>
                <w:rFonts w:ascii="Optima" w:hAnsi="Optima"/>
                <w:sz w:val="19"/>
                <w:szCs w:val="19"/>
              </w:rPr>
            </w:pPr>
          </w:p>
        </w:tc>
      </w:tr>
      <w:tr w:rsidR="00BB1A40" w:rsidRPr="00FE665D" w14:paraId="52DED2EE" w14:textId="77777777" w:rsidTr="00AE07EF">
        <w:trPr>
          <w:cnfStyle w:val="000000010000" w:firstRow="0" w:lastRow="0" w:firstColumn="0" w:lastColumn="0" w:oddVBand="0" w:evenVBand="0" w:oddHBand="0" w:evenHBand="1" w:firstRowFirstColumn="0" w:firstRowLastColumn="0" w:lastRowFirstColumn="0" w:lastRowLastColumn="0"/>
          <w:trHeight w:val="362"/>
        </w:trPr>
        <w:tc>
          <w:tcPr>
            <w:tcW w:w="3665" w:type="dxa"/>
            <w:tcBorders>
              <w:bottom w:val="none" w:sz="0" w:space="0" w:color="auto"/>
            </w:tcBorders>
            <w:shd w:val="clear" w:color="auto" w:fill="DAEEF3" w:themeFill="accent5" w:themeFillTint="33"/>
          </w:tcPr>
          <w:p w14:paraId="580F9944" w14:textId="77777777" w:rsidR="00BB1A40" w:rsidRPr="00FE665D" w:rsidRDefault="00BB1A40" w:rsidP="00D93068">
            <w:pPr>
              <w:spacing w:before="40" w:after="40" w:line="240" w:lineRule="auto"/>
              <w:contextualSpacing w:val="0"/>
              <w:rPr>
                <w:rFonts w:ascii="Optima" w:hAnsi="Optima"/>
                <w:b/>
                <w:bCs/>
                <w:sz w:val="19"/>
                <w:szCs w:val="19"/>
              </w:rPr>
            </w:pPr>
            <w:r w:rsidRPr="00FE665D">
              <w:rPr>
                <w:rFonts w:ascii="Optima" w:hAnsi="Optima"/>
                <w:b/>
                <w:bCs/>
                <w:sz w:val="19"/>
                <w:szCs w:val="19"/>
              </w:rPr>
              <w:t>Facts</w:t>
            </w:r>
          </w:p>
        </w:tc>
        <w:tc>
          <w:tcPr>
            <w:tcW w:w="3085" w:type="dxa"/>
            <w:tcBorders>
              <w:bottom w:val="none" w:sz="0" w:space="0" w:color="auto"/>
            </w:tcBorders>
            <w:shd w:val="clear" w:color="auto" w:fill="DAEEF3" w:themeFill="accent5" w:themeFillTint="33"/>
          </w:tcPr>
          <w:p w14:paraId="69779C2B" w14:textId="77777777" w:rsidR="00BB1A40" w:rsidRPr="00FE665D" w:rsidRDefault="00BB1A40" w:rsidP="00D93068">
            <w:pPr>
              <w:spacing w:before="40" w:after="40" w:line="240" w:lineRule="auto"/>
              <w:contextualSpacing w:val="0"/>
              <w:jc w:val="center"/>
              <w:rPr>
                <w:rFonts w:ascii="Optima" w:hAnsi="Optima"/>
                <w:b/>
                <w:bCs/>
                <w:sz w:val="19"/>
                <w:szCs w:val="19"/>
              </w:rPr>
            </w:pPr>
            <w:r w:rsidRPr="00461845">
              <w:rPr>
                <w:rFonts w:ascii="Optima" w:hAnsi="Optima"/>
                <w:b/>
                <w:bCs/>
                <w:color w:val="C00000"/>
                <w:sz w:val="19"/>
                <w:szCs w:val="19"/>
              </w:rPr>
              <w:t>More expensive/</w:t>
            </w:r>
            <w:r w:rsidRPr="00461845">
              <w:rPr>
                <w:rFonts w:ascii="Optima" w:hAnsi="Optima"/>
                <w:b/>
                <w:bCs/>
                <w:color w:val="C00000"/>
                <w:sz w:val="19"/>
                <w:szCs w:val="19"/>
              </w:rPr>
              <w:br/>
              <w:t>Less cost-effective</w:t>
            </w:r>
          </w:p>
        </w:tc>
        <w:tc>
          <w:tcPr>
            <w:tcW w:w="2250" w:type="dxa"/>
            <w:tcBorders>
              <w:bottom w:val="none" w:sz="0" w:space="0" w:color="auto"/>
            </w:tcBorders>
            <w:shd w:val="clear" w:color="auto" w:fill="DAEEF3" w:themeFill="accent5" w:themeFillTint="33"/>
          </w:tcPr>
          <w:p w14:paraId="2CAF0EFD" w14:textId="77777777" w:rsidR="00BB1A40" w:rsidRPr="00FE665D" w:rsidRDefault="00BB1A40" w:rsidP="00D93068">
            <w:pPr>
              <w:spacing w:before="40" w:after="40" w:line="240" w:lineRule="auto"/>
              <w:contextualSpacing w:val="0"/>
              <w:jc w:val="center"/>
              <w:rPr>
                <w:rFonts w:ascii="Optima" w:hAnsi="Optima"/>
                <w:b/>
                <w:bCs/>
                <w:sz w:val="19"/>
                <w:szCs w:val="19"/>
              </w:rPr>
            </w:pPr>
            <w:r w:rsidRPr="00E47115">
              <w:rPr>
                <w:rFonts w:ascii="Optima" w:hAnsi="Optima"/>
                <w:b/>
                <w:bCs/>
                <w:color w:val="000000" w:themeColor="text1"/>
                <w:sz w:val="19"/>
                <w:szCs w:val="19"/>
              </w:rPr>
              <w:t>Less expensive/</w:t>
            </w:r>
            <w:r w:rsidRPr="00E47115">
              <w:rPr>
                <w:rFonts w:ascii="Optima" w:hAnsi="Optima"/>
                <w:b/>
                <w:bCs/>
                <w:color w:val="000000" w:themeColor="text1"/>
                <w:sz w:val="19"/>
                <w:szCs w:val="19"/>
              </w:rPr>
              <w:br/>
              <w:t>More cost-effective</w:t>
            </w:r>
          </w:p>
        </w:tc>
      </w:tr>
    </w:tbl>
    <w:p w14:paraId="662F9E94" w14:textId="77777777" w:rsidR="00312093" w:rsidRDefault="00312093" w:rsidP="00BB1A40">
      <w:pPr>
        <w:pStyle w:val="NoSpacing"/>
      </w:pPr>
    </w:p>
    <w:p w14:paraId="75759B08" w14:textId="77777777" w:rsidR="003E4A2A" w:rsidRPr="00934D06" w:rsidRDefault="003E4A2A" w:rsidP="00B1367E">
      <w:r w:rsidRPr="00934D06">
        <w:t xml:space="preserve">The actual reality is that the service costing more per hour ends up being less expensive and more cost-effective because the service is focused on maximizing the independence of the person, and his/her ability to rely on supports other than paid support, </w:t>
      </w:r>
      <w:r w:rsidRPr="00643D56">
        <w:t>through various strategies such as</w:t>
      </w:r>
      <w:r w:rsidR="008C4BED" w:rsidRPr="00643D56">
        <w:t xml:space="preserve"> </w:t>
      </w:r>
      <w:r w:rsidRPr="00643D56">
        <w:t>systematic instruction</w:t>
      </w:r>
      <w:r w:rsidR="000C43AD" w:rsidRPr="00643D56">
        <w:t>,</w:t>
      </w:r>
      <w:r w:rsidRPr="00643D56">
        <w:t xml:space="preserve"> assistive technology</w:t>
      </w:r>
      <w:r w:rsidR="000C43AD" w:rsidRPr="00643D56">
        <w:t>,</w:t>
      </w:r>
      <w:r w:rsidRPr="00643D56">
        <w:t xml:space="preserve"> engagement of natural supports present in the setting</w:t>
      </w:r>
      <w:r w:rsidR="000C43AD" w:rsidRPr="00643D56">
        <w:t>,</w:t>
      </w:r>
      <w:r w:rsidRPr="00643D56">
        <w:t xml:space="preserve"> </w:t>
      </w:r>
      <w:r w:rsidR="008C4BFB">
        <w:t xml:space="preserve">and </w:t>
      </w:r>
      <w:r w:rsidRPr="00643D56">
        <w:t>supporting the person remotely when possible</w:t>
      </w:r>
      <w:r w:rsidR="00643D56">
        <w:t>.</w:t>
      </w:r>
    </w:p>
    <w:p w14:paraId="3BC986E8" w14:textId="77777777" w:rsidR="003E4A2A" w:rsidRPr="009F2EF2" w:rsidRDefault="003E4A2A" w:rsidP="00B11115">
      <w:pPr>
        <w:pStyle w:val="Heading2"/>
      </w:pPr>
      <w:bookmarkStart w:id="7" w:name="_Toc70944160"/>
      <w:r w:rsidRPr="009F2EF2">
        <w:t>Common Funding Challenges Inhibiting Growth of Competitive Integrated Employment Services and Outcomes for People with Disabilities</w:t>
      </w:r>
      <w:bookmarkEnd w:id="7"/>
    </w:p>
    <w:p w14:paraId="3D4935A4" w14:textId="2E18A8C6" w:rsidR="003E4A2A" w:rsidRPr="00934D06" w:rsidRDefault="003E4A2A" w:rsidP="00B1367E">
      <w:r w:rsidRPr="00934D06">
        <w:t xml:space="preserve">Without a doubt, the most dominant funding challenge interfering with the advancement of competitive integrated employment is the use of fee-for-service, regardless of system. The ultimate counter-productive funding model is fee-for-service with face-to-face only billing permitted. Yet this </w:t>
      </w:r>
      <w:r w:rsidR="00DD065A">
        <w:t>is</w:t>
      </w:r>
      <w:r w:rsidRPr="00934D06">
        <w:t xml:space="preserve"> the legacy in many states due in large part to how traditional Medicaid services (acute and primary healthcare) have been historically purchased. </w:t>
      </w:r>
    </w:p>
    <w:p w14:paraId="3C9BB9BB" w14:textId="77777777" w:rsidR="003E4A2A" w:rsidRPr="00934D06" w:rsidRDefault="003E4A2A" w:rsidP="00B1367E">
      <w:r w:rsidRPr="00934D06">
        <w:t>As we continue these discussions around the need to move away from fee-for-service in</w:t>
      </w:r>
      <w:r w:rsidR="008C4325">
        <w:t xml:space="preserve"> </w:t>
      </w:r>
      <w:r w:rsidR="008C4325" w:rsidRPr="008C4325">
        <w:t>long-term service</w:t>
      </w:r>
      <w:r w:rsidR="00A22E00">
        <w:t>s</w:t>
      </w:r>
      <w:r w:rsidR="008C4325" w:rsidRPr="008C4325">
        <w:t xml:space="preserve"> and supports</w:t>
      </w:r>
      <w:r w:rsidRPr="00934D06">
        <w:t xml:space="preserve"> </w:t>
      </w:r>
      <w:r w:rsidR="008C4325">
        <w:t>(</w:t>
      </w:r>
      <w:r w:rsidRPr="00934D06">
        <w:t>LTSS</w:t>
      </w:r>
      <w:r w:rsidR="008C4325">
        <w:t>)</w:t>
      </w:r>
      <w:r w:rsidRPr="00934D06">
        <w:t xml:space="preserve"> programs, particularly in the ways that providers of direct services are </w:t>
      </w:r>
      <w:r w:rsidRPr="00934D06">
        <w:lastRenderedPageBreak/>
        <w:t>paid, many still wonder why fee-for-service is such a problem for the funding of competitive integrated employment services</w:t>
      </w:r>
      <w:r w:rsidR="005043F4">
        <w:t xml:space="preserve">. </w:t>
      </w:r>
      <w:r w:rsidRPr="00934D06">
        <w:t xml:space="preserve">Fee-for-service is not well aligned with the delivery of competitive integrated employment services, especially Supported Employment services, for </w:t>
      </w:r>
      <w:r w:rsidR="0052507F">
        <w:t>several</w:t>
      </w:r>
      <w:r w:rsidRPr="00934D06">
        <w:t xml:space="preserve"> reasons: </w:t>
      </w:r>
    </w:p>
    <w:p w14:paraId="3D311D04" w14:textId="1A4887A7" w:rsidR="003E4A2A" w:rsidRPr="00934D06" w:rsidRDefault="003E4A2A" w:rsidP="00F632B1">
      <w:pPr>
        <w:pStyle w:val="ListBullet"/>
      </w:pPr>
      <w:r w:rsidRPr="0052507F">
        <w:t>A fundamental expectation in Supported Employment is that on-the-job supports (job coaching) will fade over time. If providers are reimbursed based on hours of service, there is no financial incentive to get people jobs where fading is possible: namely jobs that are well-matched to a pe</w:t>
      </w:r>
      <w:r w:rsidR="007B0ED7">
        <w:t>rson</w:t>
      </w:r>
      <w:r w:rsidRPr="0052507F">
        <w:t>’s abilities</w:t>
      </w:r>
      <w:r w:rsidR="008A472A">
        <w:t>,</w:t>
      </w:r>
      <w:r w:rsidRPr="0052507F">
        <w:t xml:space="preserve"> in workplaces where natural support potential exists.</w:t>
      </w:r>
      <w:r w:rsidRPr="00934D06">
        <w:t xml:space="preserve"> There is also no incentive to implement effective strategies to fade once a person is on the job. The provider experiences a reduction in funding by doing these things. In contrast</w:t>
      </w:r>
      <w:r w:rsidR="00B37D4D">
        <w:t>,</w:t>
      </w:r>
      <w:r w:rsidRPr="00934D06">
        <w:t xml:space="preserve"> providers who do a poor job matching and who do not implement strategies to fade experience no reduction in funding. </w:t>
      </w:r>
    </w:p>
    <w:p w14:paraId="2032F361" w14:textId="760CB7A0" w:rsidR="003E4A2A" w:rsidRPr="00934D06" w:rsidRDefault="003E4A2A" w:rsidP="00F632B1">
      <w:pPr>
        <w:pStyle w:val="ListBullet"/>
      </w:pPr>
      <w:r w:rsidRPr="00934D06">
        <w:t xml:space="preserve">Many fee-for-service approaches allow billing only for face-to-face service delivery, which is not desirable for many aspects of Supported Employment services. We know that the critical, early stages of job development are typically done without the individual present. It is also the case that once an individual is settled into his/her job, the most effective supports are often the least intrusive, involving check-ins with the individual and the employer, </w:t>
      </w:r>
      <w:r w:rsidRPr="00E74AB5">
        <w:t>and other assistance provided most cost</w:t>
      </w:r>
      <w:r w:rsidR="0052507F" w:rsidRPr="00A60155">
        <w:t>-</w:t>
      </w:r>
      <w:r w:rsidRPr="00A60155">
        <w:t>e</w:t>
      </w:r>
      <w:r w:rsidRPr="00E74AB5">
        <w:t>ffectively through the delivery of support that is not face-to-face.</w:t>
      </w:r>
      <w:r w:rsidRPr="00934D06">
        <w:t xml:space="preserve"> A policy that allows billing only for face-to-face can encourage unnecessary and potentially intrusive supports while discouraging the use of supports that may not be </w:t>
      </w:r>
      <w:r w:rsidR="008A0A9D" w:rsidRPr="00934D06">
        <w:t>face-to-face</w:t>
      </w:r>
      <w:r w:rsidR="008A0A9D">
        <w:t xml:space="preserve"> but</w:t>
      </w:r>
      <w:r w:rsidRPr="00934D06">
        <w:t xml:space="preserve"> may be more appropriate and more cost</w:t>
      </w:r>
      <w:r w:rsidR="0052507F">
        <w:t>-</w:t>
      </w:r>
      <w:r w:rsidRPr="00934D06">
        <w:t>effective</w:t>
      </w:r>
      <w:r w:rsidR="0037194D">
        <w:t xml:space="preserve">. </w:t>
      </w:r>
      <w:r w:rsidRPr="00934D06">
        <w:t xml:space="preserve">Providers who invest in and learn to use innovative technology to provide supports via cell phones, </w:t>
      </w:r>
      <w:r w:rsidR="008A472A">
        <w:t xml:space="preserve">tablets, </w:t>
      </w:r>
      <w:r w:rsidRPr="00934D06">
        <w:t xml:space="preserve">Skype, etc. are not rewarded for adopting these approaches in a fee-for-service arrangement. </w:t>
      </w:r>
    </w:p>
    <w:p w14:paraId="5DAF8A4E" w14:textId="77777777" w:rsidR="003E4A2A" w:rsidRPr="00B73E89" w:rsidRDefault="003E4A2A" w:rsidP="000A6967">
      <w:pPr>
        <w:pStyle w:val="ListBullet"/>
      </w:pPr>
      <w:r w:rsidRPr="00F7360C">
        <w:t>The fee-for-service approach includes no incentives to increase the hours that supported employees work, particularly if this can be done without increasing the need for on-the-job supports. Low hour jobs in Supported Employment are a chronic problem nationally</w:t>
      </w:r>
      <w:r w:rsidR="00E74AB5">
        <w:t>,</w:t>
      </w:r>
      <w:r w:rsidRPr="00F7360C">
        <w:t xml:space="preserve"> and it appears that incentives are needed to reverse this trend. Increasing the hours that people work is not rewarded in a fee-for-service approach that pays </w:t>
      </w:r>
      <w:r w:rsidR="0095415D">
        <w:t xml:space="preserve">for </w:t>
      </w:r>
      <w:r w:rsidRPr="00F7360C">
        <w:t xml:space="preserve">service hours delivered by the provider. </w:t>
      </w:r>
    </w:p>
    <w:p w14:paraId="3259C9C6" w14:textId="30F6D0FD" w:rsidR="003E4A2A" w:rsidRDefault="003E4A2A" w:rsidP="00894C59">
      <w:pPr>
        <w:pStyle w:val="ListBullet"/>
        <w:spacing w:after="0"/>
      </w:pPr>
      <w:r w:rsidRPr="00F7360C">
        <w:t>A fee-for-service approach does not include strong incentives for providers to prevent job loss</w:t>
      </w:r>
      <w:r w:rsidR="00CA7036">
        <w:t>,</w:t>
      </w:r>
      <w:r w:rsidRPr="00F7360C">
        <w:t xml:space="preserve"> and there are often difficulties with providers getting timely approvals from case managers to </w:t>
      </w:r>
      <w:r w:rsidR="008A472A">
        <w:t xml:space="preserve">temporarily </w:t>
      </w:r>
      <w:r w:rsidRPr="00F7360C">
        <w:t xml:space="preserve">increase job coaching hours to prevent job loss. This means the provider either chooses to provide the extra supports without having a way to get reimbursed for that emergency support or awaits the authorization by which time the supported employee may have lost his/her job. </w:t>
      </w:r>
    </w:p>
    <w:p w14:paraId="5AAA0F2D" w14:textId="77777777" w:rsidR="00FD0AD1" w:rsidRPr="00F7360C" w:rsidRDefault="00FD0AD1" w:rsidP="00FD0AD1">
      <w:pPr>
        <w:pStyle w:val="ListBullet"/>
      </w:pPr>
      <w:r w:rsidRPr="00F7360C">
        <w:t xml:space="preserve">A fee-for-service approach to job development/placement does not reward providers for achieving the outcome in an efficient manner. The longer it takes a provider to find a person a job, the more revenue they receive. In contrast, providers who are highly competent in doing job development/placement and who get people jobs in less time are rewarded with a lower reimbursement. </w:t>
      </w:r>
    </w:p>
    <w:p w14:paraId="07BC3781" w14:textId="77777777" w:rsidR="00FD0AD1" w:rsidRDefault="00FD0AD1" w:rsidP="00FD0AD1"/>
    <w:p w14:paraId="27553FFC" w14:textId="77777777" w:rsidR="00BE2E02" w:rsidRDefault="00D87973" w:rsidP="00FD0AD1">
      <w:pPr>
        <w:spacing w:before="0" w:after="0"/>
        <w:ind w:left="1080"/>
      </w:pPr>
      <w:r w:rsidRPr="00AC612F">
        <w:rPr>
          <w:noProof/>
          <w:shd w:val="clear" w:color="auto" w:fill="EEECE1" w:themeFill="background2"/>
        </w:rPr>
        <w:lastRenderedPageBreak/>
        <w:drawing>
          <wp:inline distT="0" distB="0" distL="0" distR="0" wp14:anchorId="1C18D453" wp14:editId="621DF606">
            <wp:extent cx="4206240" cy="2638425"/>
            <wp:effectExtent l="0" t="0" r="0" b="3175"/>
            <wp:docPr id="22" name="Diagram 22" descr="A depiction of the paradox when paying by hour of service with an arro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BE9C456" w14:textId="77777777" w:rsidR="00FD0AD1" w:rsidRDefault="00FD0AD1" w:rsidP="00FD0AD1"/>
    <w:p w14:paraId="25F8F77C" w14:textId="4A26C1E8" w:rsidR="006364CB" w:rsidRDefault="003E4A2A" w:rsidP="00F8388F">
      <w:pPr>
        <w:rPr>
          <w:rFonts w:cstheme="minorBidi"/>
          <w:color w:val="auto"/>
          <w:szCs w:val="22"/>
        </w:rPr>
      </w:pPr>
      <w:r w:rsidRPr="00934D06">
        <w:t>Ultimately, a fee-for-service approach to purchasing competitive integrated employment services is likely to result in the most capable organizations, which require the least hours to deliver the service due to their capabilities, ending up with the least billable hours and thus the lowest reimbursement for their work. This means the more capable organization receives less funding as a result of being more capable.</w:t>
      </w:r>
      <w:r w:rsidRPr="00934D06">
        <w:rPr>
          <w:rStyle w:val="FootnoteReference"/>
          <w:rFonts w:cstheme="minorBidi"/>
          <w:color w:val="auto"/>
          <w:szCs w:val="22"/>
        </w:rPr>
        <w:footnoteReference w:id="4"/>
      </w:r>
      <w:r w:rsidRPr="00934D06">
        <w:rPr>
          <w:rStyle w:val="FootnoteReference"/>
          <w:rFonts w:cstheme="minorBidi"/>
          <w:color w:val="auto"/>
          <w:szCs w:val="22"/>
        </w:rPr>
        <w:t xml:space="preserve"> </w:t>
      </w:r>
    </w:p>
    <w:p w14:paraId="7C478092" w14:textId="77777777" w:rsidR="003E4A2A" w:rsidRPr="00934D06" w:rsidRDefault="003E4A2A" w:rsidP="00B1367E">
      <w:r w:rsidRPr="00532218">
        <w:t xml:space="preserve">Despite the federal government’s commitment to value-based purchasing and moving beyond fee-for-service, in Medicaid particularly, there also remains </w:t>
      </w:r>
      <w:r w:rsidR="00682B2C" w:rsidRPr="00532218">
        <w:t xml:space="preserve">an inadvertent disconnect </w:t>
      </w:r>
      <w:r w:rsidRPr="00532218">
        <w:t>between this commitment and the federal billing code structure</w:t>
      </w:r>
      <w:r w:rsidR="00532218">
        <w:t>,</w:t>
      </w:r>
      <w:r w:rsidRPr="00532218">
        <w:t xml:space="preserve"> which has not been updated to reflect this commitment</w:t>
      </w:r>
      <w:r w:rsidR="005043F4" w:rsidRPr="00532218">
        <w:t>.</w:t>
      </w:r>
      <w:r w:rsidR="005043F4">
        <w:t xml:space="preserve"> </w:t>
      </w:r>
      <w:r w:rsidRPr="00934D06">
        <w:t>With regard to services that support competitive integrated employment, some states have demonstrated leadership to move the system forward by establishing</w:t>
      </w:r>
      <w:r w:rsidR="008D1187">
        <w:t xml:space="preserve"> an</w:t>
      </w:r>
      <w:r w:rsidRPr="00934D06">
        <w:t xml:space="preserve"> “each” code to allow for outcome-based reimbursement. Other states have adopted monthly rather than </w:t>
      </w:r>
      <w:r w:rsidR="00EA04FB">
        <w:t>15-minute</w:t>
      </w:r>
      <w:r w:rsidRPr="00934D06">
        <w:t>, hourly</w:t>
      </w:r>
      <w:r w:rsidR="009C71D2">
        <w:t>,</w:t>
      </w:r>
      <w:r w:rsidRPr="00934D06">
        <w:t xml:space="preserve"> or daily billing codes to allow for maximum flexibility in service provision aligned with the patterns of people’s work schedules and unique support needs. Still other states are using </w:t>
      </w:r>
      <w:r w:rsidR="009C71D2">
        <w:t xml:space="preserve">a </w:t>
      </w:r>
      <w:r w:rsidRPr="00934D06">
        <w:t>15-minute or hourly unit of service code to pay for units worked by a person with a disability (the supported employee)</w:t>
      </w:r>
      <w:r w:rsidR="005043F4">
        <w:t xml:space="preserve">. </w:t>
      </w:r>
      <w:r w:rsidRPr="00934D06">
        <w:t>None of this is ideal; but in bridging the past with the future, it represents the determination of states to progress forward in moving to outcome and value-based payment models as a key strategy for advancing competitive integrated employment.</w:t>
      </w:r>
    </w:p>
    <w:p w14:paraId="5E1C4930" w14:textId="77777777" w:rsidR="003E4A2A" w:rsidRPr="009F2EF2" w:rsidRDefault="003E4A2A" w:rsidP="00B11115">
      <w:pPr>
        <w:pStyle w:val="Heading2"/>
      </w:pPr>
      <w:bookmarkStart w:id="8" w:name="_Toc70944161"/>
      <w:r w:rsidRPr="009F2EF2">
        <w:t>The Rise of Value-Based Purchasing in Publicly Funded Services</w:t>
      </w:r>
      <w:bookmarkEnd w:id="8"/>
      <w:r w:rsidRPr="009F2EF2">
        <w:t xml:space="preserve"> </w:t>
      </w:r>
    </w:p>
    <w:p w14:paraId="7E30A2DB" w14:textId="77777777" w:rsidR="003E4A2A" w:rsidRPr="00934D06" w:rsidRDefault="003E4A2A" w:rsidP="00B1367E">
      <w:r w:rsidRPr="00934D06">
        <w:t>Perhaps not surprisingly, the call for moving beyond fee-for-service first began in the traditional Medicaid arena. Paul Keckley, a nationally recognized long-standing expert economist on healthcare</w:t>
      </w:r>
      <w:r w:rsidR="00722FF4">
        <w:t>,</w:t>
      </w:r>
      <w:r w:rsidRPr="00934D06">
        <w:t xml:space="preserve"> told CNN more than two decades ago:</w:t>
      </w:r>
    </w:p>
    <w:p w14:paraId="2AE4A565" w14:textId="77777777" w:rsidR="003E4A2A" w:rsidRPr="00603D1C" w:rsidRDefault="003E4A2A" w:rsidP="005A1ACD">
      <w:pPr>
        <w:spacing w:before="240" w:after="240" w:line="264" w:lineRule="auto"/>
        <w:ind w:left="720" w:right="720"/>
        <w:rPr>
          <w:rFonts w:asciiTheme="majorHAnsi" w:hAnsiTheme="majorHAnsi"/>
          <w:i/>
          <w:iCs/>
          <w:color w:val="002060"/>
          <w:sz w:val="21"/>
          <w:szCs w:val="21"/>
        </w:rPr>
      </w:pPr>
      <w:r w:rsidRPr="00603D1C">
        <w:rPr>
          <w:rFonts w:asciiTheme="majorHAnsi" w:hAnsiTheme="majorHAnsi"/>
          <w:i/>
          <w:iCs/>
          <w:color w:val="002060"/>
          <w:sz w:val="21"/>
          <w:szCs w:val="21"/>
        </w:rPr>
        <w:t xml:space="preserve">“The number one thing that needs to happen as part of health care reform: We need to change incentives from doing more to being paid for performance…in other words, we need to end fee for service.” </w:t>
      </w:r>
    </w:p>
    <w:p w14:paraId="20A9D4A8" w14:textId="77777777" w:rsidR="003E4A2A" w:rsidRPr="00934D06" w:rsidRDefault="003E4A2A" w:rsidP="00B1367E">
      <w:r w:rsidRPr="00934D06">
        <w:lastRenderedPageBreak/>
        <w:t>Since that time, and with clear momentum prior to that, both the commercial healthcare industry and the federal Medicaid program have moved away from fee-for-service. Much of the efforts are labeled “value-based purchasing</w:t>
      </w:r>
      <w:r w:rsidR="003674D4">
        <w:t>,</w:t>
      </w:r>
      <w:r w:rsidRPr="00934D06">
        <w:t xml:space="preserve">” which involves tying payments to </w:t>
      </w:r>
      <w:r w:rsidRPr="00934D06">
        <w:rPr>
          <w:b/>
        </w:rPr>
        <w:t>performance</w:t>
      </w:r>
      <w:r w:rsidRPr="00934D06">
        <w:t xml:space="preserve"> and ensuring the payment structures reward providers for high</w:t>
      </w:r>
      <w:r w:rsidR="003674D4">
        <w:t>-</w:t>
      </w:r>
      <w:r w:rsidRPr="00934D06">
        <w:t>quality performance. This contrasts with the traditional approach that mak</w:t>
      </w:r>
      <w:r w:rsidR="008A472A">
        <w:t>es</w:t>
      </w:r>
      <w:r w:rsidRPr="00934D06">
        <w:t xml:space="preserve"> payments based solely on the </w:t>
      </w:r>
      <w:r w:rsidRPr="00934D06">
        <w:rPr>
          <w:b/>
        </w:rPr>
        <w:t>volume</w:t>
      </w:r>
      <w:r w:rsidRPr="00934D06">
        <w:t xml:space="preserve"> of service delivered</w:t>
      </w:r>
      <w:r w:rsidR="00E219AB">
        <w:t>,</w:t>
      </w:r>
      <w:r w:rsidRPr="00934D06">
        <w:t xml:space="preserve"> which, in many cases, does not signify or equate with best practice, cost-effectiveness</w:t>
      </w:r>
      <w:r w:rsidR="003674D4">
        <w:t>,</w:t>
      </w:r>
      <w:r w:rsidRPr="00934D06">
        <w:t xml:space="preserve"> or quality</w:t>
      </w:r>
      <w:r w:rsidR="005043F4">
        <w:t xml:space="preserve">. </w:t>
      </w:r>
    </w:p>
    <w:p w14:paraId="2E4FF704" w14:textId="3376FC78" w:rsidR="003E4A2A" w:rsidRPr="00934D06" w:rsidRDefault="003E4A2A" w:rsidP="00B1367E">
      <w:r w:rsidRPr="00934D06">
        <w:t>It didn’t take long for state Medicaid-funded</w:t>
      </w:r>
      <w:r w:rsidR="00E33D7B" w:rsidRPr="00E33D7B">
        <w:t xml:space="preserve"> long-term services and supports</w:t>
      </w:r>
      <w:r w:rsidRPr="00934D06">
        <w:t xml:space="preserve"> </w:t>
      </w:r>
      <w:r w:rsidR="00E33D7B">
        <w:t>(</w:t>
      </w:r>
      <w:r w:rsidRPr="00934D06">
        <w:t>LTSS</w:t>
      </w:r>
      <w:r w:rsidR="00E33D7B">
        <w:t>)</w:t>
      </w:r>
      <w:r w:rsidR="008C4325">
        <w:t xml:space="preserve"> </w:t>
      </w:r>
      <w:r w:rsidRPr="00934D06">
        <w:t>systems to also move in this direction</w:t>
      </w:r>
      <w:r w:rsidR="004D5DD8">
        <w:t>,</w:t>
      </w:r>
      <w:r w:rsidRPr="00934D06">
        <w:t xml:space="preserve"> but this was largely limited to states implementing risk-based managed LTSS programs. The introduction of managed care organizations</w:t>
      </w:r>
      <w:r w:rsidR="00C77404">
        <w:t xml:space="preserve"> (MCOs)</w:t>
      </w:r>
      <w:r w:rsidRPr="00934D06">
        <w:t xml:space="preserve"> changed the way states paid for LTSS, from fee-for-service to capitated funding; but for a long time, it did not change how services were purchased from the actual providers of these services</w:t>
      </w:r>
      <w:r w:rsidR="005043F4">
        <w:t xml:space="preserve">. </w:t>
      </w:r>
      <w:r w:rsidRPr="00934D06">
        <w:t xml:space="preserve">They continued to be paid on a fee-for-service basis by the </w:t>
      </w:r>
      <w:r w:rsidR="00C77404">
        <w:t>MCOs</w:t>
      </w:r>
      <w:r w:rsidRPr="00934D06">
        <w:t xml:space="preserve"> that now administered the funding through contractual relationships with states</w:t>
      </w:r>
      <w:r w:rsidR="005043F4">
        <w:t xml:space="preserve">. </w:t>
      </w:r>
      <w:r w:rsidRPr="00B26B39">
        <w:t>This is still the case in many managed LTSS programs</w:t>
      </w:r>
      <w:r w:rsidR="00942A2C">
        <w:t>,</w:t>
      </w:r>
      <w:r w:rsidRPr="00B26B39">
        <w:t xml:space="preserve"> but more recently, there has been increasing attention paid to the need for “trickle</w:t>
      </w:r>
      <w:r w:rsidR="004D5DD8" w:rsidRPr="00B26B39">
        <w:t>-</w:t>
      </w:r>
      <w:r w:rsidRPr="00B26B39">
        <w:t>down payment reform</w:t>
      </w:r>
      <w:r w:rsidR="00942A2C">
        <w:t>.</w:t>
      </w:r>
      <w:r w:rsidRPr="00B26B39">
        <w:t>”</w:t>
      </w:r>
      <w:r w:rsidRPr="00B26B39">
        <w:rPr>
          <w:rStyle w:val="FootnoteReference"/>
        </w:rPr>
        <w:footnoteReference w:id="5"/>
      </w:r>
      <w:r w:rsidRPr="00B26B39">
        <w:t xml:space="preserve"> </w:t>
      </w:r>
      <w:r w:rsidR="00942A2C">
        <w:t xml:space="preserve">These reforms </w:t>
      </w:r>
      <w:r w:rsidRPr="00B26B39">
        <w:t>move away from traditional fee-for-service reimbursement</w:t>
      </w:r>
      <w:r w:rsidR="002F052B">
        <w:t>,</w:t>
      </w:r>
      <w:r w:rsidRPr="00B26B39">
        <w:t xml:space="preserve"> to reimbursement models that are more focused on rewarding direct service providers for</w:t>
      </w:r>
      <w:r w:rsidR="0031119C">
        <w:t>:</w:t>
      </w:r>
      <w:r w:rsidRPr="00B26B39">
        <w:t xml:space="preserve"> the outcomes they support</w:t>
      </w:r>
      <w:r w:rsidR="00555A2C">
        <w:t>, including</w:t>
      </w:r>
      <w:r w:rsidR="0031119C">
        <w:t xml:space="preserve"> </w:t>
      </w:r>
      <w:r w:rsidR="00555A2C">
        <w:t xml:space="preserve">assisting </w:t>
      </w:r>
      <w:r w:rsidRPr="00B26B39">
        <w:t>individuals with disabilities to achieve and maintain</w:t>
      </w:r>
      <w:r w:rsidR="0031119C">
        <w:t xml:space="preserve"> competitive integrated employment;</w:t>
      </w:r>
      <w:r w:rsidRPr="00B26B39">
        <w:t xml:space="preserve"> utilization of</w:t>
      </w:r>
      <w:r w:rsidR="00CE0890">
        <w:t>—</w:t>
      </w:r>
      <w:r w:rsidRPr="00B26B39">
        <w:t>and fidelity to</w:t>
      </w:r>
      <w:r w:rsidR="00CE0890">
        <w:t>—</w:t>
      </w:r>
      <w:r w:rsidRPr="00B26B39">
        <w:t>best and evidence-based practices associated with positive outcomes for individuals</w:t>
      </w:r>
      <w:r w:rsidR="0031119C">
        <w:t>;</w:t>
      </w:r>
      <w:r w:rsidRPr="00B26B39">
        <w:t xml:space="preserve"> and achievement of quality as opposed to compliance.</w:t>
      </w:r>
      <w:r w:rsidRPr="00934D06">
        <w:t xml:space="preserve"> </w:t>
      </w:r>
    </w:p>
    <w:p w14:paraId="4CC420F4" w14:textId="77777777" w:rsidR="003E4A2A" w:rsidRPr="00055456" w:rsidRDefault="003E4A2A" w:rsidP="00B1367E">
      <w:r w:rsidRPr="00E15C79">
        <w:t xml:space="preserve">It is worth noting here that most references to “quality” in services and programs for people with disabilities are usually still references to compliance. As part of our efforts to move toward more value-based funding models that advance outcomes like competitive integrated employment, it will be imperative that </w:t>
      </w:r>
      <w:r w:rsidR="004D5DD8" w:rsidRPr="00E15C79">
        <w:t>the</w:t>
      </w:r>
      <w:r w:rsidRPr="00E15C79">
        <w:t xml:space="preserve"> differentiation between compliance and quality begins to be made, and references to quality come to no longer represent simple compliance. The ability to reward high performers, an essential tenet of value-based purchasing, requires defining quality as outcomes and performance that go beyond </w:t>
      </w:r>
      <w:r w:rsidRPr="00055456">
        <w:t>basic compliance.</w:t>
      </w:r>
    </w:p>
    <w:p w14:paraId="1B311BF1" w14:textId="77777777" w:rsidR="003E4A2A" w:rsidRPr="00055456" w:rsidRDefault="00E50F97" w:rsidP="00B1367E">
      <w:r>
        <w:t>National</w:t>
      </w:r>
      <w:r w:rsidR="003E4A2A" w:rsidRPr="00055456">
        <w:t xml:space="preserve"> experience thus far in using value-based purchasing to pay LTSS providers has been largely with providers of institutional LTSS</w:t>
      </w:r>
      <w:r w:rsidR="00CE0890">
        <w:t>—</w:t>
      </w:r>
      <w:r w:rsidR="003E4A2A" w:rsidRPr="00055456">
        <w:t>most notably, nursing homes. Using value-based purchasing to pay LTSS providers of HCBS is still in its infancy nationally</w:t>
      </w:r>
      <w:r w:rsidR="00D539EC" w:rsidRPr="00055456">
        <w:t>,</w:t>
      </w:r>
      <w:r w:rsidR="003E4A2A" w:rsidRPr="00055456">
        <w:t xml:space="preserve"> but the good news is that a fair portion of the work being done is focused on employment services as a jumping</w:t>
      </w:r>
      <w:r w:rsidR="00D539EC" w:rsidRPr="00055456">
        <w:t>-</w:t>
      </w:r>
      <w:r w:rsidR="003E4A2A" w:rsidRPr="00055456">
        <w:t>off point for expanding the use of value-based purchasing more broadly within HCBS.</w:t>
      </w:r>
    </w:p>
    <w:p w14:paraId="4609A439" w14:textId="5AB0A012" w:rsidR="003E4A2A" w:rsidRPr="009F2EF2" w:rsidRDefault="003E4A2A" w:rsidP="00B11115">
      <w:pPr>
        <w:pStyle w:val="Heading2"/>
      </w:pPr>
      <w:bookmarkStart w:id="9" w:name="_Toc70944162"/>
      <w:r w:rsidRPr="009F2EF2">
        <w:t xml:space="preserve">The Utility of Value-Based Purchasing in Advancing </w:t>
      </w:r>
      <w:r w:rsidR="00F15631">
        <w:t xml:space="preserve">Competitive Integrated Employment and </w:t>
      </w:r>
      <w:r w:rsidRPr="009F2EF2">
        <w:t>Employment First Systems Change</w:t>
      </w:r>
      <w:bookmarkEnd w:id="9"/>
    </w:p>
    <w:p w14:paraId="7AEDF6F8" w14:textId="05C02BB0" w:rsidR="003E4A2A" w:rsidRPr="00055456" w:rsidRDefault="003E4A2A" w:rsidP="00B1367E">
      <w:r w:rsidRPr="00055456">
        <w:t xml:space="preserve">With regard to competitive integrated employment services, including </w:t>
      </w:r>
      <w:r w:rsidR="00AF6DEE" w:rsidRPr="00055456">
        <w:t>I</w:t>
      </w:r>
      <w:r w:rsidRPr="00055456">
        <w:t xml:space="preserve">ndividual </w:t>
      </w:r>
      <w:r w:rsidR="00AF6DEE" w:rsidRPr="00055456">
        <w:t>S</w:t>
      </w:r>
      <w:r w:rsidRPr="00055456">
        <w:t xml:space="preserve">upported </w:t>
      </w:r>
      <w:r w:rsidR="00AF6DEE" w:rsidRPr="00055456">
        <w:t>E</w:t>
      </w:r>
      <w:r w:rsidRPr="00055456">
        <w:t xml:space="preserve">mployment services, if we look back at the past </w:t>
      </w:r>
      <w:r w:rsidR="0041000A">
        <w:t>35</w:t>
      </w:r>
      <w:r w:rsidRPr="00055456">
        <w:t xml:space="preserve"> years, we see different systems funding employment services and supports in different ways; but we can see very early use of value-based approaches to reimbursement. Oklahoma led all states in the country in moving to outcome and milestone-based payment structures for employment services</w:t>
      </w:r>
      <w:r w:rsidR="005043F4" w:rsidRPr="00055456">
        <w:t xml:space="preserve">. </w:t>
      </w:r>
      <w:r w:rsidRPr="00055456">
        <w:t xml:space="preserve">In 1995, </w:t>
      </w:r>
      <w:r w:rsidR="00C96238">
        <w:t xml:space="preserve">with approval from the federal Medicaid agency, </w:t>
      </w:r>
      <w:r w:rsidRPr="00055456">
        <w:t xml:space="preserve">the Oklahoma Developmental Disabilities Services (ODDS) agency implemented reimbursement for </w:t>
      </w:r>
      <w:r w:rsidR="00982241">
        <w:t>S</w:t>
      </w:r>
      <w:r w:rsidRPr="00055456">
        <w:t xml:space="preserve">upported </w:t>
      </w:r>
      <w:r w:rsidR="00982241">
        <w:t>E</w:t>
      </w:r>
      <w:r w:rsidRPr="00055456">
        <w:t>mployment services based on hours worked by the person with a disability</w:t>
      </w:r>
      <w:r w:rsidR="005043F4" w:rsidRPr="00055456">
        <w:t xml:space="preserve">. </w:t>
      </w:r>
      <w:r w:rsidRPr="00055456">
        <w:t xml:space="preserve">In 1997, the Oklahoma Department of Rehabilitation Services (ODRS) implemented the first </w:t>
      </w:r>
      <w:r w:rsidRPr="00055456">
        <w:lastRenderedPageBreak/>
        <w:t>milestone payment system in the country, generating payments to providers at specific pre-defined milestones that correlated with an individual successfully progressing through the vocational rehabilitation</w:t>
      </w:r>
      <w:r w:rsidR="0016782B" w:rsidRPr="00055456">
        <w:t xml:space="preserve"> (VR)</w:t>
      </w:r>
      <w:r w:rsidRPr="00055456">
        <w:t xml:space="preserve"> process</w:t>
      </w:r>
      <w:r w:rsidR="005043F4" w:rsidRPr="00055456">
        <w:t xml:space="preserve">. </w:t>
      </w:r>
      <w:r w:rsidRPr="00055456">
        <w:t xml:space="preserve">As with many formative efforts, these early uses of value-based purchasing were </w:t>
      </w:r>
      <w:r w:rsidR="003D439F" w:rsidRPr="009C6A50">
        <w:t>clearly innovative for their time</w:t>
      </w:r>
      <w:r w:rsidRPr="00055456">
        <w:t xml:space="preserve">. However, the lessons that can and have been learned from </w:t>
      </w:r>
      <w:r w:rsidR="00C857BE">
        <w:t xml:space="preserve">critiquing </w:t>
      </w:r>
      <w:r w:rsidRPr="00055456">
        <w:t>these pioneering models continue to be very important to the work being done today.</w:t>
      </w:r>
    </w:p>
    <w:p w14:paraId="16288740" w14:textId="77777777" w:rsidR="003E4A2A" w:rsidRDefault="003E4A2A" w:rsidP="00B1367E">
      <w:r w:rsidRPr="00934D06">
        <w:t xml:space="preserve">ODDS implemented one flat payment per hour worked by a supported employee in a competitive integrated job and one flat payment per hour worked by a supported employee in a small group </w:t>
      </w:r>
      <w:r w:rsidR="00F655C6">
        <w:t>Supported Employment</w:t>
      </w:r>
      <w:r w:rsidRPr="00934D06">
        <w:t xml:space="preserve"> arrangement (not meeting </w:t>
      </w:r>
      <w:r w:rsidR="00D539EC">
        <w:t xml:space="preserve">the </w:t>
      </w:r>
      <w:r w:rsidRPr="00934D06">
        <w:t xml:space="preserve">definition of competitive integrated employment). They were light years ahead of the rest of the country in recognizing that paying based on hours worked (rather than hours of service) </w:t>
      </w:r>
      <w:r w:rsidRPr="000A3879">
        <w:t>would incentivize two key quality outcomes</w:t>
      </w:r>
      <w:r w:rsidR="008C4BED" w:rsidRPr="000A3879">
        <w:t xml:space="preserve">: </w:t>
      </w:r>
      <w:r w:rsidRPr="000A3879">
        <w:t xml:space="preserve">supporting individuals </w:t>
      </w:r>
      <w:r w:rsidR="00DA36AF">
        <w:t>in</w:t>
      </w:r>
      <w:r w:rsidRPr="000A3879">
        <w:t xml:space="preserve"> maintain</w:t>
      </w:r>
      <w:r w:rsidR="00DA36AF">
        <w:t>ing</w:t>
      </w:r>
      <w:r w:rsidRPr="000A3879">
        <w:t xml:space="preserve"> their employment and maximiz</w:t>
      </w:r>
      <w:r w:rsidR="000A3879" w:rsidRPr="000A3879">
        <w:t>ing</w:t>
      </w:r>
      <w:r w:rsidRPr="000A3879">
        <w:t xml:space="preserve"> their paid work hours.</w:t>
      </w:r>
      <w:r w:rsidRPr="00934D06">
        <w:t xml:space="preserve"> However, the rates established inadvertently created an incentive to develop more group </w:t>
      </w:r>
      <w:r w:rsidR="00F655C6">
        <w:t>Supported Employment</w:t>
      </w:r>
      <w:r w:rsidRPr="00934D06">
        <w:t xml:space="preserve"> options rather than competitive integrated employment options</w:t>
      </w:r>
      <w:r w:rsidR="005043F4">
        <w:t xml:space="preserve">. </w:t>
      </w:r>
      <w:r w:rsidRPr="00934D06">
        <w:t>The table below, similar to the illustration introduced previously, shows how the differential rates created this incentive:</w:t>
      </w:r>
    </w:p>
    <w:p w14:paraId="2BD95F2B" w14:textId="5EF6C974" w:rsidR="000A6967" w:rsidRDefault="000A6967">
      <w:pPr>
        <w:spacing w:before="0" w:after="0" w:line="240" w:lineRule="auto"/>
        <w:rPr>
          <w:rFonts w:eastAsia="Times New Roman"/>
        </w:rPr>
      </w:pPr>
    </w:p>
    <w:tbl>
      <w:tblPr>
        <w:tblStyle w:val="EconSysBandedTable"/>
        <w:tblW w:w="0" w:type="auto"/>
        <w:jc w:val="center"/>
        <w:tblInd w:w="0" w:type="dxa"/>
        <w:tblLook w:val="0420" w:firstRow="1" w:lastRow="0" w:firstColumn="0" w:lastColumn="0" w:noHBand="0" w:noVBand="1"/>
      </w:tblPr>
      <w:tblGrid>
        <w:gridCol w:w="4320"/>
        <w:gridCol w:w="2340"/>
        <w:gridCol w:w="2307"/>
      </w:tblGrid>
      <w:tr w:rsidR="00AD739D" w:rsidRPr="006946E0" w14:paraId="25AB220B" w14:textId="77777777" w:rsidTr="00AE07EF">
        <w:trPr>
          <w:cnfStyle w:val="100000000000" w:firstRow="1" w:lastRow="0" w:firstColumn="0" w:lastColumn="0" w:oddVBand="0" w:evenVBand="0" w:oddHBand="0" w:evenHBand="0" w:firstRowFirstColumn="0" w:firstRowLastColumn="0" w:lastRowFirstColumn="0" w:lastRowLastColumn="0"/>
          <w:trHeight w:val="587"/>
          <w:jc w:val="center"/>
        </w:trPr>
        <w:tc>
          <w:tcPr>
            <w:tcW w:w="4320" w:type="dxa"/>
            <w:tcBorders>
              <w:bottom w:val="none" w:sz="0" w:space="0" w:color="auto"/>
            </w:tcBorders>
            <w:shd w:val="clear" w:color="auto" w:fill="215868" w:themeFill="accent5" w:themeFillShade="80"/>
            <w:vAlign w:val="top"/>
          </w:tcPr>
          <w:p w14:paraId="4D24C1F2" w14:textId="77777777" w:rsidR="003E4A2A" w:rsidRPr="006946E0" w:rsidRDefault="003E4A2A" w:rsidP="00D72BA5">
            <w:pPr>
              <w:spacing w:before="60" w:after="60" w:line="240" w:lineRule="auto"/>
              <w:contextualSpacing w:val="0"/>
              <w:rPr>
                <w:rFonts w:ascii="Optima" w:hAnsi="Optima"/>
                <w:color w:val="FFFFFF" w:themeColor="background1"/>
                <w:sz w:val="19"/>
                <w:szCs w:val="19"/>
              </w:rPr>
            </w:pPr>
          </w:p>
        </w:tc>
        <w:tc>
          <w:tcPr>
            <w:tcW w:w="2340" w:type="dxa"/>
            <w:tcBorders>
              <w:bottom w:val="none" w:sz="0" w:space="0" w:color="auto"/>
            </w:tcBorders>
            <w:shd w:val="clear" w:color="auto" w:fill="215868" w:themeFill="accent5" w:themeFillShade="80"/>
            <w:vAlign w:val="top"/>
          </w:tcPr>
          <w:p w14:paraId="16314C24" w14:textId="77777777" w:rsidR="003E4A2A" w:rsidRPr="006946E0" w:rsidRDefault="003E4A2A" w:rsidP="00CA1889">
            <w:pPr>
              <w:spacing w:before="60" w:after="60" w:line="240" w:lineRule="auto"/>
              <w:ind w:right="66"/>
              <w:contextualSpacing w:val="0"/>
              <w:jc w:val="center"/>
              <w:rPr>
                <w:rFonts w:ascii="Optima" w:hAnsi="Optima"/>
                <w:color w:val="FFFFFF" w:themeColor="background1"/>
                <w:sz w:val="19"/>
                <w:szCs w:val="19"/>
              </w:rPr>
            </w:pPr>
            <w:r w:rsidRPr="006946E0">
              <w:rPr>
                <w:rFonts w:ascii="Optima" w:hAnsi="Optima"/>
                <w:color w:val="FFFFFF" w:themeColor="background1"/>
                <w:sz w:val="19"/>
                <w:szCs w:val="19"/>
              </w:rPr>
              <w:t>Group Supported</w:t>
            </w:r>
            <w:r w:rsidR="00E73BEC">
              <w:rPr>
                <w:rFonts w:ascii="Optima" w:hAnsi="Optima"/>
                <w:color w:val="FFFFFF" w:themeColor="background1"/>
                <w:sz w:val="19"/>
                <w:szCs w:val="19"/>
              </w:rPr>
              <w:br/>
            </w:r>
            <w:r w:rsidRPr="006946E0">
              <w:rPr>
                <w:rFonts w:ascii="Optima" w:hAnsi="Optima"/>
                <w:color w:val="FFFFFF" w:themeColor="background1"/>
                <w:sz w:val="19"/>
                <w:szCs w:val="19"/>
              </w:rPr>
              <w:t>Employment</w:t>
            </w:r>
            <w:r w:rsidR="000C7F7B">
              <w:rPr>
                <w:rFonts w:ascii="Optima" w:hAnsi="Optima"/>
                <w:color w:val="FFFFFF" w:themeColor="background1"/>
                <w:sz w:val="19"/>
                <w:szCs w:val="19"/>
              </w:rPr>
              <w:t xml:space="preserve"> (GSE)</w:t>
            </w:r>
          </w:p>
        </w:tc>
        <w:tc>
          <w:tcPr>
            <w:tcW w:w="2307" w:type="dxa"/>
            <w:tcBorders>
              <w:bottom w:val="none" w:sz="0" w:space="0" w:color="auto"/>
            </w:tcBorders>
            <w:shd w:val="clear" w:color="auto" w:fill="215868" w:themeFill="accent5" w:themeFillShade="80"/>
            <w:vAlign w:val="top"/>
          </w:tcPr>
          <w:p w14:paraId="7C42B1C7" w14:textId="77777777" w:rsidR="003E4A2A" w:rsidRPr="006946E0" w:rsidRDefault="003E4A2A" w:rsidP="000C7F7B">
            <w:pPr>
              <w:spacing w:before="60" w:after="60" w:line="240" w:lineRule="auto"/>
              <w:contextualSpacing w:val="0"/>
              <w:jc w:val="center"/>
              <w:rPr>
                <w:rFonts w:ascii="Optima" w:hAnsi="Optima"/>
                <w:color w:val="FFFFFF" w:themeColor="background1"/>
                <w:sz w:val="19"/>
                <w:szCs w:val="19"/>
              </w:rPr>
            </w:pPr>
            <w:r w:rsidRPr="006946E0">
              <w:rPr>
                <w:rFonts w:ascii="Optima" w:hAnsi="Optima"/>
                <w:color w:val="FFFFFF" w:themeColor="background1"/>
                <w:sz w:val="19"/>
                <w:szCs w:val="19"/>
              </w:rPr>
              <w:t>Individual Supported Employment (</w:t>
            </w:r>
            <w:r w:rsidR="000C7F7B">
              <w:rPr>
                <w:rFonts w:ascii="Optima" w:hAnsi="Optima"/>
                <w:color w:val="FFFFFF" w:themeColor="background1"/>
                <w:sz w:val="19"/>
                <w:szCs w:val="19"/>
              </w:rPr>
              <w:t>ISE</w:t>
            </w:r>
            <w:r w:rsidRPr="006946E0">
              <w:rPr>
                <w:rFonts w:ascii="Optima" w:hAnsi="Optima"/>
                <w:color w:val="FFFFFF" w:themeColor="background1"/>
                <w:sz w:val="19"/>
                <w:szCs w:val="19"/>
              </w:rPr>
              <w:t>)</w:t>
            </w:r>
          </w:p>
        </w:tc>
      </w:tr>
      <w:tr w:rsidR="00AD739D" w:rsidRPr="00FC3DE5" w14:paraId="36BE0922" w14:textId="77777777" w:rsidTr="00AE07EF">
        <w:trPr>
          <w:cnfStyle w:val="000000100000" w:firstRow="0" w:lastRow="0" w:firstColumn="0" w:lastColumn="0" w:oddVBand="0" w:evenVBand="0" w:oddHBand="1" w:evenHBand="0" w:firstRowFirstColumn="0" w:firstRowLastColumn="0" w:lastRowFirstColumn="0" w:lastRowLastColumn="0"/>
          <w:trHeight w:val="568"/>
          <w:jc w:val="center"/>
        </w:trPr>
        <w:tc>
          <w:tcPr>
            <w:tcW w:w="4320" w:type="dxa"/>
            <w:tcBorders>
              <w:bottom w:val="single" w:sz="2" w:space="0" w:color="D9D9D9" w:themeColor="background1" w:themeShade="D9"/>
            </w:tcBorders>
            <w:shd w:val="clear" w:color="auto" w:fill="auto"/>
          </w:tcPr>
          <w:p w14:paraId="3145D87D" w14:textId="77777777" w:rsidR="003E4A2A" w:rsidRPr="00FC3DE5" w:rsidRDefault="003E4A2A" w:rsidP="00D72BA5">
            <w:pPr>
              <w:spacing w:before="60" w:after="60" w:line="240" w:lineRule="auto"/>
              <w:contextualSpacing w:val="0"/>
              <w:rPr>
                <w:rFonts w:ascii="Optima" w:hAnsi="Optima"/>
                <w:b/>
                <w:bCs/>
                <w:sz w:val="19"/>
                <w:szCs w:val="19"/>
              </w:rPr>
            </w:pPr>
            <w:r w:rsidRPr="00FC3DE5">
              <w:rPr>
                <w:rFonts w:ascii="Optima" w:hAnsi="Optima"/>
                <w:b/>
                <w:bCs/>
                <w:sz w:val="19"/>
                <w:szCs w:val="19"/>
              </w:rPr>
              <w:t>Reimbursement Rate Per Hour Worked by the Supported Employee</w:t>
            </w:r>
          </w:p>
        </w:tc>
        <w:tc>
          <w:tcPr>
            <w:tcW w:w="2340" w:type="dxa"/>
            <w:tcBorders>
              <w:bottom w:val="single" w:sz="2" w:space="0" w:color="D9D9D9" w:themeColor="background1" w:themeShade="D9"/>
            </w:tcBorders>
            <w:shd w:val="clear" w:color="auto" w:fill="auto"/>
          </w:tcPr>
          <w:p w14:paraId="5F8EFABE" w14:textId="77777777" w:rsidR="003E4A2A" w:rsidRPr="00FC3DE5" w:rsidRDefault="003E4A2A" w:rsidP="00CA1889">
            <w:pPr>
              <w:spacing w:before="60" w:after="60" w:line="240" w:lineRule="auto"/>
              <w:ind w:right="66"/>
              <w:contextualSpacing w:val="0"/>
              <w:jc w:val="center"/>
              <w:rPr>
                <w:rFonts w:ascii="Optima" w:hAnsi="Optima"/>
                <w:b/>
                <w:bCs/>
                <w:sz w:val="19"/>
                <w:szCs w:val="19"/>
              </w:rPr>
            </w:pPr>
            <w:r w:rsidRPr="00FC3DE5">
              <w:rPr>
                <w:rFonts w:ascii="Optima" w:hAnsi="Optima"/>
                <w:b/>
                <w:bCs/>
                <w:sz w:val="19"/>
                <w:szCs w:val="19"/>
              </w:rPr>
              <w:t>$12.00/hour</w:t>
            </w:r>
          </w:p>
        </w:tc>
        <w:tc>
          <w:tcPr>
            <w:tcW w:w="2307" w:type="dxa"/>
            <w:tcBorders>
              <w:bottom w:val="single" w:sz="2" w:space="0" w:color="D9D9D9" w:themeColor="background1" w:themeShade="D9"/>
            </w:tcBorders>
            <w:shd w:val="clear" w:color="auto" w:fill="auto"/>
          </w:tcPr>
          <w:p w14:paraId="0B3621DE" w14:textId="77777777" w:rsidR="003E4A2A" w:rsidRPr="00FC3DE5" w:rsidRDefault="003E4A2A" w:rsidP="00BB1A40">
            <w:pPr>
              <w:spacing w:before="60" w:after="60" w:line="240" w:lineRule="auto"/>
              <w:contextualSpacing w:val="0"/>
              <w:jc w:val="center"/>
              <w:rPr>
                <w:rFonts w:ascii="Optima" w:hAnsi="Optima"/>
                <w:b/>
                <w:bCs/>
                <w:sz w:val="19"/>
                <w:szCs w:val="19"/>
              </w:rPr>
            </w:pPr>
            <w:r w:rsidRPr="00FC3DE5">
              <w:rPr>
                <w:rFonts w:ascii="Optima" w:hAnsi="Optima"/>
                <w:b/>
                <w:bCs/>
                <w:sz w:val="19"/>
                <w:szCs w:val="19"/>
              </w:rPr>
              <w:t>$17.20/hour</w:t>
            </w:r>
          </w:p>
        </w:tc>
      </w:tr>
      <w:tr w:rsidR="0084762D" w:rsidRPr="00AD739D" w14:paraId="5CC9ED58" w14:textId="77777777" w:rsidTr="00AE07EF">
        <w:trPr>
          <w:cnfStyle w:val="000000010000" w:firstRow="0" w:lastRow="0" w:firstColumn="0" w:lastColumn="0" w:oddVBand="0" w:evenVBand="0" w:oddHBand="0" w:evenHBand="1" w:firstRowFirstColumn="0" w:firstRowLastColumn="0" w:lastRowFirstColumn="0" w:lastRowLastColumn="0"/>
          <w:trHeight w:val="591"/>
          <w:jc w:val="center"/>
        </w:trPr>
        <w:tc>
          <w:tcPr>
            <w:tcW w:w="4320" w:type="dxa"/>
            <w:tcBorders>
              <w:top w:val="single" w:sz="2" w:space="0" w:color="D9D9D9" w:themeColor="background1" w:themeShade="D9"/>
              <w:bottom w:val="single" w:sz="2" w:space="0" w:color="D9D9D9" w:themeColor="background1" w:themeShade="D9"/>
            </w:tcBorders>
          </w:tcPr>
          <w:p w14:paraId="33711BC5" w14:textId="77777777" w:rsidR="003E4A2A" w:rsidRPr="00AD739D" w:rsidRDefault="003E4A2A" w:rsidP="00D72BA5">
            <w:pPr>
              <w:spacing w:before="60" w:after="60" w:line="240" w:lineRule="auto"/>
              <w:contextualSpacing w:val="0"/>
              <w:rPr>
                <w:rFonts w:ascii="Optima" w:hAnsi="Optima"/>
                <w:sz w:val="19"/>
                <w:szCs w:val="19"/>
              </w:rPr>
            </w:pPr>
            <w:r w:rsidRPr="00AD739D">
              <w:rPr>
                <w:rFonts w:ascii="Optima" w:hAnsi="Optima"/>
                <w:sz w:val="19"/>
                <w:szCs w:val="19"/>
              </w:rPr>
              <w:t>Average Staff Support Time as Percentage of Hours Worked</w:t>
            </w:r>
          </w:p>
        </w:tc>
        <w:tc>
          <w:tcPr>
            <w:tcW w:w="2340" w:type="dxa"/>
            <w:tcBorders>
              <w:top w:val="single" w:sz="2" w:space="0" w:color="D9D9D9" w:themeColor="background1" w:themeShade="D9"/>
              <w:bottom w:val="single" w:sz="2" w:space="0" w:color="D9D9D9" w:themeColor="background1" w:themeShade="D9"/>
            </w:tcBorders>
          </w:tcPr>
          <w:p w14:paraId="154313CF" w14:textId="77777777" w:rsidR="003E4A2A" w:rsidRPr="00AC612F" w:rsidRDefault="003E4A2A" w:rsidP="00CA1889">
            <w:pPr>
              <w:spacing w:before="60" w:after="60" w:line="240" w:lineRule="auto"/>
              <w:ind w:right="66"/>
              <w:contextualSpacing w:val="0"/>
              <w:jc w:val="center"/>
              <w:rPr>
                <w:rFonts w:ascii="Optima" w:hAnsi="Optima"/>
                <w:color w:val="C00000"/>
                <w:sz w:val="19"/>
                <w:szCs w:val="19"/>
              </w:rPr>
            </w:pPr>
            <w:r w:rsidRPr="00AC612F">
              <w:rPr>
                <w:rFonts w:ascii="Optima" w:hAnsi="Optima"/>
                <w:color w:val="C00000"/>
                <w:sz w:val="19"/>
                <w:szCs w:val="19"/>
              </w:rPr>
              <w:t>100%</w:t>
            </w:r>
          </w:p>
        </w:tc>
        <w:tc>
          <w:tcPr>
            <w:tcW w:w="2307" w:type="dxa"/>
            <w:tcBorders>
              <w:top w:val="single" w:sz="2" w:space="0" w:color="D9D9D9" w:themeColor="background1" w:themeShade="D9"/>
              <w:bottom w:val="single" w:sz="2" w:space="0" w:color="D9D9D9" w:themeColor="background1" w:themeShade="D9"/>
            </w:tcBorders>
          </w:tcPr>
          <w:p w14:paraId="495BAB5D" w14:textId="77777777" w:rsidR="003E4A2A" w:rsidRPr="00AC612F" w:rsidRDefault="003E4A2A" w:rsidP="00BB1A40">
            <w:pPr>
              <w:spacing w:before="60" w:after="60" w:line="240" w:lineRule="auto"/>
              <w:contextualSpacing w:val="0"/>
              <w:jc w:val="center"/>
              <w:rPr>
                <w:rFonts w:ascii="Optima" w:hAnsi="Optima"/>
                <w:color w:val="C00000"/>
                <w:sz w:val="19"/>
                <w:szCs w:val="19"/>
              </w:rPr>
            </w:pPr>
            <w:r w:rsidRPr="00AC612F">
              <w:rPr>
                <w:rFonts w:ascii="Optima" w:hAnsi="Optima"/>
                <w:color w:val="C00000"/>
                <w:sz w:val="19"/>
                <w:szCs w:val="19"/>
              </w:rPr>
              <w:t>60%</w:t>
            </w:r>
          </w:p>
        </w:tc>
      </w:tr>
      <w:tr w:rsidR="00AD739D" w:rsidRPr="00AD739D" w14:paraId="23589992" w14:textId="77777777" w:rsidTr="008E216E">
        <w:trPr>
          <w:cnfStyle w:val="000000100000" w:firstRow="0" w:lastRow="0" w:firstColumn="0" w:lastColumn="0" w:oddVBand="0" w:evenVBand="0" w:oddHBand="1" w:evenHBand="0" w:firstRowFirstColumn="0" w:firstRowLastColumn="0" w:lastRowFirstColumn="0" w:lastRowLastColumn="0"/>
          <w:jc w:val="center"/>
        </w:trPr>
        <w:tc>
          <w:tcPr>
            <w:tcW w:w="4320" w:type="dxa"/>
            <w:tcBorders>
              <w:top w:val="single" w:sz="2" w:space="0" w:color="D9D9D9" w:themeColor="background1" w:themeShade="D9"/>
            </w:tcBorders>
            <w:shd w:val="clear" w:color="auto" w:fill="DAEEF3" w:themeFill="accent5" w:themeFillTint="33"/>
            <w:vAlign w:val="center"/>
          </w:tcPr>
          <w:p w14:paraId="49A32BA6" w14:textId="77777777" w:rsidR="003E4A2A" w:rsidRPr="00AD739D" w:rsidRDefault="003E4A2A" w:rsidP="00AC612F">
            <w:pPr>
              <w:spacing w:before="60" w:after="60" w:line="240" w:lineRule="auto"/>
              <w:ind w:right="69"/>
              <w:contextualSpacing w:val="0"/>
              <w:jc w:val="right"/>
              <w:rPr>
                <w:rFonts w:ascii="Optima" w:hAnsi="Optima"/>
                <w:sz w:val="19"/>
                <w:szCs w:val="19"/>
              </w:rPr>
            </w:pPr>
            <w:r w:rsidRPr="00AD739D">
              <w:rPr>
                <w:rFonts w:ascii="Optima" w:hAnsi="Optima"/>
                <w:sz w:val="19"/>
                <w:szCs w:val="19"/>
              </w:rPr>
              <w:t>Minimum Staffing Ratio</w:t>
            </w:r>
            <w:r w:rsidR="00AC612F">
              <w:rPr>
                <w:rFonts w:ascii="Optima" w:hAnsi="Optima"/>
                <w:sz w:val="19"/>
                <w:szCs w:val="19"/>
              </w:rPr>
              <w:t xml:space="preserve"> =</w:t>
            </w:r>
          </w:p>
        </w:tc>
        <w:tc>
          <w:tcPr>
            <w:tcW w:w="2340" w:type="dxa"/>
            <w:tcBorders>
              <w:top w:val="single" w:sz="2" w:space="0" w:color="D9D9D9" w:themeColor="background1" w:themeShade="D9"/>
            </w:tcBorders>
            <w:shd w:val="clear" w:color="auto" w:fill="DAEEF3" w:themeFill="accent5" w:themeFillTint="33"/>
            <w:vAlign w:val="center"/>
          </w:tcPr>
          <w:p w14:paraId="13CE619D" w14:textId="77777777" w:rsidR="003E4A2A" w:rsidRPr="00AD739D" w:rsidRDefault="003E4A2A" w:rsidP="00CA1889">
            <w:pPr>
              <w:spacing w:before="60" w:after="60" w:line="240" w:lineRule="auto"/>
              <w:ind w:right="66"/>
              <w:contextualSpacing w:val="0"/>
              <w:jc w:val="center"/>
              <w:rPr>
                <w:rFonts w:ascii="Optima" w:hAnsi="Optima"/>
                <w:sz w:val="19"/>
                <w:szCs w:val="19"/>
              </w:rPr>
            </w:pPr>
            <w:r w:rsidRPr="00AD739D">
              <w:rPr>
                <w:rFonts w:ascii="Optima" w:hAnsi="Optima"/>
                <w:sz w:val="19"/>
                <w:szCs w:val="19"/>
              </w:rPr>
              <w:t>1:8</w:t>
            </w:r>
          </w:p>
        </w:tc>
        <w:tc>
          <w:tcPr>
            <w:tcW w:w="2307" w:type="dxa"/>
            <w:tcBorders>
              <w:top w:val="single" w:sz="2" w:space="0" w:color="D9D9D9" w:themeColor="background1" w:themeShade="D9"/>
            </w:tcBorders>
            <w:shd w:val="clear" w:color="auto" w:fill="DAEEF3" w:themeFill="accent5" w:themeFillTint="33"/>
            <w:vAlign w:val="center"/>
          </w:tcPr>
          <w:p w14:paraId="6F83837F" w14:textId="77777777" w:rsidR="003E4A2A" w:rsidRPr="00AD739D" w:rsidRDefault="003E4A2A" w:rsidP="00BB1A40">
            <w:pPr>
              <w:spacing w:before="60" w:after="60" w:line="240" w:lineRule="auto"/>
              <w:contextualSpacing w:val="0"/>
              <w:jc w:val="center"/>
              <w:rPr>
                <w:rFonts w:ascii="Optima" w:hAnsi="Optima"/>
                <w:sz w:val="19"/>
                <w:szCs w:val="19"/>
              </w:rPr>
            </w:pPr>
            <w:r w:rsidRPr="00AD739D">
              <w:rPr>
                <w:rFonts w:ascii="Optima" w:hAnsi="Optima"/>
                <w:sz w:val="19"/>
                <w:szCs w:val="19"/>
              </w:rPr>
              <w:t>1:1</w:t>
            </w:r>
          </w:p>
        </w:tc>
      </w:tr>
      <w:tr w:rsidR="0084762D" w:rsidRPr="00CB2769" w14:paraId="6A623ECA" w14:textId="77777777" w:rsidTr="008E216E">
        <w:trPr>
          <w:cnfStyle w:val="000000010000" w:firstRow="0" w:lastRow="0" w:firstColumn="0" w:lastColumn="0" w:oddVBand="0" w:evenVBand="0" w:oddHBand="0" w:evenHBand="1" w:firstRowFirstColumn="0" w:firstRowLastColumn="0" w:lastRowFirstColumn="0" w:lastRowLastColumn="0"/>
          <w:jc w:val="center"/>
        </w:trPr>
        <w:tc>
          <w:tcPr>
            <w:tcW w:w="4320" w:type="dxa"/>
            <w:tcBorders>
              <w:bottom w:val="single" w:sz="2" w:space="0" w:color="92CDDC" w:themeColor="accent5" w:themeTint="99"/>
            </w:tcBorders>
          </w:tcPr>
          <w:p w14:paraId="19084863" w14:textId="77777777" w:rsidR="003E4A2A" w:rsidRPr="00CB2769" w:rsidRDefault="003E4A2A" w:rsidP="00D72BA5">
            <w:pPr>
              <w:spacing w:before="60" w:after="60" w:line="240" w:lineRule="auto"/>
              <w:contextualSpacing w:val="0"/>
              <w:rPr>
                <w:rFonts w:ascii="Optima" w:hAnsi="Optima"/>
                <w:b/>
                <w:bCs/>
                <w:sz w:val="19"/>
                <w:szCs w:val="19"/>
              </w:rPr>
            </w:pPr>
            <w:r w:rsidRPr="00CB2769">
              <w:rPr>
                <w:rFonts w:ascii="Optima" w:hAnsi="Optima"/>
                <w:b/>
                <w:bCs/>
                <w:sz w:val="19"/>
                <w:szCs w:val="19"/>
              </w:rPr>
              <w:t>Estimated Cost Per Staff Hour (all costs)</w:t>
            </w:r>
          </w:p>
        </w:tc>
        <w:tc>
          <w:tcPr>
            <w:tcW w:w="2340" w:type="dxa"/>
            <w:tcBorders>
              <w:bottom w:val="single" w:sz="2" w:space="0" w:color="92CDDC" w:themeColor="accent5" w:themeTint="99"/>
            </w:tcBorders>
          </w:tcPr>
          <w:p w14:paraId="6DCDC957" w14:textId="77777777" w:rsidR="003E4A2A" w:rsidRPr="00CB2769" w:rsidRDefault="003E4A2A" w:rsidP="00CA1889">
            <w:pPr>
              <w:spacing w:before="60" w:after="60" w:line="240" w:lineRule="auto"/>
              <w:ind w:right="66"/>
              <w:contextualSpacing w:val="0"/>
              <w:jc w:val="center"/>
              <w:rPr>
                <w:rFonts w:ascii="Optima" w:hAnsi="Optima"/>
                <w:b/>
                <w:bCs/>
                <w:sz w:val="19"/>
                <w:szCs w:val="19"/>
              </w:rPr>
            </w:pPr>
            <w:r w:rsidRPr="00CB2769">
              <w:rPr>
                <w:rFonts w:ascii="Optima" w:hAnsi="Optima"/>
                <w:b/>
                <w:bCs/>
                <w:sz w:val="19"/>
                <w:szCs w:val="19"/>
              </w:rPr>
              <w:t>$30.00</w:t>
            </w:r>
          </w:p>
        </w:tc>
        <w:tc>
          <w:tcPr>
            <w:tcW w:w="2307" w:type="dxa"/>
            <w:tcBorders>
              <w:bottom w:val="single" w:sz="2" w:space="0" w:color="92CDDC" w:themeColor="accent5" w:themeTint="99"/>
            </w:tcBorders>
          </w:tcPr>
          <w:p w14:paraId="0AB20479" w14:textId="77777777" w:rsidR="003E4A2A" w:rsidRPr="00CB2769" w:rsidRDefault="003E4A2A" w:rsidP="00BB1A40">
            <w:pPr>
              <w:spacing w:before="60" w:after="60" w:line="240" w:lineRule="auto"/>
              <w:contextualSpacing w:val="0"/>
              <w:jc w:val="center"/>
              <w:rPr>
                <w:rFonts w:ascii="Optima" w:hAnsi="Optima"/>
                <w:b/>
                <w:bCs/>
                <w:sz w:val="19"/>
                <w:szCs w:val="19"/>
              </w:rPr>
            </w:pPr>
            <w:r w:rsidRPr="00CB2769">
              <w:rPr>
                <w:rFonts w:ascii="Optima" w:hAnsi="Optima"/>
                <w:b/>
                <w:bCs/>
                <w:sz w:val="19"/>
                <w:szCs w:val="19"/>
              </w:rPr>
              <w:t>$28.66</w:t>
            </w:r>
          </w:p>
        </w:tc>
      </w:tr>
      <w:tr w:rsidR="0006363F" w:rsidRPr="00AD739D" w14:paraId="264674EC" w14:textId="77777777" w:rsidTr="008E216E">
        <w:trPr>
          <w:cnfStyle w:val="000000100000" w:firstRow="0" w:lastRow="0" w:firstColumn="0" w:lastColumn="0" w:oddVBand="0" w:evenVBand="0" w:oddHBand="1" w:evenHBand="0" w:firstRowFirstColumn="0" w:firstRowLastColumn="0" w:lastRowFirstColumn="0" w:lastRowLastColumn="0"/>
          <w:jc w:val="center"/>
        </w:trPr>
        <w:tc>
          <w:tcPr>
            <w:tcW w:w="4320" w:type="dxa"/>
            <w:tcBorders>
              <w:top w:val="single" w:sz="2" w:space="0" w:color="92CDDC" w:themeColor="accent5" w:themeTint="99"/>
            </w:tcBorders>
            <w:shd w:val="clear" w:color="auto" w:fill="auto"/>
          </w:tcPr>
          <w:p w14:paraId="560FCB5C" w14:textId="77777777" w:rsidR="003E4A2A" w:rsidRPr="00AD739D" w:rsidRDefault="003E4A2A" w:rsidP="00D72BA5">
            <w:pPr>
              <w:spacing w:before="60" w:after="60" w:line="240" w:lineRule="auto"/>
              <w:contextualSpacing w:val="0"/>
              <w:rPr>
                <w:rFonts w:ascii="Optima" w:hAnsi="Optima"/>
                <w:sz w:val="19"/>
                <w:szCs w:val="19"/>
              </w:rPr>
            </w:pPr>
            <w:r w:rsidRPr="00AD739D">
              <w:rPr>
                <w:rFonts w:ascii="Optima" w:hAnsi="Optima"/>
                <w:sz w:val="19"/>
                <w:szCs w:val="19"/>
              </w:rPr>
              <w:t>Total Billable Per Staff Hour (1:8 GSE; 1:1 ISE)</w:t>
            </w:r>
          </w:p>
        </w:tc>
        <w:tc>
          <w:tcPr>
            <w:tcW w:w="2340" w:type="dxa"/>
            <w:tcBorders>
              <w:top w:val="single" w:sz="2" w:space="0" w:color="92CDDC" w:themeColor="accent5" w:themeTint="99"/>
            </w:tcBorders>
            <w:shd w:val="clear" w:color="auto" w:fill="auto"/>
          </w:tcPr>
          <w:p w14:paraId="36F96B8E" w14:textId="77777777" w:rsidR="003E4A2A" w:rsidRPr="00AD739D" w:rsidRDefault="003E4A2A" w:rsidP="00CA1889">
            <w:pPr>
              <w:spacing w:before="60" w:after="60" w:line="240" w:lineRule="auto"/>
              <w:ind w:right="66"/>
              <w:contextualSpacing w:val="0"/>
              <w:jc w:val="center"/>
              <w:rPr>
                <w:rFonts w:ascii="Optima" w:hAnsi="Optima"/>
                <w:sz w:val="19"/>
                <w:szCs w:val="19"/>
              </w:rPr>
            </w:pPr>
            <w:r w:rsidRPr="00AD739D">
              <w:rPr>
                <w:rFonts w:ascii="Optima" w:hAnsi="Optima"/>
                <w:sz w:val="19"/>
                <w:szCs w:val="19"/>
              </w:rPr>
              <w:t>$96.00</w:t>
            </w:r>
          </w:p>
        </w:tc>
        <w:tc>
          <w:tcPr>
            <w:tcW w:w="2307" w:type="dxa"/>
            <w:tcBorders>
              <w:top w:val="single" w:sz="2" w:space="0" w:color="92CDDC" w:themeColor="accent5" w:themeTint="99"/>
            </w:tcBorders>
            <w:shd w:val="clear" w:color="auto" w:fill="auto"/>
          </w:tcPr>
          <w:p w14:paraId="199FE5FA" w14:textId="77777777" w:rsidR="003E4A2A" w:rsidRPr="00AD739D" w:rsidRDefault="003E4A2A" w:rsidP="00BB1A40">
            <w:pPr>
              <w:spacing w:before="60" w:after="60" w:line="240" w:lineRule="auto"/>
              <w:contextualSpacing w:val="0"/>
              <w:jc w:val="center"/>
              <w:rPr>
                <w:rFonts w:ascii="Optima" w:hAnsi="Optima"/>
                <w:sz w:val="19"/>
                <w:szCs w:val="19"/>
              </w:rPr>
            </w:pPr>
            <w:r w:rsidRPr="00AD739D">
              <w:rPr>
                <w:rFonts w:ascii="Optima" w:hAnsi="Optima"/>
                <w:sz w:val="19"/>
                <w:szCs w:val="19"/>
              </w:rPr>
              <w:t>$28.66</w:t>
            </w:r>
          </w:p>
        </w:tc>
      </w:tr>
      <w:tr w:rsidR="0006363F" w:rsidRPr="00FC3DE5" w14:paraId="38E303D0" w14:textId="77777777" w:rsidTr="008E216E">
        <w:trPr>
          <w:cnfStyle w:val="000000010000" w:firstRow="0" w:lastRow="0" w:firstColumn="0" w:lastColumn="0" w:oddVBand="0" w:evenVBand="0" w:oddHBand="0" w:evenHBand="1" w:firstRowFirstColumn="0" w:firstRowLastColumn="0" w:lastRowFirstColumn="0" w:lastRowLastColumn="0"/>
          <w:jc w:val="center"/>
        </w:trPr>
        <w:tc>
          <w:tcPr>
            <w:tcW w:w="4320" w:type="dxa"/>
            <w:tcBorders>
              <w:bottom w:val="single" w:sz="2" w:space="0" w:color="92CDDC" w:themeColor="accent5" w:themeTint="99"/>
            </w:tcBorders>
            <w:shd w:val="clear" w:color="auto" w:fill="auto"/>
          </w:tcPr>
          <w:p w14:paraId="7800580C" w14:textId="77777777" w:rsidR="003E4A2A" w:rsidRPr="00FC3DE5" w:rsidRDefault="003E4A2A" w:rsidP="00AC612F">
            <w:pPr>
              <w:spacing w:before="60" w:after="60" w:line="240" w:lineRule="auto"/>
              <w:contextualSpacing w:val="0"/>
              <w:jc w:val="center"/>
              <w:rPr>
                <w:rFonts w:ascii="Optima" w:hAnsi="Optima"/>
                <w:b/>
                <w:bCs/>
                <w:sz w:val="19"/>
                <w:szCs w:val="19"/>
              </w:rPr>
            </w:pPr>
            <w:r w:rsidRPr="00FC3DE5">
              <w:rPr>
                <w:rFonts w:ascii="Optima" w:hAnsi="Optima"/>
                <w:b/>
                <w:bCs/>
                <w:sz w:val="19"/>
                <w:szCs w:val="19"/>
              </w:rPr>
              <w:t>Net Income Per Staff Hour (1:8 GSE; 1:1 ISE)</w:t>
            </w:r>
          </w:p>
        </w:tc>
        <w:tc>
          <w:tcPr>
            <w:tcW w:w="2340" w:type="dxa"/>
            <w:tcBorders>
              <w:bottom w:val="single" w:sz="2" w:space="0" w:color="92CDDC" w:themeColor="accent5" w:themeTint="99"/>
            </w:tcBorders>
            <w:shd w:val="clear" w:color="auto" w:fill="auto"/>
          </w:tcPr>
          <w:p w14:paraId="403ECE27" w14:textId="77777777" w:rsidR="003E4A2A" w:rsidRPr="00FC3DE5" w:rsidRDefault="003E4A2A" w:rsidP="00CA1889">
            <w:pPr>
              <w:spacing w:before="60" w:after="60" w:line="240" w:lineRule="auto"/>
              <w:ind w:right="66"/>
              <w:contextualSpacing w:val="0"/>
              <w:jc w:val="center"/>
              <w:rPr>
                <w:rFonts w:ascii="Optima" w:hAnsi="Optima"/>
                <w:b/>
                <w:bCs/>
                <w:sz w:val="19"/>
                <w:szCs w:val="19"/>
              </w:rPr>
            </w:pPr>
            <w:r w:rsidRPr="00FC3DE5">
              <w:rPr>
                <w:rFonts w:ascii="Optima" w:hAnsi="Optima"/>
                <w:b/>
                <w:bCs/>
                <w:sz w:val="19"/>
                <w:szCs w:val="19"/>
              </w:rPr>
              <w:t>$66.00</w:t>
            </w:r>
          </w:p>
        </w:tc>
        <w:tc>
          <w:tcPr>
            <w:tcW w:w="2307" w:type="dxa"/>
            <w:tcBorders>
              <w:bottom w:val="single" w:sz="2" w:space="0" w:color="92CDDC" w:themeColor="accent5" w:themeTint="99"/>
            </w:tcBorders>
            <w:shd w:val="clear" w:color="auto" w:fill="auto"/>
          </w:tcPr>
          <w:p w14:paraId="44778981" w14:textId="77777777" w:rsidR="003E4A2A" w:rsidRPr="00FC3DE5" w:rsidRDefault="003E4A2A" w:rsidP="00BB1A40">
            <w:pPr>
              <w:spacing w:before="60" w:after="60" w:line="240" w:lineRule="auto"/>
              <w:contextualSpacing w:val="0"/>
              <w:jc w:val="center"/>
              <w:rPr>
                <w:rFonts w:ascii="Optima" w:hAnsi="Optima"/>
                <w:b/>
                <w:bCs/>
                <w:sz w:val="19"/>
                <w:szCs w:val="19"/>
              </w:rPr>
            </w:pPr>
            <w:r w:rsidRPr="00FC3DE5">
              <w:rPr>
                <w:rFonts w:ascii="Optima" w:hAnsi="Optima"/>
                <w:b/>
                <w:bCs/>
                <w:sz w:val="19"/>
                <w:szCs w:val="19"/>
              </w:rPr>
              <w:t>$0.00</w:t>
            </w:r>
          </w:p>
        </w:tc>
      </w:tr>
      <w:tr w:rsidR="00AD739D" w:rsidRPr="00AD739D" w14:paraId="233F90FD" w14:textId="77777777" w:rsidTr="008E216E">
        <w:trPr>
          <w:cnfStyle w:val="000000100000" w:firstRow="0" w:lastRow="0" w:firstColumn="0" w:lastColumn="0" w:oddVBand="0" w:evenVBand="0" w:oddHBand="1" w:evenHBand="0" w:firstRowFirstColumn="0" w:firstRowLastColumn="0" w:lastRowFirstColumn="0" w:lastRowLastColumn="0"/>
          <w:jc w:val="center"/>
        </w:trPr>
        <w:tc>
          <w:tcPr>
            <w:tcW w:w="4320" w:type="dxa"/>
            <w:tcBorders>
              <w:top w:val="single" w:sz="2" w:space="0" w:color="92CDDC" w:themeColor="accent5" w:themeTint="99"/>
            </w:tcBorders>
            <w:shd w:val="clear" w:color="auto" w:fill="auto"/>
          </w:tcPr>
          <w:p w14:paraId="78161641" w14:textId="77777777" w:rsidR="003E4A2A" w:rsidRPr="00AD739D" w:rsidRDefault="003E4A2A" w:rsidP="00D72BA5">
            <w:pPr>
              <w:spacing w:before="60" w:after="60" w:line="240" w:lineRule="auto"/>
              <w:contextualSpacing w:val="0"/>
              <w:rPr>
                <w:rFonts w:ascii="Optima" w:hAnsi="Optima"/>
                <w:sz w:val="19"/>
                <w:szCs w:val="19"/>
              </w:rPr>
            </w:pPr>
            <w:r w:rsidRPr="00AD739D">
              <w:rPr>
                <w:rFonts w:ascii="Optima" w:hAnsi="Optima"/>
                <w:sz w:val="19"/>
                <w:szCs w:val="19"/>
              </w:rPr>
              <w:t>Total Billable Per Staff Hour (1:6 GSE; 1:1 ISE)</w:t>
            </w:r>
          </w:p>
        </w:tc>
        <w:tc>
          <w:tcPr>
            <w:tcW w:w="2340" w:type="dxa"/>
            <w:tcBorders>
              <w:top w:val="single" w:sz="2" w:space="0" w:color="92CDDC" w:themeColor="accent5" w:themeTint="99"/>
            </w:tcBorders>
            <w:shd w:val="clear" w:color="auto" w:fill="auto"/>
          </w:tcPr>
          <w:p w14:paraId="0260B7B3" w14:textId="77777777" w:rsidR="003E4A2A" w:rsidRPr="00AD739D" w:rsidRDefault="003E4A2A" w:rsidP="00CA1889">
            <w:pPr>
              <w:spacing w:before="60" w:after="60" w:line="240" w:lineRule="auto"/>
              <w:ind w:right="66"/>
              <w:contextualSpacing w:val="0"/>
              <w:jc w:val="center"/>
              <w:rPr>
                <w:rFonts w:ascii="Optima" w:hAnsi="Optima"/>
                <w:sz w:val="19"/>
                <w:szCs w:val="19"/>
              </w:rPr>
            </w:pPr>
            <w:r w:rsidRPr="00AD739D">
              <w:rPr>
                <w:rFonts w:ascii="Optima" w:hAnsi="Optima"/>
                <w:sz w:val="19"/>
                <w:szCs w:val="19"/>
              </w:rPr>
              <w:t>$72.00</w:t>
            </w:r>
          </w:p>
        </w:tc>
        <w:tc>
          <w:tcPr>
            <w:tcW w:w="2307" w:type="dxa"/>
            <w:tcBorders>
              <w:top w:val="single" w:sz="2" w:space="0" w:color="92CDDC" w:themeColor="accent5" w:themeTint="99"/>
            </w:tcBorders>
            <w:shd w:val="clear" w:color="auto" w:fill="auto"/>
          </w:tcPr>
          <w:p w14:paraId="5373F9B6" w14:textId="77777777" w:rsidR="003E4A2A" w:rsidRPr="00AD739D" w:rsidRDefault="003E4A2A" w:rsidP="00BB1A40">
            <w:pPr>
              <w:spacing w:before="60" w:after="60" w:line="240" w:lineRule="auto"/>
              <w:contextualSpacing w:val="0"/>
              <w:jc w:val="center"/>
              <w:rPr>
                <w:rFonts w:ascii="Optima" w:hAnsi="Optima"/>
                <w:sz w:val="19"/>
                <w:szCs w:val="19"/>
              </w:rPr>
            </w:pPr>
            <w:r w:rsidRPr="00AD739D">
              <w:rPr>
                <w:rFonts w:ascii="Optima" w:hAnsi="Optima"/>
                <w:sz w:val="19"/>
                <w:szCs w:val="19"/>
              </w:rPr>
              <w:t>$28.66</w:t>
            </w:r>
          </w:p>
        </w:tc>
      </w:tr>
      <w:tr w:rsidR="0084762D" w:rsidRPr="00FC3DE5" w14:paraId="22831569" w14:textId="77777777" w:rsidTr="008E216E">
        <w:trPr>
          <w:cnfStyle w:val="000000010000" w:firstRow="0" w:lastRow="0" w:firstColumn="0" w:lastColumn="0" w:oddVBand="0" w:evenVBand="0" w:oddHBand="0" w:evenHBand="1" w:firstRowFirstColumn="0" w:firstRowLastColumn="0" w:lastRowFirstColumn="0" w:lastRowLastColumn="0"/>
          <w:jc w:val="center"/>
        </w:trPr>
        <w:tc>
          <w:tcPr>
            <w:tcW w:w="4320" w:type="dxa"/>
            <w:tcBorders>
              <w:bottom w:val="single" w:sz="2" w:space="0" w:color="92CDDC" w:themeColor="accent5" w:themeTint="99"/>
            </w:tcBorders>
            <w:shd w:val="clear" w:color="auto" w:fill="auto"/>
          </w:tcPr>
          <w:p w14:paraId="58AA0A88" w14:textId="77777777" w:rsidR="003E4A2A" w:rsidRPr="00FC3DE5" w:rsidRDefault="003E4A2A" w:rsidP="00AC612F">
            <w:pPr>
              <w:spacing w:before="60" w:after="60" w:line="240" w:lineRule="auto"/>
              <w:contextualSpacing w:val="0"/>
              <w:jc w:val="center"/>
              <w:rPr>
                <w:rFonts w:ascii="Optima" w:hAnsi="Optima"/>
                <w:b/>
                <w:bCs/>
                <w:sz w:val="19"/>
                <w:szCs w:val="19"/>
              </w:rPr>
            </w:pPr>
            <w:r w:rsidRPr="00FC3DE5">
              <w:rPr>
                <w:rFonts w:ascii="Optima" w:hAnsi="Optima"/>
                <w:b/>
                <w:bCs/>
                <w:sz w:val="19"/>
                <w:szCs w:val="19"/>
              </w:rPr>
              <w:t>Net Income Per Staff Hour (1:6 GSE; 1:1 ISE)</w:t>
            </w:r>
          </w:p>
        </w:tc>
        <w:tc>
          <w:tcPr>
            <w:tcW w:w="2340" w:type="dxa"/>
            <w:tcBorders>
              <w:bottom w:val="single" w:sz="2" w:space="0" w:color="92CDDC" w:themeColor="accent5" w:themeTint="99"/>
            </w:tcBorders>
            <w:shd w:val="clear" w:color="auto" w:fill="auto"/>
          </w:tcPr>
          <w:p w14:paraId="0E62EE55" w14:textId="77777777" w:rsidR="003E4A2A" w:rsidRPr="00FC3DE5" w:rsidRDefault="003E4A2A" w:rsidP="00CA1889">
            <w:pPr>
              <w:spacing w:before="60" w:after="60" w:line="240" w:lineRule="auto"/>
              <w:ind w:right="66"/>
              <w:contextualSpacing w:val="0"/>
              <w:jc w:val="center"/>
              <w:rPr>
                <w:rFonts w:ascii="Optima" w:hAnsi="Optima"/>
                <w:b/>
                <w:bCs/>
                <w:sz w:val="19"/>
                <w:szCs w:val="19"/>
              </w:rPr>
            </w:pPr>
            <w:r w:rsidRPr="00FC3DE5">
              <w:rPr>
                <w:rFonts w:ascii="Optima" w:hAnsi="Optima"/>
                <w:b/>
                <w:bCs/>
                <w:sz w:val="19"/>
                <w:szCs w:val="19"/>
              </w:rPr>
              <w:t>$32.00</w:t>
            </w:r>
          </w:p>
        </w:tc>
        <w:tc>
          <w:tcPr>
            <w:tcW w:w="2307" w:type="dxa"/>
            <w:tcBorders>
              <w:bottom w:val="single" w:sz="2" w:space="0" w:color="92CDDC" w:themeColor="accent5" w:themeTint="99"/>
            </w:tcBorders>
            <w:shd w:val="clear" w:color="auto" w:fill="auto"/>
          </w:tcPr>
          <w:p w14:paraId="045DEE14" w14:textId="77777777" w:rsidR="003E4A2A" w:rsidRPr="00FC3DE5" w:rsidRDefault="003E4A2A" w:rsidP="00BB1A40">
            <w:pPr>
              <w:spacing w:before="60" w:after="60" w:line="240" w:lineRule="auto"/>
              <w:contextualSpacing w:val="0"/>
              <w:jc w:val="center"/>
              <w:rPr>
                <w:rFonts w:ascii="Optima" w:hAnsi="Optima"/>
                <w:b/>
                <w:bCs/>
                <w:sz w:val="19"/>
                <w:szCs w:val="19"/>
              </w:rPr>
            </w:pPr>
            <w:r w:rsidRPr="00FC3DE5">
              <w:rPr>
                <w:rFonts w:ascii="Optima" w:hAnsi="Optima"/>
                <w:b/>
                <w:bCs/>
                <w:sz w:val="19"/>
                <w:szCs w:val="19"/>
              </w:rPr>
              <w:t>$0.00</w:t>
            </w:r>
          </w:p>
        </w:tc>
      </w:tr>
      <w:tr w:rsidR="0006363F" w:rsidRPr="00AD739D" w14:paraId="2B73F69E" w14:textId="77777777" w:rsidTr="008E216E">
        <w:trPr>
          <w:cnfStyle w:val="000000100000" w:firstRow="0" w:lastRow="0" w:firstColumn="0" w:lastColumn="0" w:oddVBand="0" w:evenVBand="0" w:oddHBand="1" w:evenHBand="0" w:firstRowFirstColumn="0" w:firstRowLastColumn="0" w:lastRowFirstColumn="0" w:lastRowLastColumn="0"/>
          <w:jc w:val="center"/>
        </w:trPr>
        <w:tc>
          <w:tcPr>
            <w:tcW w:w="4320" w:type="dxa"/>
            <w:tcBorders>
              <w:top w:val="single" w:sz="2" w:space="0" w:color="92CDDC" w:themeColor="accent5" w:themeTint="99"/>
            </w:tcBorders>
            <w:shd w:val="clear" w:color="auto" w:fill="auto"/>
          </w:tcPr>
          <w:p w14:paraId="19D93410" w14:textId="77777777" w:rsidR="003E4A2A" w:rsidRPr="00AD739D" w:rsidRDefault="003E4A2A" w:rsidP="00D72BA5">
            <w:pPr>
              <w:spacing w:before="60" w:after="60" w:line="240" w:lineRule="auto"/>
              <w:contextualSpacing w:val="0"/>
              <w:rPr>
                <w:rFonts w:ascii="Optima" w:hAnsi="Optima"/>
                <w:sz w:val="19"/>
                <w:szCs w:val="19"/>
              </w:rPr>
            </w:pPr>
            <w:r w:rsidRPr="00AD739D">
              <w:rPr>
                <w:rFonts w:ascii="Optima" w:hAnsi="Optima"/>
                <w:sz w:val="19"/>
                <w:szCs w:val="19"/>
              </w:rPr>
              <w:t>Total Billable Per Staff Hour (1:4 GSE; 1:1 ISE)</w:t>
            </w:r>
          </w:p>
        </w:tc>
        <w:tc>
          <w:tcPr>
            <w:tcW w:w="2340" w:type="dxa"/>
            <w:tcBorders>
              <w:top w:val="single" w:sz="2" w:space="0" w:color="92CDDC" w:themeColor="accent5" w:themeTint="99"/>
            </w:tcBorders>
            <w:shd w:val="clear" w:color="auto" w:fill="auto"/>
          </w:tcPr>
          <w:p w14:paraId="3CAF1843" w14:textId="77777777" w:rsidR="003E4A2A" w:rsidRPr="00AD739D" w:rsidRDefault="003E4A2A" w:rsidP="00CA1889">
            <w:pPr>
              <w:spacing w:before="60" w:after="60" w:line="240" w:lineRule="auto"/>
              <w:ind w:right="66"/>
              <w:contextualSpacing w:val="0"/>
              <w:jc w:val="center"/>
              <w:rPr>
                <w:rFonts w:ascii="Optima" w:hAnsi="Optima"/>
                <w:sz w:val="19"/>
                <w:szCs w:val="19"/>
              </w:rPr>
            </w:pPr>
            <w:r w:rsidRPr="00AD739D">
              <w:rPr>
                <w:rFonts w:ascii="Optima" w:hAnsi="Optima"/>
                <w:sz w:val="19"/>
                <w:szCs w:val="19"/>
              </w:rPr>
              <w:t>$48.00</w:t>
            </w:r>
          </w:p>
        </w:tc>
        <w:tc>
          <w:tcPr>
            <w:tcW w:w="2307" w:type="dxa"/>
            <w:tcBorders>
              <w:top w:val="single" w:sz="2" w:space="0" w:color="92CDDC" w:themeColor="accent5" w:themeTint="99"/>
            </w:tcBorders>
            <w:shd w:val="clear" w:color="auto" w:fill="auto"/>
          </w:tcPr>
          <w:p w14:paraId="2442A300" w14:textId="77777777" w:rsidR="003E4A2A" w:rsidRPr="00AD739D" w:rsidRDefault="003E4A2A" w:rsidP="00BB1A40">
            <w:pPr>
              <w:spacing w:before="60" w:after="60" w:line="240" w:lineRule="auto"/>
              <w:contextualSpacing w:val="0"/>
              <w:jc w:val="center"/>
              <w:rPr>
                <w:rFonts w:ascii="Optima" w:hAnsi="Optima"/>
                <w:sz w:val="19"/>
                <w:szCs w:val="19"/>
              </w:rPr>
            </w:pPr>
            <w:r w:rsidRPr="00AD739D">
              <w:rPr>
                <w:rFonts w:ascii="Optima" w:hAnsi="Optima"/>
                <w:sz w:val="19"/>
                <w:szCs w:val="19"/>
              </w:rPr>
              <w:t>$28.66</w:t>
            </w:r>
          </w:p>
        </w:tc>
      </w:tr>
      <w:tr w:rsidR="0006363F" w:rsidRPr="00AD739D" w14:paraId="6B561C13" w14:textId="77777777" w:rsidTr="008E216E">
        <w:trPr>
          <w:cnfStyle w:val="000000010000" w:firstRow="0" w:lastRow="0" w:firstColumn="0" w:lastColumn="0" w:oddVBand="0" w:evenVBand="0" w:oddHBand="0" w:evenHBand="1" w:firstRowFirstColumn="0" w:firstRowLastColumn="0" w:lastRowFirstColumn="0" w:lastRowLastColumn="0"/>
          <w:jc w:val="center"/>
        </w:trPr>
        <w:tc>
          <w:tcPr>
            <w:tcW w:w="4320" w:type="dxa"/>
            <w:tcBorders>
              <w:bottom w:val="single" w:sz="2" w:space="0" w:color="92CDDC" w:themeColor="accent5" w:themeTint="99"/>
            </w:tcBorders>
            <w:shd w:val="clear" w:color="auto" w:fill="auto"/>
          </w:tcPr>
          <w:p w14:paraId="1AC8C70B" w14:textId="77777777" w:rsidR="003E4A2A" w:rsidRPr="00AC612F" w:rsidRDefault="003E4A2A" w:rsidP="00AC612F">
            <w:pPr>
              <w:spacing w:before="60" w:after="60" w:line="240" w:lineRule="auto"/>
              <w:contextualSpacing w:val="0"/>
              <w:jc w:val="center"/>
              <w:rPr>
                <w:rFonts w:ascii="Optima" w:hAnsi="Optima"/>
                <w:b/>
                <w:bCs/>
                <w:sz w:val="19"/>
                <w:szCs w:val="19"/>
              </w:rPr>
            </w:pPr>
            <w:r w:rsidRPr="00AC612F">
              <w:rPr>
                <w:rFonts w:ascii="Optima" w:hAnsi="Optima"/>
                <w:b/>
                <w:bCs/>
                <w:sz w:val="19"/>
                <w:szCs w:val="19"/>
              </w:rPr>
              <w:t>Net Income Per Staff Hour (1:4 GSE; 1:1 ISE)</w:t>
            </w:r>
          </w:p>
        </w:tc>
        <w:tc>
          <w:tcPr>
            <w:tcW w:w="2340" w:type="dxa"/>
            <w:tcBorders>
              <w:bottom w:val="single" w:sz="2" w:space="0" w:color="92CDDC" w:themeColor="accent5" w:themeTint="99"/>
            </w:tcBorders>
            <w:shd w:val="clear" w:color="auto" w:fill="auto"/>
          </w:tcPr>
          <w:p w14:paraId="2388BAF4" w14:textId="77777777" w:rsidR="003E4A2A" w:rsidRPr="000C7F7B" w:rsidRDefault="003E4A2A" w:rsidP="00CA1889">
            <w:pPr>
              <w:spacing w:before="60" w:after="60" w:line="240" w:lineRule="auto"/>
              <w:ind w:right="66"/>
              <w:contextualSpacing w:val="0"/>
              <w:jc w:val="center"/>
              <w:rPr>
                <w:rFonts w:ascii="Optima" w:hAnsi="Optima"/>
                <w:b/>
                <w:sz w:val="19"/>
                <w:szCs w:val="19"/>
              </w:rPr>
            </w:pPr>
            <w:r w:rsidRPr="000C7F7B">
              <w:rPr>
                <w:rFonts w:ascii="Optima" w:hAnsi="Optima"/>
                <w:b/>
                <w:sz w:val="19"/>
                <w:szCs w:val="19"/>
              </w:rPr>
              <w:t>$18.00</w:t>
            </w:r>
          </w:p>
        </w:tc>
        <w:tc>
          <w:tcPr>
            <w:tcW w:w="2307" w:type="dxa"/>
            <w:tcBorders>
              <w:bottom w:val="single" w:sz="2" w:space="0" w:color="92CDDC" w:themeColor="accent5" w:themeTint="99"/>
            </w:tcBorders>
            <w:shd w:val="clear" w:color="auto" w:fill="auto"/>
          </w:tcPr>
          <w:p w14:paraId="4F78E0D5" w14:textId="77777777" w:rsidR="003E4A2A" w:rsidRPr="000C7F7B" w:rsidRDefault="003E4A2A" w:rsidP="00BB1A40">
            <w:pPr>
              <w:spacing w:before="60" w:after="60" w:line="240" w:lineRule="auto"/>
              <w:contextualSpacing w:val="0"/>
              <w:jc w:val="center"/>
              <w:rPr>
                <w:rFonts w:ascii="Optima" w:hAnsi="Optima"/>
                <w:b/>
                <w:sz w:val="19"/>
                <w:szCs w:val="19"/>
              </w:rPr>
            </w:pPr>
            <w:r w:rsidRPr="000C7F7B">
              <w:rPr>
                <w:rFonts w:ascii="Optima" w:hAnsi="Optima"/>
                <w:b/>
                <w:sz w:val="19"/>
                <w:szCs w:val="19"/>
              </w:rPr>
              <w:t>$0.00</w:t>
            </w:r>
          </w:p>
        </w:tc>
      </w:tr>
      <w:tr w:rsidR="0006363F" w:rsidRPr="00AD739D" w14:paraId="44FB9666" w14:textId="77777777" w:rsidTr="008E216E">
        <w:trPr>
          <w:cnfStyle w:val="000000100000" w:firstRow="0" w:lastRow="0" w:firstColumn="0" w:lastColumn="0" w:oddVBand="0" w:evenVBand="0" w:oddHBand="1" w:evenHBand="0" w:firstRowFirstColumn="0" w:firstRowLastColumn="0" w:lastRowFirstColumn="0" w:lastRowLastColumn="0"/>
          <w:jc w:val="center"/>
        </w:trPr>
        <w:tc>
          <w:tcPr>
            <w:tcW w:w="4320" w:type="dxa"/>
            <w:tcBorders>
              <w:top w:val="single" w:sz="2" w:space="0" w:color="92CDDC" w:themeColor="accent5" w:themeTint="99"/>
            </w:tcBorders>
            <w:shd w:val="clear" w:color="auto" w:fill="auto"/>
          </w:tcPr>
          <w:p w14:paraId="617FF6CB" w14:textId="77777777" w:rsidR="003E4A2A" w:rsidRPr="00AD739D" w:rsidRDefault="003E4A2A" w:rsidP="00D72BA5">
            <w:pPr>
              <w:spacing w:before="60" w:after="60" w:line="240" w:lineRule="auto"/>
              <w:contextualSpacing w:val="0"/>
              <w:rPr>
                <w:rFonts w:ascii="Optima" w:hAnsi="Optima"/>
                <w:sz w:val="19"/>
                <w:szCs w:val="19"/>
              </w:rPr>
            </w:pPr>
            <w:r w:rsidRPr="00AD739D">
              <w:rPr>
                <w:rFonts w:ascii="Optima" w:hAnsi="Optima"/>
                <w:sz w:val="19"/>
                <w:szCs w:val="19"/>
              </w:rPr>
              <w:t>Total Billable Per Staff Hour (1:3 GSE; 1:1 ISE)</w:t>
            </w:r>
          </w:p>
        </w:tc>
        <w:tc>
          <w:tcPr>
            <w:tcW w:w="2340" w:type="dxa"/>
            <w:tcBorders>
              <w:top w:val="single" w:sz="2" w:space="0" w:color="92CDDC" w:themeColor="accent5" w:themeTint="99"/>
            </w:tcBorders>
            <w:shd w:val="clear" w:color="auto" w:fill="auto"/>
          </w:tcPr>
          <w:p w14:paraId="052BA730" w14:textId="77777777" w:rsidR="003E4A2A" w:rsidRPr="00AD739D" w:rsidRDefault="003E4A2A" w:rsidP="00CA1889">
            <w:pPr>
              <w:spacing w:before="60" w:after="60" w:line="240" w:lineRule="auto"/>
              <w:ind w:right="66"/>
              <w:contextualSpacing w:val="0"/>
              <w:jc w:val="center"/>
              <w:rPr>
                <w:rFonts w:ascii="Optima" w:hAnsi="Optima"/>
                <w:sz w:val="19"/>
                <w:szCs w:val="19"/>
              </w:rPr>
            </w:pPr>
            <w:r w:rsidRPr="00AD739D">
              <w:rPr>
                <w:rFonts w:ascii="Optima" w:hAnsi="Optima"/>
                <w:sz w:val="19"/>
                <w:szCs w:val="19"/>
              </w:rPr>
              <w:t>$36.00</w:t>
            </w:r>
          </w:p>
        </w:tc>
        <w:tc>
          <w:tcPr>
            <w:tcW w:w="2307" w:type="dxa"/>
            <w:tcBorders>
              <w:top w:val="single" w:sz="2" w:space="0" w:color="92CDDC" w:themeColor="accent5" w:themeTint="99"/>
            </w:tcBorders>
            <w:shd w:val="clear" w:color="auto" w:fill="auto"/>
          </w:tcPr>
          <w:p w14:paraId="76B97CF4" w14:textId="77777777" w:rsidR="003E4A2A" w:rsidRPr="00AD739D" w:rsidRDefault="003E4A2A" w:rsidP="00BB1A40">
            <w:pPr>
              <w:spacing w:before="60" w:after="60" w:line="240" w:lineRule="auto"/>
              <w:contextualSpacing w:val="0"/>
              <w:jc w:val="center"/>
              <w:rPr>
                <w:rFonts w:ascii="Optima" w:hAnsi="Optima"/>
                <w:sz w:val="19"/>
                <w:szCs w:val="19"/>
              </w:rPr>
            </w:pPr>
            <w:r w:rsidRPr="00AD739D">
              <w:rPr>
                <w:rFonts w:ascii="Optima" w:hAnsi="Optima"/>
                <w:sz w:val="19"/>
                <w:szCs w:val="19"/>
              </w:rPr>
              <w:t>$28.66</w:t>
            </w:r>
          </w:p>
        </w:tc>
      </w:tr>
      <w:tr w:rsidR="0084762D" w:rsidRPr="00FC3DE5" w14:paraId="3E1E5084" w14:textId="77777777" w:rsidTr="008E216E">
        <w:trPr>
          <w:cnfStyle w:val="000000010000" w:firstRow="0" w:lastRow="0" w:firstColumn="0" w:lastColumn="0" w:oddVBand="0" w:evenVBand="0" w:oddHBand="0" w:evenHBand="1" w:firstRowFirstColumn="0" w:firstRowLastColumn="0" w:lastRowFirstColumn="0" w:lastRowLastColumn="0"/>
          <w:jc w:val="center"/>
        </w:trPr>
        <w:tc>
          <w:tcPr>
            <w:tcW w:w="4320" w:type="dxa"/>
            <w:tcBorders>
              <w:bottom w:val="single" w:sz="2" w:space="0" w:color="92CDDC" w:themeColor="accent5" w:themeTint="99"/>
            </w:tcBorders>
          </w:tcPr>
          <w:p w14:paraId="02C5A757" w14:textId="77777777" w:rsidR="003E4A2A" w:rsidRPr="00FC3DE5" w:rsidRDefault="003E4A2A" w:rsidP="00AC612F">
            <w:pPr>
              <w:spacing w:before="60" w:after="60" w:line="240" w:lineRule="auto"/>
              <w:contextualSpacing w:val="0"/>
              <w:jc w:val="center"/>
              <w:rPr>
                <w:rFonts w:ascii="Optima" w:hAnsi="Optima"/>
                <w:b/>
                <w:bCs/>
                <w:sz w:val="19"/>
                <w:szCs w:val="19"/>
              </w:rPr>
            </w:pPr>
            <w:r w:rsidRPr="00FC3DE5">
              <w:rPr>
                <w:rFonts w:ascii="Optima" w:hAnsi="Optima"/>
                <w:b/>
                <w:bCs/>
                <w:sz w:val="19"/>
                <w:szCs w:val="19"/>
              </w:rPr>
              <w:t>Net Income Per Staff Hour (1:3 GSE; 1:1 ISE)</w:t>
            </w:r>
          </w:p>
        </w:tc>
        <w:tc>
          <w:tcPr>
            <w:tcW w:w="2340" w:type="dxa"/>
            <w:tcBorders>
              <w:bottom w:val="single" w:sz="2" w:space="0" w:color="92CDDC" w:themeColor="accent5" w:themeTint="99"/>
            </w:tcBorders>
          </w:tcPr>
          <w:p w14:paraId="73B177BD" w14:textId="77777777" w:rsidR="003E4A2A" w:rsidRPr="00FC3DE5" w:rsidRDefault="003E4A2A" w:rsidP="00CA1889">
            <w:pPr>
              <w:spacing w:before="60" w:after="60" w:line="240" w:lineRule="auto"/>
              <w:ind w:right="60"/>
              <w:contextualSpacing w:val="0"/>
              <w:jc w:val="center"/>
              <w:rPr>
                <w:rFonts w:ascii="Optima" w:hAnsi="Optima"/>
                <w:b/>
                <w:bCs/>
                <w:sz w:val="19"/>
                <w:szCs w:val="19"/>
              </w:rPr>
            </w:pPr>
            <w:r w:rsidRPr="00FC3DE5">
              <w:rPr>
                <w:rFonts w:ascii="Optima" w:hAnsi="Optima"/>
                <w:b/>
                <w:bCs/>
                <w:sz w:val="19"/>
                <w:szCs w:val="19"/>
              </w:rPr>
              <w:t>$6.00</w:t>
            </w:r>
          </w:p>
        </w:tc>
        <w:tc>
          <w:tcPr>
            <w:tcW w:w="2307" w:type="dxa"/>
            <w:tcBorders>
              <w:bottom w:val="single" w:sz="2" w:space="0" w:color="92CDDC" w:themeColor="accent5" w:themeTint="99"/>
            </w:tcBorders>
          </w:tcPr>
          <w:p w14:paraId="7A4B8445" w14:textId="77777777" w:rsidR="003E4A2A" w:rsidRPr="00FC3DE5" w:rsidRDefault="003E4A2A" w:rsidP="00BB1A40">
            <w:pPr>
              <w:spacing w:before="60" w:after="60" w:line="240" w:lineRule="auto"/>
              <w:contextualSpacing w:val="0"/>
              <w:jc w:val="center"/>
              <w:rPr>
                <w:rFonts w:ascii="Optima" w:hAnsi="Optima"/>
                <w:b/>
                <w:bCs/>
                <w:sz w:val="19"/>
                <w:szCs w:val="19"/>
              </w:rPr>
            </w:pPr>
            <w:r w:rsidRPr="00FC3DE5">
              <w:rPr>
                <w:rFonts w:ascii="Optima" w:hAnsi="Optima"/>
                <w:b/>
                <w:bCs/>
                <w:sz w:val="19"/>
                <w:szCs w:val="19"/>
              </w:rPr>
              <w:t>$0.00</w:t>
            </w:r>
          </w:p>
        </w:tc>
      </w:tr>
    </w:tbl>
    <w:p w14:paraId="2C039EC3" w14:textId="28F2A642" w:rsidR="00A6776C" w:rsidRDefault="00A6776C" w:rsidP="002476FD">
      <w:pPr>
        <w:pStyle w:val="NoSpacing"/>
      </w:pPr>
    </w:p>
    <w:p w14:paraId="7FE0F914" w14:textId="77777777" w:rsidR="00972F68" w:rsidRDefault="00972F68" w:rsidP="002476FD">
      <w:pPr>
        <w:pStyle w:val="NoSpacing"/>
      </w:pPr>
    </w:p>
    <w:p w14:paraId="21EE6B45" w14:textId="77777777" w:rsidR="003E4A2A" w:rsidRPr="00934D06" w:rsidRDefault="003E4A2A" w:rsidP="00B1367E">
      <w:r w:rsidRPr="00934D06">
        <w:t xml:space="preserve">As illustrated in this table, even group </w:t>
      </w:r>
      <w:r w:rsidR="00F655C6">
        <w:t>Supported Employment</w:t>
      </w:r>
      <w:r w:rsidRPr="00934D06">
        <w:t xml:space="preserve"> at a 1:3 ratio yields net income for the provider despite the estimated cost per staff hour being higher for group </w:t>
      </w:r>
      <w:r w:rsidR="00F655C6">
        <w:t>Supported Employment</w:t>
      </w:r>
      <w:r w:rsidRPr="00934D06">
        <w:t>.</w:t>
      </w:r>
    </w:p>
    <w:p w14:paraId="5295F408" w14:textId="0AB50148" w:rsidR="00524F5C" w:rsidRDefault="003E4A2A" w:rsidP="00B1367E">
      <w:r w:rsidRPr="00DC38FE">
        <w:t xml:space="preserve">It may be argued that assuming </w:t>
      </w:r>
      <w:r w:rsidR="00DC38FE">
        <w:t>an</w:t>
      </w:r>
      <w:r w:rsidR="00DC38FE" w:rsidRPr="00DC38FE">
        <w:t xml:space="preserve"> </w:t>
      </w:r>
      <w:r w:rsidRPr="00DC38FE">
        <w:t xml:space="preserve">average of 60% support </w:t>
      </w:r>
      <w:r w:rsidR="00443551">
        <w:t>– as a proportion of hours worked -</w:t>
      </w:r>
      <w:r w:rsidRPr="00DC38FE">
        <w:t xml:space="preserve">for people in </w:t>
      </w:r>
      <w:r w:rsidR="00263C85">
        <w:t>I</w:t>
      </w:r>
      <w:r w:rsidRPr="00DC38FE">
        <w:t>ndividual S</w:t>
      </w:r>
      <w:r w:rsidR="00CE2DA9" w:rsidRPr="00DC38FE">
        <w:t>upported Employment</w:t>
      </w:r>
      <w:r w:rsidRPr="00DC38FE">
        <w:t xml:space="preserve"> (competitive integrated employment) is too high and providers could typically reduce support, thus allowing them to net income from the payment per hour worked</w:t>
      </w:r>
      <w:r w:rsidRPr="00934D06">
        <w:t xml:space="preserve">. </w:t>
      </w:r>
      <w:r w:rsidRPr="00E55C40">
        <w:t>While it is true that if the average coaching level is below 60%</w:t>
      </w:r>
      <w:r w:rsidR="00443551">
        <w:t>,</w:t>
      </w:r>
      <w:r w:rsidRPr="00E55C40">
        <w:t xml:space="preserve"> the provider would net income from the payment model (see table below for illustration), the </w:t>
      </w:r>
      <w:r w:rsidRPr="00C55023">
        <w:rPr>
          <w:i/>
          <w:iCs/>
        </w:rPr>
        <w:t>flat</w:t>
      </w:r>
      <w:r w:rsidRPr="00E55C40">
        <w:t xml:space="preserve"> payment does not take account of the length </w:t>
      </w:r>
      <w:r w:rsidRPr="00E55C40">
        <w:lastRenderedPageBreak/>
        <w:t>of time people have held their jobs</w:t>
      </w:r>
      <w:r w:rsidR="005043F4" w:rsidRPr="00E55C40">
        <w:t>.</w:t>
      </w:r>
      <w:r w:rsidR="005043F4">
        <w:t xml:space="preserve"> </w:t>
      </w:r>
      <w:r w:rsidRPr="00934D06">
        <w:t xml:space="preserve">The flat payment created an inadvertent disincentive to get new people into competitive integrated employment since people typically need higher levels of support when they are new to a job and lower levels of support as they keep their job over time. </w:t>
      </w:r>
      <w:r w:rsidRPr="00B6526E">
        <w:t>The flat payment</w:t>
      </w:r>
      <w:r w:rsidR="00443551">
        <w:t>,</w:t>
      </w:r>
      <w:r w:rsidRPr="00B6526E">
        <w:t xml:space="preserve"> based on </w:t>
      </w:r>
      <w:r w:rsidR="00E615C1" w:rsidRPr="00B6526E">
        <w:t xml:space="preserve">a </w:t>
      </w:r>
      <w:r w:rsidRPr="00B6526E">
        <w:t>60% average</w:t>
      </w:r>
      <w:r w:rsidR="00443551">
        <w:t>,</w:t>
      </w:r>
      <w:r w:rsidRPr="00B6526E">
        <w:t xml:space="preserve"> require</w:t>
      </w:r>
      <w:r w:rsidR="00236212" w:rsidRPr="00B6526E">
        <w:t>s</w:t>
      </w:r>
      <w:r w:rsidRPr="00B6526E">
        <w:t xml:space="preserve"> a provider to accept the</w:t>
      </w:r>
      <w:r w:rsidRPr="00934D06">
        <w:t xml:space="preserve"> possibility of a net loss in the short-term in hopes of seeing a net gain in the longer term. Unfortunately, many providers of service, </w:t>
      </w:r>
      <w:r w:rsidRPr="00E33D7B">
        <w:t>and also funders</w:t>
      </w:r>
      <w:r w:rsidRPr="00934D06">
        <w:t>, are averse to or financially unable to support a higher investment in the near-term in hopes of recouping the initial net loss in the longer term</w:t>
      </w:r>
      <w:r w:rsidR="005043F4">
        <w:t xml:space="preserve">. </w:t>
      </w:r>
    </w:p>
    <w:p w14:paraId="5DBFB910" w14:textId="3C9B4E2B" w:rsidR="00F8388F" w:rsidRDefault="00F8388F">
      <w:pPr>
        <w:spacing w:before="0" w:after="0" w:line="240" w:lineRule="auto"/>
        <w:rPr>
          <w:rFonts w:eastAsia="Times New Roman"/>
        </w:rPr>
      </w:pPr>
    </w:p>
    <w:tbl>
      <w:tblPr>
        <w:tblStyle w:val="EconSysBandedTable"/>
        <w:tblW w:w="0" w:type="auto"/>
        <w:jc w:val="center"/>
        <w:tblInd w:w="0" w:type="dxa"/>
        <w:tblLook w:val="0420" w:firstRow="1" w:lastRow="0" w:firstColumn="0" w:lastColumn="0" w:noHBand="0" w:noVBand="1"/>
      </w:tblPr>
      <w:tblGrid>
        <w:gridCol w:w="3935"/>
        <w:gridCol w:w="2700"/>
        <w:gridCol w:w="2365"/>
      </w:tblGrid>
      <w:tr w:rsidR="00104325" w:rsidRPr="006054E2" w14:paraId="090DD598" w14:textId="77777777" w:rsidTr="00AE07EF">
        <w:trPr>
          <w:cnfStyle w:val="100000000000" w:firstRow="1" w:lastRow="0" w:firstColumn="0" w:lastColumn="0" w:oddVBand="0" w:evenVBand="0" w:oddHBand="0" w:evenHBand="0" w:firstRowFirstColumn="0" w:firstRowLastColumn="0" w:lastRowFirstColumn="0" w:lastRowLastColumn="0"/>
          <w:jc w:val="center"/>
        </w:trPr>
        <w:tc>
          <w:tcPr>
            <w:tcW w:w="3935" w:type="dxa"/>
            <w:shd w:val="clear" w:color="auto" w:fill="215868" w:themeFill="accent5" w:themeFillShade="80"/>
          </w:tcPr>
          <w:p w14:paraId="1F2B72B5" w14:textId="77777777" w:rsidR="003E4A2A" w:rsidRPr="006054E2" w:rsidRDefault="003E4A2A" w:rsidP="00D72BA5">
            <w:pPr>
              <w:spacing w:before="60" w:after="60" w:line="240" w:lineRule="auto"/>
              <w:contextualSpacing w:val="0"/>
              <w:rPr>
                <w:rFonts w:ascii="Optima" w:hAnsi="Optima"/>
                <w:color w:val="FFFFFF" w:themeColor="background1"/>
                <w:sz w:val="19"/>
                <w:szCs w:val="19"/>
              </w:rPr>
            </w:pPr>
          </w:p>
        </w:tc>
        <w:tc>
          <w:tcPr>
            <w:tcW w:w="2700" w:type="dxa"/>
            <w:shd w:val="clear" w:color="auto" w:fill="215868" w:themeFill="accent5" w:themeFillShade="80"/>
          </w:tcPr>
          <w:p w14:paraId="60DC3FB3" w14:textId="77777777" w:rsidR="003E4A2A" w:rsidRPr="006054E2" w:rsidRDefault="003E4A2A" w:rsidP="00D72BA5">
            <w:pPr>
              <w:spacing w:before="60" w:after="60" w:line="240" w:lineRule="auto"/>
              <w:contextualSpacing w:val="0"/>
              <w:jc w:val="center"/>
              <w:rPr>
                <w:rFonts w:ascii="Optima" w:hAnsi="Optima"/>
                <w:b w:val="0"/>
                <w:color w:val="FFFFFF" w:themeColor="background1"/>
                <w:sz w:val="19"/>
                <w:szCs w:val="19"/>
              </w:rPr>
            </w:pPr>
            <w:r w:rsidRPr="006054E2">
              <w:rPr>
                <w:rFonts w:ascii="Optima" w:hAnsi="Optima"/>
                <w:color w:val="FFFFFF" w:themeColor="background1"/>
                <w:sz w:val="19"/>
                <w:szCs w:val="19"/>
              </w:rPr>
              <w:t>Individual Supported Employment</w:t>
            </w:r>
          </w:p>
        </w:tc>
        <w:tc>
          <w:tcPr>
            <w:tcW w:w="2365" w:type="dxa"/>
            <w:shd w:val="clear" w:color="auto" w:fill="215868" w:themeFill="accent5" w:themeFillShade="80"/>
          </w:tcPr>
          <w:p w14:paraId="7C84ADD6" w14:textId="77777777" w:rsidR="003E4A2A" w:rsidRPr="006054E2" w:rsidRDefault="003E4A2A" w:rsidP="00D72BA5">
            <w:pPr>
              <w:spacing w:before="60" w:after="60" w:line="240" w:lineRule="auto"/>
              <w:contextualSpacing w:val="0"/>
              <w:jc w:val="center"/>
              <w:rPr>
                <w:rFonts w:ascii="Optima" w:hAnsi="Optima"/>
                <w:b w:val="0"/>
                <w:color w:val="FFFFFF" w:themeColor="background1"/>
                <w:sz w:val="19"/>
                <w:szCs w:val="19"/>
              </w:rPr>
            </w:pPr>
            <w:r w:rsidRPr="006054E2">
              <w:rPr>
                <w:rFonts w:ascii="Optima" w:hAnsi="Optima"/>
                <w:color w:val="FFFFFF" w:themeColor="background1"/>
                <w:sz w:val="19"/>
                <w:szCs w:val="19"/>
              </w:rPr>
              <w:t xml:space="preserve">Individual Supported Employment </w:t>
            </w:r>
          </w:p>
        </w:tc>
      </w:tr>
      <w:tr w:rsidR="00104325" w:rsidRPr="009F6826" w14:paraId="4B071853" w14:textId="77777777" w:rsidTr="00AE07EF">
        <w:trPr>
          <w:cnfStyle w:val="000000100000" w:firstRow="0" w:lastRow="0" w:firstColumn="0" w:lastColumn="0" w:oddVBand="0" w:evenVBand="0" w:oddHBand="1" w:evenHBand="0" w:firstRowFirstColumn="0" w:firstRowLastColumn="0" w:lastRowFirstColumn="0" w:lastRowLastColumn="0"/>
          <w:jc w:val="center"/>
        </w:trPr>
        <w:tc>
          <w:tcPr>
            <w:tcW w:w="3935" w:type="dxa"/>
            <w:tcBorders>
              <w:top w:val="single" w:sz="4" w:space="0" w:color="BFBFBF" w:themeColor="background1" w:themeShade="BF"/>
              <w:bottom w:val="single" w:sz="2" w:space="0" w:color="D9D9D9" w:themeColor="background1" w:themeShade="D9"/>
            </w:tcBorders>
            <w:shd w:val="clear" w:color="auto" w:fill="auto"/>
          </w:tcPr>
          <w:p w14:paraId="72C7DC97" w14:textId="77777777" w:rsidR="003E4A2A" w:rsidRPr="009F6826" w:rsidRDefault="003E4A2A" w:rsidP="00D72BA5">
            <w:pPr>
              <w:spacing w:before="60" w:after="60" w:line="240" w:lineRule="auto"/>
              <w:contextualSpacing w:val="0"/>
              <w:rPr>
                <w:rFonts w:ascii="Optima" w:hAnsi="Optima"/>
                <w:b/>
                <w:bCs/>
                <w:sz w:val="19"/>
                <w:szCs w:val="19"/>
              </w:rPr>
            </w:pPr>
            <w:r w:rsidRPr="009F6826">
              <w:rPr>
                <w:rFonts w:ascii="Optima" w:hAnsi="Optima"/>
                <w:b/>
                <w:bCs/>
                <w:sz w:val="19"/>
                <w:szCs w:val="19"/>
              </w:rPr>
              <w:t>Reimbursement Rate Per Hour Worked by the Supported Employee</w:t>
            </w:r>
          </w:p>
        </w:tc>
        <w:tc>
          <w:tcPr>
            <w:tcW w:w="2700" w:type="dxa"/>
            <w:tcBorders>
              <w:top w:val="single" w:sz="4" w:space="0" w:color="BFBFBF" w:themeColor="background1" w:themeShade="BF"/>
              <w:bottom w:val="single" w:sz="2" w:space="0" w:color="D9D9D9" w:themeColor="background1" w:themeShade="D9"/>
            </w:tcBorders>
            <w:shd w:val="clear" w:color="auto" w:fill="auto"/>
          </w:tcPr>
          <w:p w14:paraId="78668BC8" w14:textId="77777777" w:rsidR="003E4A2A" w:rsidRPr="009F6826" w:rsidRDefault="003E4A2A" w:rsidP="00D72BA5">
            <w:pPr>
              <w:spacing w:before="60" w:after="60" w:line="240" w:lineRule="auto"/>
              <w:contextualSpacing w:val="0"/>
              <w:jc w:val="center"/>
              <w:rPr>
                <w:rFonts w:ascii="Optima" w:hAnsi="Optima"/>
                <w:b/>
                <w:bCs/>
                <w:sz w:val="19"/>
                <w:szCs w:val="19"/>
              </w:rPr>
            </w:pPr>
            <w:r w:rsidRPr="009F6826">
              <w:rPr>
                <w:rFonts w:ascii="Optima" w:hAnsi="Optima"/>
                <w:b/>
                <w:bCs/>
                <w:sz w:val="19"/>
                <w:szCs w:val="19"/>
              </w:rPr>
              <w:t>$17.20/hour</w:t>
            </w:r>
          </w:p>
        </w:tc>
        <w:tc>
          <w:tcPr>
            <w:tcW w:w="2365" w:type="dxa"/>
            <w:tcBorders>
              <w:top w:val="single" w:sz="4" w:space="0" w:color="BFBFBF" w:themeColor="background1" w:themeShade="BF"/>
              <w:bottom w:val="single" w:sz="2" w:space="0" w:color="D9D9D9" w:themeColor="background1" w:themeShade="D9"/>
            </w:tcBorders>
            <w:shd w:val="clear" w:color="auto" w:fill="auto"/>
          </w:tcPr>
          <w:p w14:paraId="110D6C79" w14:textId="77777777" w:rsidR="003E4A2A" w:rsidRPr="009F6826" w:rsidRDefault="003E4A2A" w:rsidP="00D72BA5">
            <w:pPr>
              <w:spacing w:before="60" w:after="60" w:line="240" w:lineRule="auto"/>
              <w:contextualSpacing w:val="0"/>
              <w:jc w:val="center"/>
              <w:rPr>
                <w:rFonts w:ascii="Optima" w:hAnsi="Optima"/>
                <w:b/>
                <w:bCs/>
                <w:sz w:val="19"/>
                <w:szCs w:val="19"/>
              </w:rPr>
            </w:pPr>
            <w:r w:rsidRPr="009F6826">
              <w:rPr>
                <w:rFonts w:ascii="Optima" w:hAnsi="Optima"/>
                <w:b/>
                <w:bCs/>
                <w:sz w:val="19"/>
                <w:szCs w:val="19"/>
              </w:rPr>
              <w:t>$17.20/hour</w:t>
            </w:r>
          </w:p>
        </w:tc>
      </w:tr>
      <w:tr w:rsidR="00104325" w:rsidRPr="009F6826" w14:paraId="684A9944" w14:textId="77777777" w:rsidTr="00AE07EF">
        <w:trPr>
          <w:cnfStyle w:val="000000010000" w:firstRow="0" w:lastRow="0" w:firstColumn="0" w:lastColumn="0" w:oddVBand="0" w:evenVBand="0" w:oddHBand="0" w:evenHBand="1" w:firstRowFirstColumn="0" w:firstRowLastColumn="0" w:lastRowFirstColumn="0" w:lastRowLastColumn="0"/>
          <w:jc w:val="center"/>
        </w:trPr>
        <w:tc>
          <w:tcPr>
            <w:tcW w:w="3935" w:type="dxa"/>
            <w:tcBorders>
              <w:top w:val="single" w:sz="2" w:space="0" w:color="D9D9D9" w:themeColor="background1" w:themeShade="D9"/>
            </w:tcBorders>
          </w:tcPr>
          <w:p w14:paraId="6A3D1519" w14:textId="77777777" w:rsidR="003E4A2A" w:rsidRPr="009F6826" w:rsidRDefault="003E4A2A" w:rsidP="00D72BA5">
            <w:pPr>
              <w:spacing w:before="60" w:after="60" w:line="240" w:lineRule="auto"/>
              <w:contextualSpacing w:val="0"/>
              <w:rPr>
                <w:rFonts w:ascii="Optima" w:hAnsi="Optima"/>
                <w:sz w:val="19"/>
                <w:szCs w:val="19"/>
              </w:rPr>
            </w:pPr>
            <w:r w:rsidRPr="009F6826">
              <w:rPr>
                <w:rFonts w:ascii="Optima" w:hAnsi="Optima"/>
                <w:sz w:val="19"/>
                <w:szCs w:val="19"/>
              </w:rPr>
              <w:t>Average Staff Support Time as Percentage of Hours Worked</w:t>
            </w:r>
          </w:p>
        </w:tc>
        <w:tc>
          <w:tcPr>
            <w:tcW w:w="2700" w:type="dxa"/>
            <w:tcBorders>
              <w:top w:val="single" w:sz="2" w:space="0" w:color="D9D9D9" w:themeColor="background1" w:themeShade="D9"/>
            </w:tcBorders>
          </w:tcPr>
          <w:p w14:paraId="445F3DF8" w14:textId="77777777" w:rsidR="003E4A2A" w:rsidRPr="00AC612F" w:rsidRDefault="003E4A2A" w:rsidP="00D72BA5">
            <w:pPr>
              <w:spacing w:before="60" w:after="60" w:line="240" w:lineRule="auto"/>
              <w:contextualSpacing w:val="0"/>
              <w:jc w:val="center"/>
              <w:rPr>
                <w:rFonts w:ascii="Optima" w:hAnsi="Optima"/>
                <w:color w:val="C00000"/>
                <w:sz w:val="19"/>
                <w:szCs w:val="19"/>
              </w:rPr>
            </w:pPr>
            <w:r w:rsidRPr="00AC612F">
              <w:rPr>
                <w:rFonts w:ascii="Optima" w:hAnsi="Optima"/>
                <w:color w:val="C00000"/>
                <w:sz w:val="19"/>
                <w:szCs w:val="19"/>
              </w:rPr>
              <w:t>40%</w:t>
            </w:r>
          </w:p>
        </w:tc>
        <w:tc>
          <w:tcPr>
            <w:tcW w:w="2365" w:type="dxa"/>
            <w:tcBorders>
              <w:top w:val="single" w:sz="2" w:space="0" w:color="D9D9D9" w:themeColor="background1" w:themeShade="D9"/>
            </w:tcBorders>
          </w:tcPr>
          <w:p w14:paraId="14D91D6D" w14:textId="77777777" w:rsidR="003E4A2A" w:rsidRPr="00AC612F" w:rsidRDefault="003E4A2A" w:rsidP="00D72BA5">
            <w:pPr>
              <w:spacing w:before="60" w:after="60" w:line="240" w:lineRule="auto"/>
              <w:contextualSpacing w:val="0"/>
              <w:jc w:val="center"/>
              <w:rPr>
                <w:rFonts w:ascii="Optima" w:hAnsi="Optima"/>
                <w:color w:val="C00000"/>
                <w:sz w:val="19"/>
                <w:szCs w:val="19"/>
              </w:rPr>
            </w:pPr>
            <w:r w:rsidRPr="00AC612F">
              <w:rPr>
                <w:rFonts w:ascii="Optima" w:hAnsi="Optima"/>
                <w:color w:val="C00000"/>
                <w:sz w:val="19"/>
                <w:szCs w:val="19"/>
              </w:rPr>
              <w:t>30%</w:t>
            </w:r>
          </w:p>
        </w:tc>
      </w:tr>
      <w:tr w:rsidR="00104325" w:rsidRPr="009F6826" w14:paraId="562BF8A2" w14:textId="77777777" w:rsidTr="00CA1889">
        <w:trPr>
          <w:cnfStyle w:val="000000100000" w:firstRow="0" w:lastRow="0" w:firstColumn="0" w:lastColumn="0" w:oddVBand="0" w:evenVBand="0" w:oddHBand="1" w:evenHBand="0" w:firstRowFirstColumn="0" w:firstRowLastColumn="0" w:lastRowFirstColumn="0" w:lastRowLastColumn="0"/>
          <w:jc w:val="center"/>
        </w:trPr>
        <w:tc>
          <w:tcPr>
            <w:tcW w:w="3935" w:type="dxa"/>
            <w:shd w:val="clear" w:color="auto" w:fill="DAEEF3" w:themeFill="accent5" w:themeFillTint="33"/>
          </w:tcPr>
          <w:p w14:paraId="10E6A829" w14:textId="77777777" w:rsidR="003E4A2A" w:rsidRPr="009F6826" w:rsidRDefault="003E4A2A" w:rsidP="00D72BA5">
            <w:pPr>
              <w:spacing w:before="60" w:after="60" w:line="240" w:lineRule="auto"/>
              <w:contextualSpacing w:val="0"/>
              <w:jc w:val="right"/>
              <w:rPr>
                <w:rFonts w:ascii="Optima" w:hAnsi="Optima"/>
                <w:sz w:val="19"/>
                <w:szCs w:val="19"/>
              </w:rPr>
            </w:pPr>
            <w:r w:rsidRPr="009F6826">
              <w:rPr>
                <w:rFonts w:ascii="Optima" w:hAnsi="Optima"/>
                <w:sz w:val="19"/>
                <w:szCs w:val="19"/>
              </w:rPr>
              <w:t>Minimum Staffing Ratio</w:t>
            </w:r>
            <w:r w:rsidR="00AC612F">
              <w:rPr>
                <w:rFonts w:ascii="Optima" w:hAnsi="Optima"/>
                <w:sz w:val="19"/>
                <w:szCs w:val="19"/>
              </w:rPr>
              <w:t xml:space="preserve"> =</w:t>
            </w:r>
          </w:p>
        </w:tc>
        <w:tc>
          <w:tcPr>
            <w:tcW w:w="2700" w:type="dxa"/>
            <w:shd w:val="clear" w:color="auto" w:fill="DAEEF3" w:themeFill="accent5" w:themeFillTint="33"/>
          </w:tcPr>
          <w:p w14:paraId="7BCDFA4B" w14:textId="77777777" w:rsidR="003E4A2A" w:rsidRPr="009F6826" w:rsidRDefault="003E4A2A" w:rsidP="00D72BA5">
            <w:pPr>
              <w:spacing w:before="60" w:after="60" w:line="240" w:lineRule="auto"/>
              <w:contextualSpacing w:val="0"/>
              <w:jc w:val="center"/>
              <w:rPr>
                <w:rFonts w:ascii="Optima" w:hAnsi="Optima"/>
                <w:sz w:val="19"/>
                <w:szCs w:val="19"/>
              </w:rPr>
            </w:pPr>
            <w:r w:rsidRPr="009F6826">
              <w:rPr>
                <w:rFonts w:ascii="Optima" w:hAnsi="Optima"/>
                <w:sz w:val="19"/>
                <w:szCs w:val="19"/>
              </w:rPr>
              <w:t>1:1</w:t>
            </w:r>
          </w:p>
        </w:tc>
        <w:tc>
          <w:tcPr>
            <w:tcW w:w="2365" w:type="dxa"/>
            <w:shd w:val="clear" w:color="auto" w:fill="DAEEF3" w:themeFill="accent5" w:themeFillTint="33"/>
          </w:tcPr>
          <w:p w14:paraId="28080170" w14:textId="77777777" w:rsidR="003E4A2A" w:rsidRPr="009F6826" w:rsidRDefault="003E4A2A" w:rsidP="00D72BA5">
            <w:pPr>
              <w:spacing w:before="60" w:after="60" w:line="240" w:lineRule="auto"/>
              <w:contextualSpacing w:val="0"/>
              <w:jc w:val="center"/>
              <w:rPr>
                <w:rFonts w:ascii="Optima" w:hAnsi="Optima"/>
                <w:sz w:val="19"/>
                <w:szCs w:val="19"/>
              </w:rPr>
            </w:pPr>
            <w:r w:rsidRPr="009F6826">
              <w:rPr>
                <w:rFonts w:ascii="Optima" w:hAnsi="Optima"/>
                <w:sz w:val="19"/>
                <w:szCs w:val="19"/>
              </w:rPr>
              <w:t>1:1</w:t>
            </w:r>
          </w:p>
        </w:tc>
      </w:tr>
      <w:tr w:rsidR="00104325" w:rsidRPr="00C55944" w14:paraId="28A4B6D6" w14:textId="77777777" w:rsidTr="008E216E">
        <w:trPr>
          <w:cnfStyle w:val="000000010000" w:firstRow="0" w:lastRow="0" w:firstColumn="0" w:lastColumn="0" w:oddVBand="0" w:evenVBand="0" w:oddHBand="0" w:evenHBand="1" w:firstRowFirstColumn="0" w:firstRowLastColumn="0" w:lastRowFirstColumn="0" w:lastRowLastColumn="0"/>
          <w:jc w:val="center"/>
        </w:trPr>
        <w:tc>
          <w:tcPr>
            <w:tcW w:w="3935" w:type="dxa"/>
            <w:tcBorders>
              <w:bottom w:val="single" w:sz="2" w:space="0" w:color="92CDDC" w:themeColor="accent5" w:themeTint="99"/>
            </w:tcBorders>
          </w:tcPr>
          <w:p w14:paraId="6FEE3B9C" w14:textId="77777777" w:rsidR="003E4A2A" w:rsidRPr="00C55944" w:rsidRDefault="003E4A2A" w:rsidP="00D72BA5">
            <w:pPr>
              <w:spacing w:before="60" w:after="60" w:line="240" w:lineRule="auto"/>
              <w:contextualSpacing w:val="0"/>
              <w:rPr>
                <w:rFonts w:ascii="Optima" w:hAnsi="Optima"/>
                <w:b/>
                <w:bCs/>
                <w:sz w:val="19"/>
                <w:szCs w:val="19"/>
              </w:rPr>
            </w:pPr>
            <w:r w:rsidRPr="00C55944">
              <w:rPr>
                <w:rFonts w:ascii="Optima" w:hAnsi="Optima"/>
                <w:b/>
                <w:bCs/>
                <w:sz w:val="19"/>
                <w:szCs w:val="19"/>
              </w:rPr>
              <w:t>Estimated Cost Per Staff Hour (all costs)</w:t>
            </w:r>
          </w:p>
        </w:tc>
        <w:tc>
          <w:tcPr>
            <w:tcW w:w="2700" w:type="dxa"/>
            <w:tcBorders>
              <w:bottom w:val="single" w:sz="2" w:space="0" w:color="92CDDC" w:themeColor="accent5" w:themeTint="99"/>
            </w:tcBorders>
          </w:tcPr>
          <w:p w14:paraId="2171CAEE" w14:textId="77777777" w:rsidR="003E4A2A" w:rsidRPr="00C55944" w:rsidRDefault="003E4A2A" w:rsidP="00D72BA5">
            <w:pPr>
              <w:spacing w:before="60" w:after="60" w:line="240" w:lineRule="auto"/>
              <w:contextualSpacing w:val="0"/>
              <w:jc w:val="center"/>
              <w:rPr>
                <w:rFonts w:ascii="Optima" w:hAnsi="Optima"/>
                <w:b/>
                <w:bCs/>
                <w:sz w:val="19"/>
                <w:szCs w:val="19"/>
              </w:rPr>
            </w:pPr>
            <w:r w:rsidRPr="00C55944">
              <w:rPr>
                <w:rFonts w:ascii="Optima" w:hAnsi="Optima"/>
                <w:b/>
                <w:bCs/>
                <w:sz w:val="19"/>
                <w:szCs w:val="19"/>
              </w:rPr>
              <w:t>$28.66</w:t>
            </w:r>
          </w:p>
        </w:tc>
        <w:tc>
          <w:tcPr>
            <w:tcW w:w="2365" w:type="dxa"/>
            <w:tcBorders>
              <w:bottom w:val="single" w:sz="2" w:space="0" w:color="92CDDC" w:themeColor="accent5" w:themeTint="99"/>
            </w:tcBorders>
          </w:tcPr>
          <w:p w14:paraId="2582DEA9" w14:textId="77777777" w:rsidR="003E4A2A" w:rsidRPr="00C55944" w:rsidRDefault="003E4A2A" w:rsidP="00D72BA5">
            <w:pPr>
              <w:spacing w:before="60" w:after="60" w:line="240" w:lineRule="auto"/>
              <w:contextualSpacing w:val="0"/>
              <w:jc w:val="center"/>
              <w:rPr>
                <w:rFonts w:ascii="Optima" w:hAnsi="Optima"/>
                <w:b/>
                <w:bCs/>
                <w:sz w:val="19"/>
                <w:szCs w:val="19"/>
              </w:rPr>
            </w:pPr>
            <w:r w:rsidRPr="00C55944">
              <w:rPr>
                <w:rFonts w:ascii="Optima" w:hAnsi="Optima"/>
                <w:b/>
                <w:bCs/>
                <w:sz w:val="19"/>
                <w:szCs w:val="19"/>
              </w:rPr>
              <w:t>$28.66</w:t>
            </w:r>
          </w:p>
        </w:tc>
      </w:tr>
      <w:tr w:rsidR="00104325" w:rsidRPr="009F6826" w14:paraId="75430DE8" w14:textId="77777777" w:rsidTr="008E216E">
        <w:trPr>
          <w:cnfStyle w:val="000000100000" w:firstRow="0" w:lastRow="0" w:firstColumn="0" w:lastColumn="0" w:oddVBand="0" w:evenVBand="0" w:oddHBand="1" w:evenHBand="0" w:firstRowFirstColumn="0" w:firstRowLastColumn="0" w:lastRowFirstColumn="0" w:lastRowLastColumn="0"/>
          <w:trHeight w:val="245"/>
          <w:jc w:val="center"/>
        </w:trPr>
        <w:tc>
          <w:tcPr>
            <w:tcW w:w="3935" w:type="dxa"/>
            <w:tcBorders>
              <w:top w:val="single" w:sz="2" w:space="0" w:color="92CDDC" w:themeColor="accent5" w:themeTint="99"/>
            </w:tcBorders>
            <w:shd w:val="clear" w:color="auto" w:fill="auto"/>
            <w:vAlign w:val="center"/>
          </w:tcPr>
          <w:p w14:paraId="5207077C" w14:textId="77777777" w:rsidR="003E4A2A" w:rsidRPr="009F6826" w:rsidRDefault="003E4A2A" w:rsidP="00D72BA5">
            <w:pPr>
              <w:spacing w:before="60" w:after="60" w:line="240" w:lineRule="auto"/>
              <w:contextualSpacing w:val="0"/>
              <w:rPr>
                <w:rFonts w:ascii="Optima" w:hAnsi="Optima"/>
                <w:sz w:val="19"/>
                <w:szCs w:val="19"/>
              </w:rPr>
            </w:pPr>
            <w:r w:rsidRPr="009F6826">
              <w:rPr>
                <w:rFonts w:ascii="Optima" w:hAnsi="Optima"/>
                <w:sz w:val="19"/>
                <w:szCs w:val="19"/>
              </w:rPr>
              <w:t>Total Billable Per Staff Hour</w:t>
            </w:r>
          </w:p>
        </w:tc>
        <w:tc>
          <w:tcPr>
            <w:tcW w:w="2700" w:type="dxa"/>
            <w:tcBorders>
              <w:top w:val="single" w:sz="2" w:space="0" w:color="92CDDC" w:themeColor="accent5" w:themeTint="99"/>
            </w:tcBorders>
            <w:shd w:val="clear" w:color="auto" w:fill="auto"/>
            <w:vAlign w:val="center"/>
          </w:tcPr>
          <w:p w14:paraId="72B6EE6B" w14:textId="77777777" w:rsidR="003E4A2A" w:rsidRPr="009F6826" w:rsidRDefault="003E4A2A" w:rsidP="00D72BA5">
            <w:pPr>
              <w:spacing w:before="60" w:after="60" w:line="240" w:lineRule="auto"/>
              <w:contextualSpacing w:val="0"/>
              <w:jc w:val="center"/>
              <w:rPr>
                <w:rFonts w:ascii="Optima" w:hAnsi="Optima"/>
                <w:sz w:val="19"/>
                <w:szCs w:val="19"/>
              </w:rPr>
            </w:pPr>
            <w:r w:rsidRPr="009F6826">
              <w:rPr>
                <w:rFonts w:ascii="Optima" w:hAnsi="Optima"/>
                <w:sz w:val="19"/>
                <w:szCs w:val="19"/>
              </w:rPr>
              <w:t>$43.00</w:t>
            </w:r>
          </w:p>
        </w:tc>
        <w:tc>
          <w:tcPr>
            <w:tcW w:w="2365" w:type="dxa"/>
            <w:tcBorders>
              <w:top w:val="single" w:sz="2" w:space="0" w:color="92CDDC" w:themeColor="accent5" w:themeTint="99"/>
            </w:tcBorders>
            <w:shd w:val="clear" w:color="auto" w:fill="auto"/>
            <w:vAlign w:val="center"/>
          </w:tcPr>
          <w:p w14:paraId="6EE57EEC" w14:textId="77777777" w:rsidR="003E4A2A" w:rsidRPr="009F6826" w:rsidRDefault="003E4A2A" w:rsidP="00D72BA5">
            <w:pPr>
              <w:spacing w:before="60" w:after="60" w:line="240" w:lineRule="auto"/>
              <w:contextualSpacing w:val="0"/>
              <w:jc w:val="center"/>
              <w:rPr>
                <w:rFonts w:ascii="Optima" w:hAnsi="Optima"/>
                <w:sz w:val="19"/>
                <w:szCs w:val="19"/>
              </w:rPr>
            </w:pPr>
            <w:r w:rsidRPr="009F6826">
              <w:rPr>
                <w:rFonts w:ascii="Optima" w:hAnsi="Optima"/>
                <w:sz w:val="19"/>
                <w:szCs w:val="19"/>
              </w:rPr>
              <w:t>$57.33</w:t>
            </w:r>
          </w:p>
        </w:tc>
      </w:tr>
      <w:tr w:rsidR="00104325" w:rsidRPr="009F6826" w14:paraId="2A75993F" w14:textId="77777777" w:rsidTr="008E216E">
        <w:trPr>
          <w:cnfStyle w:val="000000010000" w:firstRow="0" w:lastRow="0" w:firstColumn="0" w:lastColumn="0" w:oddVBand="0" w:evenVBand="0" w:oddHBand="0" w:evenHBand="1" w:firstRowFirstColumn="0" w:firstRowLastColumn="0" w:lastRowFirstColumn="0" w:lastRowLastColumn="0"/>
          <w:trHeight w:val="227"/>
          <w:jc w:val="center"/>
        </w:trPr>
        <w:tc>
          <w:tcPr>
            <w:tcW w:w="3935" w:type="dxa"/>
            <w:tcBorders>
              <w:bottom w:val="single" w:sz="2" w:space="0" w:color="92CDDC" w:themeColor="accent5" w:themeTint="99"/>
            </w:tcBorders>
            <w:vAlign w:val="center"/>
          </w:tcPr>
          <w:p w14:paraId="287965F5" w14:textId="77777777" w:rsidR="003E4A2A" w:rsidRPr="009F6826" w:rsidRDefault="003E4A2A" w:rsidP="00AC612F">
            <w:pPr>
              <w:spacing w:before="60" w:after="60" w:line="240" w:lineRule="auto"/>
              <w:contextualSpacing w:val="0"/>
              <w:jc w:val="center"/>
              <w:rPr>
                <w:rFonts w:ascii="Optima" w:hAnsi="Optima"/>
                <w:b/>
                <w:bCs/>
                <w:sz w:val="19"/>
                <w:szCs w:val="19"/>
              </w:rPr>
            </w:pPr>
            <w:r w:rsidRPr="009F6826">
              <w:rPr>
                <w:rFonts w:ascii="Optima" w:hAnsi="Optima"/>
                <w:b/>
                <w:bCs/>
                <w:sz w:val="19"/>
                <w:szCs w:val="19"/>
              </w:rPr>
              <w:t>Net Income Per Staff Hour</w:t>
            </w:r>
          </w:p>
        </w:tc>
        <w:tc>
          <w:tcPr>
            <w:tcW w:w="2700" w:type="dxa"/>
            <w:tcBorders>
              <w:bottom w:val="single" w:sz="2" w:space="0" w:color="92CDDC" w:themeColor="accent5" w:themeTint="99"/>
            </w:tcBorders>
            <w:vAlign w:val="center"/>
          </w:tcPr>
          <w:p w14:paraId="54493867" w14:textId="77777777" w:rsidR="003E4A2A" w:rsidRPr="009F6826" w:rsidRDefault="003E4A2A" w:rsidP="00D72BA5">
            <w:pPr>
              <w:spacing w:before="60" w:after="60" w:line="240" w:lineRule="auto"/>
              <w:contextualSpacing w:val="0"/>
              <w:jc w:val="center"/>
              <w:rPr>
                <w:rFonts w:ascii="Optima" w:hAnsi="Optima"/>
                <w:b/>
                <w:bCs/>
                <w:sz w:val="19"/>
                <w:szCs w:val="19"/>
              </w:rPr>
            </w:pPr>
            <w:r w:rsidRPr="009F6826">
              <w:rPr>
                <w:rFonts w:ascii="Optima" w:hAnsi="Optima"/>
                <w:b/>
                <w:bCs/>
                <w:sz w:val="19"/>
                <w:szCs w:val="19"/>
              </w:rPr>
              <w:t>$14.34</w:t>
            </w:r>
          </w:p>
        </w:tc>
        <w:tc>
          <w:tcPr>
            <w:tcW w:w="2365" w:type="dxa"/>
            <w:tcBorders>
              <w:bottom w:val="single" w:sz="2" w:space="0" w:color="92CDDC" w:themeColor="accent5" w:themeTint="99"/>
            </w:tcBorders>
            <w:vAlign w:val="center"/>
          </w:tcPr>
          <w:p w14:paraId="18059D70" w14:textId="77777777" w:rsidR="003E4A2A" w:rsidRPr="009F6826" w:rsidRDefault="003E4A2A" w:rsidP="00D72BA5">
            <w:pPr>
              <w:spacing w:before="60" w:after="60" w:line="240" w:lineRule="auto"/>
              <w:contextualSpacing w:val="0"/>
              <w:jc w:val="center"/>
              <w:rPr>
                <w:rFonts w:ascii="Optima" w:hAnsi="Optima"/>
                <w:b/>
                <w:bCs/>
                <w:sz w:val="19"/>
                <w:szCs w:val="19"/>
              </w:rPr>
            </w:pPr>
            <w:r w:rsidRPr="009F6826">
              <w:rPr>
                <w:rFonts w:ascii="Optima" w:hAnsi="Optima"/>
                <w:b/>
                <w:bCs/>
                <w:sz w:val="19"/>
                <w:szCs w:val="19"/>
              </w:rPr>
              <w:t>$28.67</w:t>
            </w:r>
          </w:p>
        </w:tc>
      </w:tr>
    </w:tbl>
    <w:p w14:paraId="7C84CB44" w14:textId="3DA2D871" w:rsidR="00A6776C" w:rsidRDefault="00A6776C" w:rsidP="002476FD">
      <w:pPr>
        <w:pStyle w:val="NoSpacing"/>
      </w:pPr>
    </w:p>
    <w:p w14:paraId="0D76F78D" w14:textId="77777777" w:rsidR="003E4A2A" w:rsidRPr="00934D06" w:rsidRDefault="003E4A2A" w:rsidP="00B1367E">
      <w:r w:rsidRPr="00934D06">
        <w:t xml:space="preserve">As well, the flat payment model did not provide any adjustment for the acuity (level of disability and corresponding support needs) of individuals served in competitive integrated employment. This inadvertently created an incentive for providers to seek out people with lower acuity to maximize the likelihood </w:t>
      </w:r>
      <w:r w:rsidR="004570BA">
        <w:t xml:space="preserve">that </w:t>
      </w:r>
      <w:r w:rsidRPr="00934D06">
        <w:t>their supports would quickly decline to 60% or less and remain at those lower levels over time</w:t>
      </w:r>
      <w:r w:rsidR="005043F4">
        <w:t xml:space="preserve">. </w:t>
      </w:r>
      <w:r w:rsidRPr="00934D06">
        <w:t>The combination of these inadvertent disincentives</w:t>
      </w:r>
      <w:r w:rsidR="00B06F91">
        <w:t>—</w:t>
      </w:r>
      <w:r w:rsidRPr="00934D06">
        <w:t>to get new people into competitive integrated employment and to serve people with higher acuity</w:t>
      </w:r>
      <w:r w:rsidR="00B06F91">
        <w:t>—</w:t>
      </w:r>
      <w:r w:rsidRPr="00934D06">
        <w:t>did not spur the desired growth of competitive integrated employment</w:t>
      </w:r>
      <w:r w:rsidR="00BF357C">
        <w:t>. Mean</w:t>
      </w:r>
      <w:r w:rsidRPr="00934D06">
        <w:t>while</w:t>
      </w:r>
      <w:r w:rsidR="00BF357C">
        <w:t>,</w:t>
      </w:r>
      <w:r w:rsidRPr="00934D06">
        <w:t xml:space="preserve"> the growth of group </w:t>
      </w:r>
      <w:r w:rsidR="00F655C6">
        <w:t>Supported Employment</w:t>
      </w:r>
      <w:r w:rsidRPr="00934D06">
        <w:t xml:space="preserve"> was incentivized and thus grew much more rapidly over time</w:t>
      </w:r>
      <w:r w:rsidR="005043F4">
        <w:t xml:space="preserve">. </w:t>
      </w:r>
      <w:r w:rsidRPr="00934D06">
        <w:t xml:space="preserve">These are the kinds of subtleties that are important to address in funding models developed now and in the future. </w:t>
      </w:r>
      <w:r w:rsidRPr="00BC67C8">
        <w:t xml:space="preserve">We have the benefit of learning from Oklahoma’s trailblazing experience, </w:t>
      </w:r>
      <w:r w:rsidR="00BC67C8">
        <w:t xml:space="preserve">not only in </w:t>
      </w:r>
      <w:r w:rsidRPr="00BC67C8">
        <w:t>recognizing</w:t>
      </w:r>
      <w:r w:rsidR="00BC67C8">
        <w:t xml:space="preserve"> that</w:t>
      </w:r>
      <w:r w:rsidRPr="00BC67C8">
        <w:t xml:space="preserve"> their fundamental model (paying based on hours worked) has tremendous value for Employment First</w:t>
      </w:r>
      <w:r w:rsidR="00BC67C8">
        <w:t>,</w:t>
      </w:r>
      <w:r w:rsidRPr="00BC67C8">
        <w:t xml:space="preserve"> but also identifying that key details of the model itself will benefit from adjustment when replicated elsewhere.</w:t>
      </w:r>
      <w:r w:rsidRPr="00934D06">
        <w:t xml:space="preserve"> </w:t>
      </w:r>
    </w:p>
    <w:p w14:paraId="28039BD7" w14:textId="3DBA457F" w:rsidR="003E4A2A" w:rsidRDefault="003E4A2A" w:rsidP="00B1367E">
      <w:r w:rsidRPr="00934D06">
        <w:t xml:space="preserve">ODRS led the nation in establishing a reimbursement model for </w:t>
      </w:r>
      <w:r w:rsidR="0016782B">
        <w:t>VR</w:t>
      </w:r>
      <w:r w:rsidRPr="00934D06">
        <w:t xml:space="preserve"> services that is now commonplace in most states</w:t>
      </w:r>
      <w:r w:rsidR="005043F4">
        <w:t xml:space="preserve">. </w:t>
      </w:r>
      <w:r w:rsidRPr="00934D06">
        <w:t>Milestone payments for progress toward competitive integrated employment, and securing as well as stabilizing this employment</w:t>
      </w:r>
      <w:r w:rsidR="007C1333">
        <w:t>,</w:t>
      </w:r>
      <w:r w:rsidRPr="00934D06">
        <w:t xml:space="preserve"> put the focus on getting to the desired outcomes of services rather than maintaining service provision</w:t>
      </w:r>
      <w:r w:rsidR="007C1333">
        <w:t>s</w:t>
      </w:r>
      <w:r w:rsidRPr="00934D06">
        <w:t xml:space="preserve"> when it isn’t necessary</w:t>
      </w:r>
      <w:r w:rsidR="005043F4">
        <w:t xml:space="preserve">. </w:t>
      </w:r>
      <w:r w:rsidRPr="00934D06">
        <w:t xml:space="preserve">In milestone systems, preliminary services necessary prior to actual job seeking have </w:t>
      </w:r>
      <w:r w:rsidR="00D84CDE" w:rsidRPr="00934D06">
        <w:t xml:space="preserve">limited </w:t>
      </w:r>
      <w:r w:rsidRPr="00934D06">
        <w:t xml:space="preserve">completion timeframes, helping to ensure that people with disabilities did not experience a lack of immediate progress after deciding to pursue competitive integrated employment. </w:t>
      </w:r>
    </w:p>
    <w:p w14:paraId="2D7E42C0" w14:textId="6417F446" w:rsidR="003E4A2A" w:rsidRPr="00934D06" w:rsidRDefault="003E4A2A" w:rsidP="00B1367E">
      <w:r w:rsidRPr="00934D06">
        <w:t>Further, providers are rewarded for efficient job placement, incentivizing them to have strong relationships with employers in the local area</w:t>
      </w:r>
      <w:r w:rsidR="005043F4">
        <w:t xml:space="preserve">. </w:t>
      </w:r>
      <w:r w:rsidRPr="00934D06">
        <w:t>A trailblazer like ODDS no doubt recognized some of the shortcomings of a flat milestone payment structure</w:t>
      </w:r>
      <w:r w:rsidR="00B60239">
        <w:t>;</w:t>
      </w:r>
      <w:r w:rsidR="005043F4">
        <w:t xml:space="preserve"> </w:t>
      </w:r>
      <w:r w:rsidR="00B60239">
        <w:t>n</w:t>
      </w:r>
      <w:r w:rsidRPr="00934D06">
        <w:t>amely</w:t>
      </w:r>
      <w:r w:rsidR="00B60239">
        <w:t>,</w:t>
      </w:r>
      <w:r w:rsidRPr="00934D06">
        <w:t xml:space="preserve"> the disincentive for providers to serve people who were perceived to require more service to complete the milestones and</w:t>
      </w:r>
      <w:r w:rsidR="00915EDC">
        <w:t>,</w:t>
      </w:r>
      <w:r w:rsidRPr="00934D06">
        <w:t xml:space="preserve"> achieve and </w:t>
      </w:r>
      <w:r w:rsidRPr="00934D06">
        <w:lastRenderedPageBreak/>
        <w:t>stabilize in employment. ODRS acted on this by establishing separate milestones for individuals who qualified for VR</w:t>
      </w:r>
      <w:r w:rsidR="00323E00">
        <w:t xml:space="preserve"> </w:t>
      </w:r>
      <w:r w:rsidRPr="00934D06">
        <w:t xml:space="preserve">funded </w:t>
      </w:r>
      <w:r w:rsidR="00F655C6">
        <w:t>Supported Employment</w:t>
      </w:r>
      <w:r w:rsidRPr="00934D06">
        <w:t xml:space="preserve"> services and </w:t>
      </w:r>
      <w:r w:rsidR="00621F95">
        <w:t>recognizing</w:t>
      </w:r>
      <w:r w:rsidRPr="00934D06">
        <w:t xml:space="preserve"> that flat milestones for </w:t>
      </w:r>
      <w:r w:rsidR="00F655C6">
        <w:t>Supported Employment</w:t>
      </w:r>
      <w:r w:rsidRPr="00934D06">
        <w:t xml:space="preserve"> services would cause unintended consequences for people with relatively high acuity as compared to others qualifying for </w:t>
      </w:r>
      <w:r w:rsidR="00F655C6">
        <w:t>Supported Employment</w:t>
      </w:r>
      <w:r w:rsidRPr="00934D06">
        <w:t xml:space="preserve">. </w:t>
      </w:r>
      <w:r w:rsidRPr="00B6526E">
        <w:t xml:space="preserve">Consequently, ODRS was one of the first </w:t>
      </w:r>
      <w:r w:rsidR="00621F95" w:rsidRPr="00B6526E">
        <w:t>VR</w:t>
      </w:r>
      <w:r w:rsidRPr="00B6526E">
        <w:t xml:space="preserve"> agencies in the country, and is still one of the few, that has tiered rates for </w:t>
      </w:r>
      <w:r w:rsidR="00F655C6" w:rsidRPr="00B6526E">
        <w:t>Supported Employment</w:t>
      </w:r>
      <w:r w:rsidRPr="00B6526E">
        <w:t xml:space="preserve"> services based on acuity</w:t>
      </w:r>
      <w:r w:rsidR="00940201" w:rsidRPr="00B6526E">
        <w:t>.</w:t>
      </w:r>
      <w:r w:rsidR="008C4BED" w:rsidRPr="00940201">
        <w:t xml:space="preserve"> </w:t>
      </w:r>
      <w:r w:rsidR="00940201">
        <w:t>T</w:t>
      </w:r>
      <w:r w:rsidRPr="00940201">
        <w:t xml:space="preserve">hey have regular and high needs </w:t>
      </w:r>
      <w:r w:rsidR="00C013DC">
        <w:t xml:space="preserve">Supported Employment </w:t>
      </w:r>
      <w:r w:rsidRPr="00940201">
        <w:t>milestone rates, with ODRS counselors given policy, training</w:t>
      </w:r>
      <w:r w:rsidR="0086102E" w:rsidRPr="00940201">
        <w:t xml:space="preserve">, </w:t>
      </w:r>
      <w:r w:rsidRPr="00940201">
        <w:t>and ultimately discretion</w:t>
      </w:r>
      <w:r w:rsidR="0086102E" w:rsidRPr="00940201">
        <w:t>,</w:t>
      </w:r>
      <w:r w:rsidRPr="00940201">
        <w:t xml:space="preserve"> to determine which ODRS consumers require the high needs milestone rates.</w:t>
      </w:r>
    </w:p>
    <w:p w14:paraId="5FD389B4" w14:textId="77777777" w:rsidR="003E4A2A" w:rsidRPr="00934D06" w:rsidRDefault="003E4A2A" w:rsidP="00B1367E">
      <w:pPr>
        <w:rPr>
          <w:b/>
        </w:rPr>
      </w:pPr>
      <w:r w:rsidRPr="00934D06">
        <w:t>It is doubtful either of Oklahoma’s state agencies could have anticipated these issues when they first created their pioneering alternative models to traditional fee-for-service</w:t>
      </w:r>
      <w:r w:rsidR="00812E06">
        <w:t>,</w:t>
      </w:r>
      <w:r w:rsidRPr="00934D06">
        <w:t xml:space="preserve"> but experience is often the best teacher in finding effective funding models</w:t>
      </w:r>
      <w:r w:rsidR="005043F4">
        <w:t xml:space="preserve">. </w:t>
      </w:r>
      <w:r w:rsidRPr="00EE62A1">
        <w:rPr>
          <w:b/>
        </w:rPr>
        <w:t>While quite often a challenge for government agencies, being nimble and willing to adjust any models implemented based on the actual outcomes (especially unexpected outcomes) is critical for long-term success.</w:t>
      </w:r>
    </w:p>
    <w:p w14:paraId="5156A2F2" w14:textId="77777777" w:rsidR="003E4A2A" w:rsidRPr="00934D06" w:rsidRDefault="003E4A2A" w:rsidP="00B1367E">
      <w:r w:rsidRPr="00934D06">
        <w:t>Since the millennium, most state VR agencies have moved to milestone payments</w:t>
      </w:r>
      <w:r w:rsidR="00BE0E36">
        <w:t>.</w:t>
      </w:r>
      <w:r w:rsidRPr="00934D06">
        <w:t xml:space="preserve"> </w:t>
      </w:r>
      <w:r w:rsidR="00BE0E36">
        <w:t>However,</w:t>
      </w:r>
      <w:r w:rsidRPr="00934D06">
        <w:t xml:space="preserve"> many still recognize there is room for further improvement of their models to better advance the program’s desired outcomes, including sustained employment for a broader range of eligible individuals with disabilities</w:t>
      </w:r>
      <w:r w:rsidR="005043F4">
        <w:t xml:space="preserve">. </w:t>
      </w:r>
      <w:r w:rsidRPr="00934D06">
        <w:t>Additionally, VR agencies are seeking to create funding structures that support the use of newer, evidence-based practices including Customized Employment</w:t>
      </w:r>
      <w:r w:rsidRPr="00934D06">
        <w:rPr>
          <w:rStyle w:val="FootnoteReference"/>
        </w:rPr>
        <w:footnoteReference w:id="6"/>
      </w:r>
      <w:r w:rsidRPr="00934D06">
        <w:t>, Individualized Placement and Support (IPS), Project Search, and Progressive Employment, given the impact use of these practices can have on VR program outcomes.</w:t>
      </w:r>
    </w:p>
    <w:p w14:paraId="03B5EE9E" w14:textId="77777777" w:rsidR="003E4A2A" w:rsidRPr="00934D06" w:rsidRDefault="003E4A2A" w:rsidP="00B1367E">
      <w:r w:rsidRPr="00934D06">
        <w:t xml:space="preserve">Medicaid programs serving people with disabilities have increasingly focused attention on increasing competitive integrated employment opportunities and </w:t>
      </w:r>
      <w:r w:rsidRPr="008E4E65">
        <w:t>outcomes</w:t>
      </w:r>
      <w:r w:rsidR="008E4E65" w:rsidRPr="008E4E65">
        <w:t xml:space="preserve"> since the millennium</w:t>
      </w:r>
      <w:r w:rsidR="005043F4" w:rsidRPr="008E4E65">
        <w:t>.</w:t>
      </w:r>
      <w:r w:rsidR="005043F4">
        <w:t xml:space="preserve"> </w:t>
      </w:r>
      <w:r w:rsidRPr="00934D06">
        <w:t xml:space="preserve">The efforts of the developmental disabilities state agencies in Washington and Vermont began well before the millennium. </w:t>
      </w:r>
      <w:r w:rsidR="00C013DC">
        <w:t>And i</w:t>
      </w:r>
      <w:r w:rsidRPr="00934D06">
        <w:t>n 2002, Tennessee’s Developmental Disabilities agency was the first agency in the country to adopt an Employment First policy. Many state agencies subsequently followed suit, and soon governor’s executive orders and state legislation appeared reinforcing commitment to Employment First. But experience in the early years demonstrated that a policy, executive order</w:t>
      </w:r>
      <w:r w:rsidR="00031D31">
        <w:t>,</w:t>
      </w:r>
      <w:r w:rsidRPr="00934D06">
        <w:t xml:space="preserve"> or even legislation in and of itself was not enough to improve opportunities and outcomes</w:t>
      </w:r>
      <w:r w:rsidR="005043F4">
        <w:t xml:space="preserve">. </w:t>
      </w:r>
      <w:r w:rsidRPr="00934D06">
        <w:t>As time has passed, it has become increasingly clear that funding structures, for both employment services and alternative services, play a significant role in whether opportunities and outcomes actually increase</w:t>
      </w:r>
      <w:r w:rsidR="005043F4">
        <w:t xml:space="preserve">. </w:t>
      </w:r>
      <w:r w:rsidRPr="00934D06">
        <w:t xml:space="preserve">While some will </w:t>
      </w:r>
      <w:r w:rsidR="00D6734A" w:rsidRPr="00934D06">
        <w:t>say,</w:t>
      </w:r>
      <w:r w:rsidRPr="00934D06">
        <w:t xml:space="preserve"> “it’s all about the money</w:t>
      </w:r>
      <w:r w:rsidR="00D6734A">
        <w:t>,</w:t>
      </w:r>
      <w:r w:rsidRPr="00934D06">
        <w:t>” that is not true. There are definitely other key factors that impact Employment First efforts. But we cannot underestimate the importance of funding structures, recognizing and accepting that money does drive behavior. It is clear that the principles of value-based purchasing are increasingly being applied to funding structures for employment services. Where services that support alternative</w:t>
      </w:r>
      <w:r w:rsidR="00D6734A">
        <w:t>s</w:t>
      </w:r>
      <w:r w:rsidRPr="00934D06">
        <w:t xml:space="preserve"> to competitive integrated employment are included in the overall effort, desired impacts appear more likely to be achieved.</w:t>
      </w:r>
    </w:p>
    <w:p w14:paraId="758FC88F" w14:textId="77777777" w:rsidR="003E4A2A" w:rsidRPr="00272921" w:rsidRDefault="003E4A2A" w:rsidP="00B11115">
      <w:pPr>
        <w:pStyle w:val="Heading2"/>
      </w:pPr>
      <w:bookmarkStart w:id="10" w:name="_Toc70944163"/>
      <w:r w:rsidRPr="00272921">
        <w:t>Many Systems, Many Approaches, Many Opportunities for Innovation</w:t>
      </w:r>
      <w:bookmarkEnd w:id="10"/>
    </w:p>
    <w:p w14:paraId="280E19C0" w14:textId="77777777" w:rsidR="003E4A2A" w:rsidRDefault="003E4A2A" w:rsidP="00F8388F">
      <w:r w:rsidRPr="00934D06">
        <w:t>This guide includes many examples of innovation in funding models</w:t>
      </w:r>
      <w:r w:rsidR="00ED3D86">
        <w:t>—</w:t>
      </w:r>
      <w:r w:rsidRPr="00934D06">
        <w:t>both payment rates and payment methodologies</w:t>
      </w:r>
      <w:r w:rsidR="00ED3D86">
        <w:t>—</w:t>
      </w:r>
      <w:r w:rsidRPr="00934D06">
        <w:t>from multiple systems that serve people with disabilities and pay for employment services and supports</w:t>
      </w:r>
      <w:r w:rsidR="005043F4">
        <w:t xml:space="preserve">. </w:t>
      </w:r>
      <w:r w:rsidRPr="00934D06">
        <w:t>For some systems, it is their sole purpose; for other systems, it is part of a larger mandate. The opportunities for innovation are plentiful</w:t>
      </w:r>
      <w:r w:rsidR="009C3D06">
        <w:t>,</w:t>
      </w:r>
      <w:r w:rsidRPr="00E05657">
        <w:t xml:space="preserve"> especially</w:t>
      </w:r>
      <w:r w:rsidRPr="00934D06">
        <w:t xml:space="preserve"> when processes are undertaken to </w:t>
      </w:r>
      <w:r w:rsidRPr="00934D06">
        <w:lastRenderedPageBreak/>
        <w:t xml:space="preserve">devise new approaches that engage all key stakeholders, collect and use relevant data, and start from the right perspective. </w:t>
      </w:r>
    </w:p>
    <w:p w14:paraId="268E771F" w14:textId="6DF09093" w:rsidR="003E4A2A" w:rsidRDefault="003E4A2A" w:rsidP="00B1367E">
      <w:r w:rsidRPr="00934D06">
        <w:t xml:space="preserve">Inertia can cause many of us to recoil from the challenges we face in devising funding model changes that are likely to be viable and effective. </w:t>
      </w:r>
      <w:r w:rsidR="00915EDC">
        <w:t>T</w:t>
      </w:r>
      <w:r w:rsidRPr="00934D06">
        <w:t xml:space="preserve">his guide will hopefully show there are multiple ways to create funding solutions to advance </w:t>
      </w:r>
      <w:r w:rsidR="00F15631" w:rsidRPr="00F15631">
        <w:t xml:space="preserve">Competitive Integrated Employment and </w:t>
      </w:r>
      <w:r w:rsidRPr="00934D06">
        <w:t>Employment First that are affordable and effective</w:t>
      </w:r>
      <w:r w:rsidR="005043F4">
        <w:t xml:space="preserve">. </w:t>
      </w:r>
    </w:p>
    <w:p w14:paraId="427C95FC" w14:textId="4DAA84B3" w:rsidR="00757407" w:rsidRPr="00272921" w:rsidRDefault="00757407" w:rsidP="00B11115">
      <w:pPr>
        <w:pStyle w:val="Heading1"/>
      </w:pPr>
      <w:bookmarkStart w:id="11" w:name="_Toc70944164"/>
      <w:r w:rsidRPr="00272921">
        <w:t>Designing</w:t>
      </w:r>
      <w:r w:rsidR="00F8388F" w:rsidRPr="00272921">
        <w:t xml:space="preserve"> and</w:t>
      </w:r>
      <w:r w:rsidRPr="00272921">
        <w:t xml:space="preserve"> Implementing New Reimbursement Methodologies and Restructuring Reimbursement Rates to Advance </w:t>
      </w:r>
      <w:r w:rsidR="00F15631" w:rsidRPr="00F15631">
        <w:t xml:space="preserve">Competitive Integrated Employment and </w:t>
      </w:r>
      <w:r w:rsidRPr="00272921">
        <w:t>Employment First:</w:t>
      </w:r>
      <w:r w:rsidR="00F15631">
        <w:t xml:space="preserve"> </w:t>
      </w:r>
      <w:r w:rsidRPr="00272921">
        <w:t>Lessons Learned on Process</w:t>
      </w:r>
      <w:bookmarkEnd w:id="11"/>
    </w:p>
    <w:p w14:paraId="4092C774" w14:textId="77777777" w:rsidR="00757407" w:rsidRPr="00272921" w:rsidRDefault="00757407" w:rsidP="00B11115">
      <w:pPr>
        <w:pStyle w:val="Heading2"/>
      </w:pPr>
      <w:bookmarkStart w:id="12" w:name="_Toc70944165"/>
      <w:r w:rsidRPr="00272921">
        <w:t>Introduction</w:t>
      </w:r>
      <w:bookmarkEnd w:id="12"/>
    </w:p>
    <w:p w14:paraId="59FA7DFD" w14:textId="142ACE64" w:rsidR="006429BE" w:rsidRDefault="00757407" w:rsidP="006429BE">
      <w:r w:rsidRPr="008B2BB4">
        <w:t xml:space="preserve">Across the country, it is abundantly clear that a growing number of state agencies that serve people with disabilities, and intermediaries such as counties or statewide/regional </w:t>
      </w:r>
      <w:r w:rsidR="00617ED9" w:rsidRPr="008B2BB4">
        <w:t>MCOs</w:t>
      </w:r>
      <w:r w:rsidR="003E7298" w:rsidRPr="008B2BB4">
        <w:t>,</w:t>
      </w:r>
      <w:r w:rsidR="00617ED9" w:rsidRPr="008B2BB4">
        <w:t xml:space="preserve"> </w:t>
      </w:r>
      <w:r w:rsidRPr="008B2BB4">
        <w:t>are interested in developing new and innovative ways to design reimbursement methodologies for direct services that support competitive integrated employment, and by association, services that support the alternatives or precursors to competitive integrated employment</w:t>
      </w:r>
      <w:r w:rsidR="005043F4" w:rsidRPr="008B2BB4">
        <w:t>.</w:t>
      </w:r>
      <w:r w:rsidR="005043F4">
        <w:t xml:space="preserve"> </w:t>
      </w:r>
      <w:r w:rsidRPr="00485FE5">
        <w:t>In using the phrase “reimbursement methodologies</w:t>
      </w:r>
      <w:r w:rsidR="00E05657">
        <w:t>,</w:t>
      </w:r>
      <w:r w:rsidRPr="00485FE5">
        <w:t xml:space="preserve">” the specific focus is on </w:t>
      </w:r>
      <w:r w:rsidRPr="00485FE5">
        <w:rPr>
          <w:u w:val="single"/>
        </w:rPr>
        <w:t>what</w:t>
      </w:r>
      <w:r w:rsidRPr="00485FE5">
        <w:t xml:space="preserve"> is paid for, </w:t>
      </w:r>
      <w:r w:rsidRPr="00485FE5">
        <w:rPr>
          <w:u w:val="single"/>
        </w:rPr>
        <w:t>how</w:t>
      </w:r>
      <w:r w:rsidRPr="00485FE5">
        <w:t xml:space="preserve"> it is paid for, </w:t>
      </w:r>
      <w:r w:rsidRPr="00485FE5">
        <w:rPr>
          <w:u w:val="single"/>
        </w:rPr>
        <w:t>when</w:t>
      </w:r>
      <w:r w:rsidRPr="00485FE5">
        <w:t xml:space="preserve"> it is paid for. Attention is also focused on a complementary activity: realigning reimbursement rates which specifically addresses </w:t>
      </w:r>
      <w:r w:rsidRPr="00485FE5">
        <w:rPr>
          <w:u w:val="single"/>
        </w:rPr>
        <w:t>how much</w:t>
      </w:r>
      <w:r w:rsidRPr="00485FE5">
        <w:t xml:space="preserve"> is paid within the context of a specific reimbursement methodology. </w:t>
      </w:r>
      <w:r w:rsidRPr="00E05657">
        <w:t xml:space="preserve">It should be noted that reimbursement rates cannot be evaluated without a full understanding of the reimbursement methodology </w:t>
      </w:r>
      <w:r w:rsidR="00E05657" w:rsidRPr="00E05657">
        <w:t xml:space="preserve">to </w:t>
      </w:r>
      <w:r w:rsidRPr="00E05657">
        <w:t>which the specific reimbursement rates apply</w:t>
      </w:r>
      <w:r w:rsidR="005043F4" w:rsidRPr="00E05657">
        <w:t>.</w:t>
      </w:r>
      <w:r w:rsidR="005043F4">
        <w:t xml:space="preserve"> </w:t>
      </w:r>
    </w:p>
    <w:p w14:paraId="1ADCCBF7" w14:textId="1E3910DC" w:rsidR="00730FAC" w:rsidRDefault="00730FAC" w:rsidP="00730FAC">
      <w:pPr>
        <w:spacing w:before="240" w:after="240"/>
        <w:ind w:left="2070"/>
      </w:pPr>
      <w:r w:rsidRPr="006C0766">
        <w:rPr>
          <w:b/>
          <w:caps/>
          <w:noProof/>
          <w:color w:val="595959" w:themeColor="text1" w:themeTint="A6"/>
        </w:rPr>
        <w:drawing>
          <wp:inline distT="0" distB="0" distL="0" distR="0" wp14:anchorId="0E488657" wp14:editId="55A78248">
            <wp:extent cx="2825496" cy="1700784"/>
            <wp:effectExtent l="76200" t="57150" r="70485" b="90170"/>
            <wp:docPr id="25" name="Diagram 25" descr="Image depicting reimbursment rate focusing on what, how, when, and how much is pai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9C02C5F" w14:textId="77777777" w:rsidR="00757407" w:rsidRDefault="00757407" w:rsidP="00B1367E">
      <w:r w:rsidRPr="00485FE5">
        <w:t>As part of a broader focus on payment reform and value-based purchasing, there is a growing desire to align financial incentives for direct service providers with the achievement of outcomes linked to increasing competitive integrated employment participation among people with disabilities</w:t>
      </w:r>
      <w:r w:rsidR="005043F4">
        <w:t xml:space="preserve">. </w:t>
      </w:r>
      <w:r w:rsidRPr="00485FE5">
        <w:t>As mentioned earlier in this guide, there are many ways to use payment structures, differential rates</w:t>
      </w:r>
      <w:r w:rsidR="00F40B7E">
        <w:t>,</w:t>
      </w:r>
      <w:r w:rsidRPr="00485FE5">
        <w:t xml:space="preserve"> and financial incentives to secure better outcomes for people with disabilities. Many assume this means the only option for getting better outcomes is to spend more. However, instead of </w:t>
      </w:r>
      <w:r w:rsidRPr="00485FE5">
        <w:rPr>
          <w:b/>
          <w:i/>
        </w:rPr>
        <w:t>spending more money</w:t>
      </w:r>
      <w:r w:rsidRPr="00485FE5">
        <w:t xml:space="preserve"> (especially if your system doesn’t have more money available), it pays to instead </w:t>
      </w:r>
      <w:r w:rsidRPr="00485FE5">
        <w:rPr>
          <w:b/>
          <w:i/>
        </w:rPr>
        <w:t>spend more time</w:t>
      </w:r>
      <w:r w:rsidRPr="00485FE5">
        <w:t xml:space="preserve"> understanding, at a deep level, how existing reimbursement structures and differential reimbursement rates may offer financial incentives that do not contribute to (and perhaps may even undermine) the better outcomes that are desired. </w:t>
      </w:r>
    </w:p>
    <w:p w14:paraId="5C733411" w14:textId="77777777" w:rsidR="00B361A6" w:rsidRPr="00485FE5" w:rsidRDefault="00B361A6" w:rsidP="002476FD">
      <w:pPr>
        <w:pStyle w:val="NoSpacing"/>
      </w:pPr>
    </w:p>
    <w:p w14:paraId="4AA15E3F" w14:textId="24D5684B" w:rsidR="00757407" w:rsidRPr="00FC14D7" w:rsidRDefault="00757407" w:rsidP="00022B8D">
      <w:pPr>
        <w:pStyle w:val="Quote"/>
        <w:ind w:left="810" w:hanging="90"/>
        <w:rPr>
          <w:sz w:val="21"/>
          <w:szCs w:val="21"/>
        </w:rPr>
      </w:pPr>
      <w:r w:rsidRPr="00FC14D7">
        <w:rPr>
          <w:sz w:val="21"/>
          <w:szCs w:val="21"/>
        </w:rPr>
        <w:lastRenderedPageBreak/>
        <w:t>“Doing something well, that does not produce the best possible outcomes,</w:t>
      </w:r>
      <w:r w:rsidR="007C613C">
        <w:rPr>
          <w:sz w:val="21"/>
          <w:szCs w:val="21"/>
        </w:rPr>
        <w:t xml:space="preserve"> </w:t>
      </w:r>
      <w:r w:rsidRPr="00FC14D7">
        <w:rPr>
          <w:sz w:val="21"/>
          <w:szCs w:val="21"/>
        </w:rPr>
        <w:t>does not make</w:t>
      </w:r>
      <w:r w:rsidR="00972F68">
        <w:rPr>
          <w:sz w:val="21"/>
          <w:szCs w:val="21"/>
        </w:rPr>
        <w:t xml:space="preserve"> </w:t>
      </w:r>
      <w:r w:rsidRPr="00FC14D7">
        <w:rPr>
          <w:sz w:val="21"/>
          <w:szCs w:val="21"/>
        </w:rPr>
        <w:t>it valuable, just because it is done well.”</w:t>
      </w:r>
    </w:p>
    <w:p w14:paraId="2C9238A5" w14:textId="7416700D" w:rsidR="004C5747" w:rsidRPr="004C5747" w:rsidRDefault="00757555" w:rsidP="00022B8D">
      <w:pPr>
        <w:pStyle w:val="Quote"/>
        <w:ind w:left="810" w:hanging="90"/>
        <w:jc w:val="right"/>
        <w:rPr>
          <w:sz w:val="21"/>
          <w:szCs w:val="21"/>
        </w:rPr>
      </w:pPr>
      <w:r w:rsidRPr="00FC14D7">
        <w:rPr>
          <w:sz w:val="21"/>
          <w:szCs w:val="21"/>
        </w:rPr>
        <w:t xml:space="preserve">- </w:t>
      </w:r>
      <w:r w:rsidR="00757407" w:rsidRPr="00FC14D7">
        <w:rPr>
          <w:sz w:val="21"/>
          <w:szCs w:val="21"/>
        </w:rPr>
        <w:t>Adapted from Tim Ferriss</w:t>
      </w:r>
      <w:r w:rsidR="004C5747">
        <w:rPr>
          <w:sz w:val="21"/>
          <w:szCs w:val="21"/>
        </w:rPr>
        <w:t>, American bestselling author</w:t>
      </w:r>
      <w:r w:rsidR="00EC7303">
        <w:rPr>
          <w:sz w:val="21"/>
          <w:szCs w:val="21"/>
        </w:rPr>
        <w:t xml:space="preserve"> and</w:t>
      </w:r>
      <w:r w:rsidR="004C5747">
        <w:rPr>
          <w:sz w:val="21"/>
          <w:szCs w:val="21"/>
        </w:rPr>
        <w:t xml:space="preserve"> entrepreneur</w:t>
      </w:r>
    </w:p>
    <w:p w14:paraId="1D5C4C7F" w14:textId="77777777" w:rsidR="00B361A6" w:rsidRDefault="00B361A6" w:rsidP="002476FD">
      <w:pPr>
        <w:pStyle w:val="NoSpacing"/>
      </w:pPr>
    </w:p>
    <w:p w14:paraId="78EF646C" w14:textId="5BC9F132" w:rsidR="00757407" w:rsidRPr="00485FE5" w:rsidRDefault="00757407" w:rsidP="007014EC">
      <w:pPr>
        <w:tabs>
          <w:tab w:val="left" w:pos="1080"/>
        </w:tabs>
      </w:pPr>
      <w:r w:rsidRPr="00485FE5">
        <w:t xml:space="preserve">After </w:t>
      </w:r>
      <w:r w:rsidRPr="00485FE5">
        <w:rPr>
          <w:b/>
          <w:i/>
        </w:rPr>
        <w:t>spending more time</w:t>
      </w:r>
      <w:r w:rsidRPr="00485FE5">
        <w:t xml:space="preserve"> understanding what is currently in place, the next essential steps are: </w:t>
      </w:r>
    </w:p>
    <w:p w14:paraId="12EC7D98" w14:textId="77777777" w:rsidR="00757407" w:rsidRPr="00485FE5" w:rsidRDefault="00757407" w:rsidP="00F7360C">
      <w:pPr>
        <w:pStyle w:val="ListBullet"/>
      </w:pPr>
      <w:r w:rsidRPr="00485FE5">
        <w:rPr>
          <w:b/>
          <w:i/>
        </w:rPr>
        <w:t>Setting aside</w:t>
      </w:r>
      <w:r w:rsidRPr="00485FE5">
        <w:t xml:space="preserve"> the belief that cheap is cost-effective</w:t>
      </w:r>
    </w:p>
    <w:p w14:paraId="159AFB86" w14:textId="77777777" w:rsidR="00757407" w:rsidRPr="00485FE5" w:rsidRDefault="00757407" w:rsidP="00F7360C">
      <w:pPr>
        <w:pStyle w:val="ListBullet"/>
      </w:pPr>
      <w:r w:rsidRPr="00485FE5">
        <w:rPr>
          <w:b/>
          <w:i/>
        </w:rPr>
        <w:t>Embracing</w:t>
      </w:r>
      <w:r w:rsidRPr="00485FE5">
        <w:t xml:space="preserve"> the belief that penny-wise can often be pound-foolish, and </w:t>
      </w:r>
    </w:p>
    <w:p w14:paraId="75B00C35" w14:textId="3B8590AC" w:rsidR="008645CD" w:rsidRDefault="00757407" w:rsidP="00F7360C">
      <w:pPr>
        <w:pStyle w:val="ListBullet"/>
      </w:pPr>
      <w:r w:rsidRPr="00485FE5">
        <w:rPr>
          <w:b/>
          <w:i/>
        </w:rPr>
        <w:t>Rejecting</w:t>
      </w:r>
      <w:r w:rsidRPr="00485FE5">
        <w:t xml:space="preserve"> the assumption that what our money can produce in terms of quality and outcomes is purely determined by </w:t>
      </w:r>
      <w:r w:rsidRPr="00485FE5">
        <w:rPr>
          <w:b/>
          <w:i/>
        </w:rPr>
        <w:t>how much</w:t>
      </w:r>
      <w:r w:rsidRPr="00485FE5">
        <w:t xml:space="preserve"> money we have, not by </w:t>
      </w:r>
      <w:r w:rsidRPr="00485FE5">
        <w:rPr>
          <w:b/>
          <w:i/>
        </w:rPr>
        <w:t>how we use</w:t>
      </w:r>
      <w:r w:rsidRPr="00485FE5">
        <w:t xml:space="preserve"> the money.</w:t>
      </w:r>
    </w:p>
    <w:p w14:paraId="7DD146DC" w14:textId="77777777" w:rsidR="00757407" w:rsidRPr="006A2BD9" w:rsidRDefault="00757407" w:rsidP="00B11115">
      <w:pPr>
        <w:pStyle w:val="Heading3"/>
      </w:pPr>
      <w:bookmarkStart w:id="13" w:name="_Toc70944166"/>
      <w:r w:rsidRPr="006A2BD9">
        <w:t>Lessons Learned on Process</w:t>
      </w:r>
      <w:bookmarkEnd w:id="13"/>
    </w:p>
    <w:p w14:paraId="60985EA1" w14:textId="5D0528C3" w:rsidR="00757407" w:rsidRPr="00485FE5" w:rsidRDefault="00757407" w:rsidP="00B1367E">
      <w:r w:rsidRPr="00485FE5">
        <w:t xml:space="preserve">Most people believe that desired outcomes should guide any processes that are </w:t>
      </w:r>
      <w:r w:rsidRPr="00E05657">
        <w:t>undertaken; but</w:t>
      </w:r>
      <w:r w:rsidRPr="00485FE5">
        <w:t xml:space="preserve"> all too often, </w:t>
      </w:r>
      <w:r w:rsidR="00E05657">
        <w:t xml:space="preserve">the </w:t>
      </w:r>
      <w:r w:rsidRPr="00485FE5">
        <w:t>process ends up defining the outcomes that result</w:t>
      </w:r>
      <w:r w:rsidR="005043F4">
        <w:t xml:space="preserve">. </w:t>
      </w:r>
      <w:r w:rsidRPr="00485FE5">
        <w:t>Poor process can kill a good idea before it even has time to develop and take root</w:t>
      </w:r>
      <w:r w:rsidR="005043F4">
        <w:t xml:space="preserve">. </w:t>
      </w:r>
      <w:r w:rsidRPr="00485FE5">
        <w:t>An effective process for designing and successfully implementing good changes</w:t>
      </w:r>
      <w:r w:rsidR="00AA2548">
        <w:t>—</w:t>
      </w:r>
      <w:r w:rsidRPr="00485FE5">
        <w:t>in reimbursement methodologies and rates for services that impact the advancement of Employment First</w:t>
      </w:r>
      <w:r w:rsidR="00AA2548">
        <w:t>—</w:t>
      </w:r>
      <w:r w:rsidRPr="00485FE5">
        <w:t xml:space="preserve">is the topic of this part of the </w:t>
      </w:r>
      <w:r w:rsidR="00A44BE5">
        <w:t>g</w:t>
      </w:r>
      <w:r w:rsidRPr="00485FE5">
        <w:t>uide</w:t>
      </w:r>
      <w:r w:rsidR="005043F4">
        <w:t xml:space="preserve">. </w:t>
      </w:r>
      <w:r w:rsidRPr="00E05657">
        <w:t>Using hindsight</w:t>
      </w:r>
      <w:r w:rsidRPr="00485FE5">
        <w:t xml:space="preserve">, it is typically possible to see which processes advanced desired outcomes and which processes did not. What can be learned from using the author’s hindsight </w:t>
      </w:r>
      <w:r w:rsidR="002A04F0">
        <w:t>was</w:t>
      </w:r>
      <w:r w:rsidRPr="00485FE5">
        <w:t xml:space="preserve"> condensed into ten key principles for designing and implementing new reimbursement methodologies and restructuring rates to advance Employment First</w:t>
      </w:r>
      <w:r w:rsidR="00AA2548">
        <w:t>.</w:t>
      </w:r>
      <w:r w:rsidR="00023280">
        <w:t xml:space="preserve"> </w:t>
      </w:r>
    </w:p>
    <w:p w14:paraId="5073384E" w14:textId="77777777" w:rsidR="00757407" w:rsidRPr="00BE4F46" w:rsidRDefault="00757407" w:rsidP="00B11115">
      <w:pPr>
        <w:pStyle w:val="Heading4"/>
      </w:pPr>
      <w:r w:rsidRPr="00BE4F46">
        <w:t>Principle #1:</w:t>
      </w:r>
      <w:r w:rsidR="008645CD" w:rsidRPr="00BE4F46">
        <w:t xml:space="preserve"> </w:t>
      </w:r>
      <w:r w:rsidRPr="00BE4F46">
        <w:t>Clearly Define Intended Outcomes with Firm and Unwavering Support for the Value of Competitive Integrated Employment in the Lives of People with Disabilities.</w:t>
      </w:r>
    </w:p>
    <w:p w14:paraId="6F43DECD" w14:textId="77777777" w:rsidR="00A6776C" w:rsidRPr="00A763F0" w:rsidRDefault="00A6776C" w:rsidP="002476FD">
      <w:pPr>
        <w:pStyle w:val="NoSpacing"/>
      </w:pPr>
    </w:p>
    <w:p w14:paraId="19C74FD8" w14:textId="2A0ED6FF" w:rsidR="00757407" w:rsidRPr="00FC14D7" w:rsidRDefault="00757407" w:rsidP="005A1ACD">
      <w:pPr>
        <w:pStyle w:val="Quote"/>
        <w:ind w:left="1440"/>
        <w:rPr>
          <w:sz w:val="21"/>
          <w:szCs w:val="21"/>
        </w:rPr>
      </w:pPr>
      <w:r w:rsidRPr="00FC14D7">
        <w:rPr>
          <w:sz w:val="21"/>
          <w:szCs w:val="21"/>
        </w:rPr>
        <w:t>“Know where you are going, even if you don’t know how to get there.”</w:t>
      </w:r>
    </w:p>
    <w:p w14:paraId="0E4EBE34" w14:textId="7F875631" w:rsidR="00757407" w:rsidRPr="00FC14D7" w:rsidRDefault="00D32418" w:rsidP="00022B8D">
      <w:pPr>
        <w:pStyle w:val="Quote"/>
        <w:ind w:left="1440"/>
        <w:jc w:val="right"/>
        <w:rPr>
          <w:sz w:val="21"/>
          <w:szCs w:val="21"/>
        </w:rPr>
      </w:pPr>
      <w:r w:rsidRPr="00FC14D7">
        <w:rPr>
          <w:sz w:val="21"/>
          <w:szCs w:val="21"/>
        </w:rPr>
        <w:t xml:space="preserve">- </w:t>
      </w:r>
      <w:r w:rsidR="00757407" w:rsidRPr="00FC14D7">
        <w:rPr>
          <w:sz w:val="21"/>
          <w:szCs w:val="21"/>
        </w:rPr>
        <w:t>Frank Cianciulli</w:t>
      </w:r>
      <w:r w:rsidR="006B77E2">
        <w:rPr>
          <w:sz w:val="21"/>
          <w:szCs w:val="21"/>
        </w:rPr>
        <w:t>, Entrepreneur and Chairman and CEO of The Wish Group</w:t>
      </w:r>
    </w:p>
    <w:p w14:paraId="7DE39539" w14:textId="77777777" w:rsidR="00A763F0" w:rsidRPr="00485FE5" w:rsidRDefault="00A763F0" w:rsidP="002476FD">
      <w:pPr>
        <w:pStyle w:val="NoSpacing"/>
      </w:pPr>
    </w:p>
    <w:p w14:paraId="1EE09EB9" w14:textId="21B19867" w:rsidR="00757407" w:rsidRPr="00485FE5" w:rsidRDefault="00757407" w:rsidP="00B1367E">
      <w:r w:rsidRPr="00485FE5">
        <w:t>Many times, it’s easier to define where the system should ideally be than it is to define the path to getting there from where a system is currently</w:t>
      </w:r>
      <w:r w:rsidR="0037194D">
        <w:t xml:space="preserve">. </w:t>
      </w:r>
      <w:r w:rsidRPr="00485FE5">
        <w:t xml:space="preserve">It is essential that those leading any process designed to create change in reimbursement methodologies and rates for services that impact the advancement of </w:t>
      </w:r>
      <w:r w:rsidR="00F15631" w:rsidRPr="00F15631">
        <w:t xml:space="preserve">Competitive Integrated Employment and </w:t>
      </w:r>
      <w:r w:rsidRPr="00485FE5">
        <w:t xml:space="preserve">Employment First begin by </w:t>
      </w:r>
      <w:r w:rsidR="0090228F" w:rsidRPr="002A24F4">
        <w:t xml:space="preserve">clearly </w:t>
      </w:r>
      <w:r w:rsidRPr="002A24F4">
        <w:t xml:space="preserve">stating </w:t>
      </w:r>
      <w:r w:rsidRPr="00485FE5">
        <w:t>the intended outcomes for the process</w:t>
      </w:r>
      <w:r w:rsidR="0037194D">
        <w:t xml:space="preserve">. </w:t>
      </w:r>
      <w:r w:rsidR="00C85812">
        <w:t>I</w:t>
      </w:r>
      <w:r w:rsidRPr="00485FE5">
        <w:t xml:space="preserve">n other words, what change(s) is desired, including clearly defining </w:t>
      </w:r>
      <w:r w:rsidRPr="00B56360">
        <w:t xml:space="preserve">how we will know we have </w:t>
      </w:r>
      <w:r w:rsidR="002A04F0">
        <w:t>succeeded</w:t>
      </w:r>
      <w:r w:rsidR="0037194D">
        <w:t xml:space="preserve">. </w:t>
      </w:r>
      <w:r w:rsidRPr="00485FE5">
        <w:t>Allowing confusion, lack of clarity</w:t>
      </w:r>
      <w:r w:rsidR="009E3411">
        <w:t>,</w:t>
      </w:r>
      <w:r w:rsidRPr="00485FE5">
        <w:t xml:space="preserve"> and multiple perceptions about desired outcomes – although sometimes to avoid conflict about the fundamental need to advance Employment First – is likely to doom even the most</w:t>
      </w:r>
      <w:r w:rsidR="002A04F0">
        <w:t xml:space="preserve"> </w:t>
      </w:r>
      <w:r w:rsidRPr="000F62B6">
        <w:t>well-executed</w:t>
      </w:r>
      <w:r w:rsidRPr="00485FE5">
        <w:t xml:space="preserve"> processes undertaken</w:t>
      </w:r>
      <w:r w:rsidR="005043F4">
        <w:t xml:space="preserve">. </w:t>
      </w:r>
    </w:p>
    <w:p w14:paraId="2A35F228" w14:textId="640E8B84" w:rsidR="00130CA7" w:rsidRPr="00A13EED" w:rsidRDefault="00757407" w:rsidP="00A13EED">
      <w:pPr>
        <w:rPr>
          <w:rStyle w:val="Strong"/>
          <w:rFonts w:ascii="Trebuchet MS" w:hAnsi="Trebuchet MS"/>
          <w:b/>
          <w:bCs w:val="0"/>
        </w:rPr>
      </w:pPr>
      <w:r w:rsidRPr="00485FE5">
        <w:t xml:space="preserve">Some may argue against an approach that emphasizes being crystal clear from the outset about the desired outcomes of the process undertaken to create change in reimbursement methodologies and rates. They may contend that </w:t>
      </w:r>
      <w:r w:rsidR="00C91D47" w:rsidRPr="00485FE5">
        <w:t xml:space="preserve">clearly </w:t>
      </w:r>
      <w:r w:rsidRPr="00485FE5">
        <w:t xml:space="preserve">articulating the end goals can create challenges with obtaining </w:t>
      </w:r>
      <w:r w:rsidRPr="00AB5807">
        <w:t>consensus</w:t>
      </w:r>
      <w:r w:rsidRPr="00485FE5">
        <w:t xml:space="preserve"> around engaging in the process of designing and implementing changes</w:t>
      </w:r>
      <w:r w:rsidR="005043F4">
        <w:t xml:space="preserve">. </w:t>
      </w:r>
      <w:r w:rsidRPr="00835526">
        <w:t xml:space="preserve">Yet with Employment First, experience has taught that achieving consensus on outcomes, </w:t>
      </w:r>
      <w:r w:rsidRPr="00835526">
        <w:rPr>
          <w:i/>
        </w:rPr>
        <w:t>as part of</w:t>
      </w:r>
      <w:r w:rsidRPr="00835526">
        <w:t xml:space="preserve"> the process of redesigning reimbursement methodologies and rates, is </w:t>
      </w:r>
      <w:r w:rsidR="000F62B6" w:rsidRPr="00835526">
        <w:t xml:space="preserve">often </w:t>
      </w:r>
      <w:r w:rsidRPr="00835526">
        <w:t>unlikely</w:t>
      </w:r>
      <w:r w:rsidR="00AB5807" w:rsidRPr="00835526">
        <w:t>.</w:t>
      </w:r>
      <w:r w:rsidRPr="00835526">
        <w:t xml:space="preserve"> </w:t>
      </w:r>
      <w:r w:rsidR="008B2BB4">
        <w:t>Efforts often</w:t>
      </w:r>
      <w:r w:rsidRPr="00835526">
        <w:t xml:space="preserve"> focused on this approach typically end up bogged down by debates about desired outcomes and other priorities of participants, distracting attention from</w:t>
      </w:r>
      <w:r w:rsidR="000F62B6" w:rsidRPr="00835526">
        <w:t xml:space="preserve"> the</w:t>
      </w:r>
      <w:r w:rsidRPr="00835526">
        <w:t xml:space="preserve"> development of the best funding strategies and payment structures to advance </w:t>
      </w:r>
      <w:r w:rsidR="00F15631" w:rsidRPr="00F15631">
        <w:t>Competitive Integrated Employment</w:t>
      </w:r>
      <w:r w:rsidRPr="00835526">
        <w:t>.</w:t>
      </w:r>
      <w:r w:rsidRPr="00485FE5">
        <w:t xml:space="preserve"> With strong clarity about desired outcomes, experience has taught there are always a sufficient number of stakeholders willing to engage in the </w:t>
      </w:r>
      <w:r w:rsidRPr="00485FE5">
        <w:lastRenderedPageBreak/>
        <w:t xml:space="preserve">process because they are supportive of the intended outcomes being articulated from the outset of the process. </w:t>
      </w:r>
    </w:p>
    <w:p w14:paraId="72979EED" w14:textId="7262F656" w:rsidR="00757407" w:rsidRPr="00BE4F46" w:rsidRDefault="00757407" w:rsidP="00B11115">
      <w:pPr>
        <w:pStyle w:val="Heading4"/>
      </w:pPr>
      <w:r w:rsidRPr="00BE4F46">
        <w:t>Principle #2:</w:t>
      </w:r>
      <w:r w:rsidR="008645CD" w:rsidRPr="00BE4F46">
        <w:t xml:space="preserve"> </w:t>
      </w:r>
      <w:r w:rsidRPr="00BE4F46">
        <w:t xml:space="preserve">Stop the “Blame Game” in </w:t>
      </w:r>
      <w:r w:rsidR="00C91D47" w:rsidRPr="00BE4F46">
        <w:t>O</w:t>
      </w:r>
      <w:r w:rsidRPr="00BE4F46">
        <w:t>rder to Create the Atmosphere for Successful Collaboration</w:t>
      </w:r>
      <w:r w:rsidR="00A6776C" w:rsidRPr="00BE4F46">
        <w:t>.</w:t>
      </w:r>
    </w:p>
    <w:p w14:paraId="3DB8E55B" w14:textId="77777777" w:rsidR="008645CD" w:rsidRPr="003737ED" w:rsidRDefault="008645CD" w:rsidP="002476FD">
      <w:pPr>
        <w:pStyle w:val="NoSpacing"/>
      </w:pPr>
    </w:p>
    <w:p w14:paraId="7943A640" w14:textId="5FF379DB" w:rsidR="00757407" w:rsidRPr="00FC14D7" w:rsidRDefault="00757407" w:rsidP="00C27B9A">
      <w:pPr>
        <w:pStyle w:val="Quote"/>
        <w:ind w:left="1530" w:hanging="90"/>
        <w:rPr>
          <w:sz w:val="21"/>
          <w:szCs w:val="21"/>
        </w:rPr>
      </w:pPr>
      <w:r w:rsidRPr="00FC14D7">
        <w:rPr>
          <w:sz w:val="21"/>
          <w:szCs w:val="21"/>
        </w:rPr>
        <w:t>“To solve a problem, you have to recognize your share of responsibility.</w:t>
      </w:r>
      <w:r w:rsidR="00972F68">
        <w:rPr>
          <w:sz w:val="21"/>
          <w:szCs w:val="21"/>
        </w:rPr>
        <w:t xml:space="preserve"> </w:t>
      </w:r>
      <w:r w:rsidRPr="00FC14D7">
        <w:rPr>
          <w:sz w:val="21"/>
          <w:szCs w:val="21"/>
        </w:rPr>
        <w:t>If you only blame others, you will never solve it.”</w:t>
      </w:r>
    </w:p>
    <w:p w14:paraId="334DEF6B" w14:textId="77777777" w:rsidR="00757407" w:rsidRPr="00FC14D7" w:rsidRDefault="00D32418" w:rsidP="00972F68">
      <w:pPr>
        <w:pStyle w:val="Quote"/>
        <w:ind w:left="1440" w:firstLine="4050"/>
        <w:jc w:val="right"/>
        <w:rPr>
          <w:sz w:val="21"/>
          <w:szCs w:val="21"/>
        </w:rPr>
      </w:pPr>
      <w:r w:rsidRPr="00FC14D7">
        <w:rPr>
          <w:sz w:val="21"/>
          <w:szCs w:val="21"/>
        </w:rPr>
        <w:t xml:space="preserve">- </w:t>
      </w:r>
      <w:r w:rsidR="00757407" w:rsidRPr="00FC14D7">
        <w:rPr>
          <w:sz w:val="21"/>
          <w:szCs w:val="21"/>
        </w:rPr>
        <w:t>TheDailyQuotes.com</w:t>
      </w:r>
    </w:p>
    <w:p w14:paraId="4FE6B39D" w14:textId="77777777" w:rsidR="003737ED" w:rsidRPr="00485FE5" w:rsidRDefault="003737ED" w:rsidP="002476FD">
      <w:pPr>
        <w:pStyle w:val="NoSpacing"/>
      </w:pPr>
    </w:p>
    <w:p w14:paraId="60855C69" w14:textId="509DE38C" w:rsidR="00757407" w:rsidRPr="00485FE5" w:rsidRDefault="00757407" w:rsidP="00B1367E">
      <w:r w:rsidRPr="00485FE5">
        <w:t>Be conscious of proverbial “finger</w:t>
      </w:r>
      <w:r w:rsidR="008263DA">
        <w:t>-</w:t>
      </w:r>
      <w:r w:rsidRPr="00485FE5">
        <w:t xml:space="preserve">pointing” and blaming of partners </w:t>
      </w:r>
      <w:r w:rsidRPr="00F30784">
        <w:t xml:space="preserve">that </w:t>
      </w:r>
      <w:r w:rsidR="002A04F0">
        <w:t>can exist in any organization</w:t>
      </w:r>
      <w:r w:rsidRPr="00485FE5">
        <w:t xml:space="preserve">. This </w:t>
      </w:r>
      <w:r w:rsidR="002A04F0">
        <w:t>can</w:t>
      </w:r>
      <w:r w:rsidRPr="00485FE5">
        <w:t xml:space="preserve"> inadvertent</w:t>
      </w:r>
      <w:r w:rsidR="00CE3A1B">
        <w:t>ly</w:t>
      </w:r>
      <w:r w:rsidRPr="00485FE5">
        <w:t xml:space="preserve"> result </w:t>
      </w:r>
      <w:r w:rsidR="00CE3A1B">
        <w:t>in a</w:t>
      </w:r>
      <w:r w:rsidRPr="00485FE5">
        <w:t xml:space="preserve"> highly challenging environment. </w:t>
      </w:r>
    </w:p>
    <w:p w14:paraId="773701D5" w14:textId="4E00FFD7" w:rsidR="00757407" w:rsidRPr="00485FE5" w:rsidRDefault="00757407" w:rsidP="00B1367E">
      <w:r w:rsidRPr="00485FE5">
        <w:t>To maximize the possibility of success, it is essential that those leading any process designed to create change in reimbursement methodologies and rates for services that impact the advancement of Employment First begin by</w:t>
      </w:r>
      <w:r w:rsidR="00CE3A1B">
        <w:t xml:space="preserve"> </w:t>
      </w:r>
      <w:r w:rsidRPr="00485FE5">
        <w:t>turning their pointing finger back toward themselves, and by doing so, own their part of the responsibility for not already having the outcomes they want</w:t>
      </w:r>
      <w:r w:rsidR="005043F4">
        <w:t xml:space="preserve">. </w:t>
      </w:r>
      <w:r w:rsidRPr="00485FE5">
        <w:t>From experience, it is clear that this sets the stage for partners to engage in the process with a different attitude from the beginning.</w:t>
      </w:r>
    </w:p>
    <w:p w14:paraId="144E327B" w14:textId="77777777" w:rsidR="008F440A" w:rsidRDefault="00757407" w:rsidP="006429BE">
      <w:r w:rsidRPr="00485FE5">
        <w:t>A focus on establishing or pointing out blame works against encouraging mutual accountability, which is essential for a successful process aimed at developing effective reimbursement methodologies and rates for services that impact the advancement of Employment First. Everyone involved in the process must recognize they must “give something to get something</w:t>
      </w:r>
      <w:r w:rsidR="002B1E21">
        <w:t>,</w:t>
      </w:r>
      <w:r w:rsidRPr="00485FE5">
        <w:t xml:space="preserve">” and they must be willing to change their own ways, not just focus on changing </w:t>
      </w:r>
      <w:r w:rsidRPr="002B1E21">
        <w:t>others’ ways</w:t>
      </w:r>
      <w:r w:rsidR="005043F4">
        <w:t xml:space="preserve">. </w:t>
      </w:r>
      <w:r w:rsidRPr="00485FE5">
        <w:t>This leads to the third principle.</w:t>
      </w:r>
    </w:p>
    <w:p w14:paraId="16F353F4" w14:textId="77777777" w:rsidR="00757407" w:rsidRPr="00BE4F46" w:rsidRDefault="00757407" w:rsidP="00B11115">
      <w:pPr>
        <w:pStyle w:val="Heading4"/>
      </w:pPr>
      <w:r w:rsidRPr="00BE4F46">
        <w:t>Principle #3:</w:t>
      </w:r>
      <w:r w:rsidR="008645CD" w:rsidRPr="00BE4F46">
        <w:t xml:space="preserve"> </w:t>
      </w:r>
      <w:r w:rsidRPr="00BE4F46">
        <w:t>Commit to Making Changes, Not Just Talking About Them.</w:t>
      </w:r>
    </w:p>
    <w:p w14:paraId="0FE8851F" w14:textId="77777777" w:rsidR="008645CD" w:rsidRDefault="008645CD" w:rsidP="002476FD">
      <w:pPr>
        <w:pStyle w:val="NoSpacing"/>
      </w:pPr>
    </w:p>
    <w:p w14:paraId="6647A2B1" w14:textId="77777777" w:rsidR="00757407" w:rsidRPr="00FC14D7" w:rsidRDefault="00757407" w:rsidP="00972F68">
      <w:pPr>
        <w:pStyle w:val="Quote"/>
        <w:ind w:left="1440"/>
        <w:rPr>
          <w:sz w:val="21"/>
          <w:szCs w:val="21"/>
        </w:rPr>
      </w:pPr>
      <w:r w:rsidRPr="00FC14D7">
        <w:rPr>
          <w:sz w:val="21"/>
          <w:szCs w:val="21"/>
        </w:rPr>
        <w:t>“All talk is just that</w:t>
      </w:r>
      <w:r w:rsidR="008C4BED" w:rsidRPr="00FC14D7">
        <w:rPr>
          <w:sz w:val="21"/>
          <w:szCs w:val="21"/>
        </w:rPr>
        <w:t xml:space="preserve">: </w:t>
      </w:r>
      <w:r w:rsidRPr="00FC14D7">
        <w:rPr>
          <w:sz w:val="21"/>
          <w:szCs w:val="21"/>
        </w:rPr>
        <w:t>talk…If you want things to get better, take action</w:t>
      </w:r>
      <w:r w:rsidR="00C6331F" w:rsidRPr="00FC14D7">
        <w:rPr>
          <w:sz w:val="21"/>
          <w:szCs w:val="21"/>
        </w:rPr>
        <w:t>.</w:t>
      </w:r>
      <w:r w:rsidRPr="00FC14D7">
        <w:rPr>
          <w:sz w:val="21"/>
          <w:szCs w:val="21"/>
        </w:rPr>
        <w:t>”</w:t>
      </w:r>
    </w:p>
    <w:p w14:paraId="6539557D" w14:textId="6A3200ED" w:rsidR="00757407" w:rsidRPr="00FC14D7" w:rsidRDefault="00C6331F" w:rsidP="00022B8D">
      <w:pPr>
        <w:pStyle w:val="Quote"/>
        <w:ind w:left="1440"/>
        <w:jc w:val="right"/>
        <w:rPr>
          <w:sz w:val="21"/>
          <w:szCs w:val="21"/>
        </w:rPr>
      </w:pPr>
      <w:r w:rsidRPr="00FC14D7">
        <w:rPr>
          <w:sz w:val="21"/>
          <w:szCs w:val="21"/>
        </w:rPr>
        <w:t xml:space="preserve">- </w:t>
      </w:r>
      <w:r w:rsidR="00757407" w:rsidRPr="00FC14D7">
        <w:rPr>
          <w:sz w:val="21"/>
          <w:szCs w:val="21"/>
        </w:rPr>
        <w:t>Larry Winget</w:t>
      </w:r>
      <w:r w:rsidR="00BD31EB">
        <w:rPr>
          <w:sz w:val="21"/>
          <w:szCs w:val="21"/>
        </w:rPr>
        <w:t>, Bestselling Author and Motivational Speaker</w:t>
      </w:r>
    </w:p>
    <w:p w14:paraId="6391798B" w14:textId="77777777" w:rsidR="00F961E9" w:rsidRDefault="00F961E9" w:rsidP="002476FD">
      <w:pPr>
        <w:pStyle w:val="NoSpacing"/>
      </w:pPr>
    </w:p>
    <w:p w14:paraId="5EF0C13B" w14:textId="77777777" w:rsidR="00757407" w:rsidRPr="00485FE5" w:rsidRDefault="00757407" w:rsidP="00B1367E">
      <w:pPr>
        <w:rPr>
          <w:b/>
        </w:rPr>
      </w:pPr>
      <w:r w:rsidRPr="00485FE5">
        <w:t>Nothing undermines a collaborative process like a leader that isn’t really interested in or committed to implementing the results of the process. It’s unfortunate</w:t>
      </w:r>
      <w:r w:rsidR="0069279E">
        <w:t>,</w:t>
      </w:r>
      <w:r w:rsidRPr="00485FE5">
        <w:t xml:space="preserve"> but sometimes processes are undertaken (including long and involved processes) that are designed to pacify critics rather than create a roadmap for change. Unfortunately, these processes only pacify critics temporarily</w:t>
      </w:r>
      <w:r w:rsidR="0069279E">
        <w:t>,</w:t>
      </w:r>
      <w:r w:rsidRPr="00485FE5">
        <w:t xml:space="preserve"> and critics often end up more critical than they were before the process was undertaken, particularly if the process leads to no change. </w:t>
      </w:r>
      <w:r w:rsidRPr="00485FE5">
        <w:rPr>
          <w:b/>
        </w:rPr>
        <w:t xml:space="preserve">Ultimately, it is better to decline to engage in a process than to engage in one where it’s been predetermined (or it’s highly likely) that the results will not be implemented in any meaningful way. </w:t>
      </w:r>
    </w:p>
    <w:p w14:paraId="744453C5" w14:textId="69BC15B6" w:rsidR="00757407" w:rsidRPr="00485FE5" w:rsidRDefault="00757407" w:rsidP="00B1367E">
      <w:r w:rsidRPr="00366D40">
        <w:t>Before engaging in a process to develop effective reimbursement methodologies, reimbursement rates</w:t>
      </w:r>
      <w:r w:rsidR="00E0460C" w:rsidRPr="00366D40">
        <w:t>,</w:t>
      </w:r>
      <w:r w:rsidRPr="00366D40">
        <w:t xml:space="preserve"> and payment structures for services that impact the advancement of Employment First, it is critical for leaders or conveners of the process to be certain they want to make some kind of </w:t>
      </w:r>
      <w:r w:rsidR="002822FB" w:rsidRPr="00366D40">
        <w:t xml:space="preserve">meaningful and deliberative </w:t>
      </w:r>
      <w:r w:rsidRPr="00366D40">
        <w:t>changes (in the near term, not at some undetermined future point)</w:t>
      </w:r>
      <w:r w:rsidR="00CE3A1B">
        <w:t>.</w:t>
      </w:r>
      <w:r w:rsidR="002822FB" w:rsidRPr="00366D40">
        <w:t xml:space="preserve"> </w:t>
      </w:r>
    </w:p>
    <w:p w14:paraId="7C4E9D2E" w14:textId="33DC0BEC" w:rsidR="00757407" w:rsidRPr="00BE4F46" w:rsidRDefault="00757407" w:rsidP="00B11115">
      <w:pPr>
        <w:pStyle w:val="Heading4"/>
      </w:pPr>
      <w:r w:rsidRPr="00BE4F46">
        <w:t>Principle #4:</w:t>
      </w:r>
      <w:r w:rsidR="008645CD" w:rsidRPr="00BE4F46">
        <w:t xml:space="preserve"> </w:t>
      </w:r>
      <w:r w:rsidRPr="00BE4F46">
        <w:t>Don’t Make Presumptions About the Scope of Change that Will Result from the Process</w:t>
      </w:r>
      <w:r w:rsidR="00775100" w:rsidRPr="00BE4F46">
        <w:t>.</w:t>
      </w:r>
    </w:p>
    <w:p w14:paraId="6EF0EE36" w14:textId="77777777" w:rsidR="00A6776C" w:rsidRPr="00F7360C" w:rsidRDefault="00A6776C" w:rsidP="002476FD">
      <w:pPr>
        <w:pStyle w:val="NoSpacing"/>
      </w:pPr>
    </w:p>
    <w:p w14:paraId="2BEF7B3D" w14:textId="51CAFE9F" w:rsidR="00757407" w:rsidRPr="00FC14D7" w:rsidRDefault="00757407" w:rsidP="00022B8D">
      <w:pPr>
        <w:pStyle w:val="Quote"/>
        <w:ind w:left="1530" w:hanging="90"/>
        <w:rPr>
          <w:sz w:val="21"/>
          <w:szCs w:val="21"/>
        </w:rPr>
      </w:pPr>
      <w:r w:rsidRPr="00FC14D7">
        <w:rPr>
          <w:sz w:val="21"/>
          <w:szCs w:val="21"/>
        </w:rPr>
        <w:lastRenderedPageBreak/>
        <w:t>“Your present circumstances don’t determine where you can go;</w:t>
      </w:r>
      <w:r w:rsidR="00972F68">
        <w:rPr>
          <w:sz w:val="21"/>
          <w:szCs w:val="21"/>
        </w:rPr>
        <w:t xml:space="preserve"> </w:t>
      </w:r>
      <w:r w:rsidRPr="00FC14D7">
        <w:rPr>
          <w:sz w:val="21"/>
          <w:szCs w:val="21"/>
        </w:rPr>
        <w:t>they merely determine where you start.”</w:t>
      </w:r>
    </w:p>
    <w:p w14:paraId="1D57A31C" w14:textId="01C14479" w:rsidR="00757407" w:rsidRPr="00FC14D7" w:rsidRDefault="00C6331F" w:rsidP="00022B8D">
      <w:pPr>
        <w:pStyle w:val="Quote"/>
        <w:ind w:left="1440"/>
        <w:jc w:val="right"/>
        <w:rPr>
          <w:sz w:val="21"/>
          <w:szCs w:val="21"/>
        </w:rPr>
      </w:pPr>
      <w:r w:rsidRPr="00FC14D7">
        <w:rPr>
          <w:sz w:val="21"/>
          <w:szCs w:val="21"/>
        </w:rPr>
        <w:t xml:space="preserve">- </w:t>
      </w:r>
      <w:r w:rsidR="00757407" w:rsidRPr="00FC14D7">
        <w:rPr>
          <w:sz w:val="21"/>
          <w:szCs w:val="21"/>
        </w:rPr>
        <w:t>Nido Qubein</w:t>
      </w:r>
      <w:r w:rsidR="00BD31EB">
        <w:rPr>
          <w:sz w:val="21"/>
          <w:szCs w:val="21"/>
        </w:rPr>
        <w:t>, Businessman, Motivational Speaker and</w:t>
      </w:r>
      <w:r w:rsidR="00972F68">
        <w:rPr>
          <w:sz w:val="21"/>
          <w:szCs w:val="21"/>
        </w:rPr>
        <w:br/>
      </w:r>
      <w:r w:rsidR="00BD31EB">
        <w:rPr>
          <w:sz w:val="21"/>
          <w:szCs w:val="21"/>
        </w:rPr>
        <w:t>President of High Point University</w:t>
      </w:r>
    </w:p>
    <w:p w14:paraId="46193BBE" w14:textId="77777777" w:rsidR="00C6331F" w:rsidRDefault="00C6331F" w:rsidP="002476FD">
      <w:pPr>
        <w:pStyle w:val="NoSpacing"/>
      </w:pPr>
    </w:p>
    <w:p w14:paraId="5115C84E" w14:textId="0F267590" w:rsidR="00757407" w:rsidRPr="00485FE5" w:rsidRDefault="00757407" w:rsidP="00B1367E">
      <w:r w:rsidRPr="00485FE5">
        <w:t>Sometimes, change efforts</w:t>
      </w:r>
      <w:r w:rsidR="005704AA">
        <w:t>—</w:t>
      </w:r>
      <w:r w:rsidRPr="00485FE5">
        <w:t>especially those focused on effective reimbursement methodologies, reimbursement rates</w:t>
      </w:r>
      <w:r w:rsidR="0044467A">
        <w:t>,</w:t>
      </w:r>
      <w:r w:rsidRPr="00485FE5">
        <w:t xml:space="preserve"> and payment structures for services that impact the advancement of </w:t>
      </w:r>
      <w:r w:rsidR="00F15631" w:rsidRPr="00F15631">
        <w:t xml:space="preserve">Competitive Integrated Employment and </w:t>
      </w:r>
      <w:r w:rsidRPr="00485FE5">
        <w:t>Employment First</w:t>
      </w:r>
      <w:r w:rsidR="005704AA">
        <w:t>—</w:t>
      </w:r>
      <w:r w:rsidRPr="00485FE5">
        <w:t>result in certain funders (i.e.</w:t>
      </w:r>
      <w:r w:rsidR="004F276D">
        <w:t>,</w:t>
      </w:r>
      <w:r w:rsidRPr="00485FE5">
        <w:t xml:space="preserve"> state agencies or intermediaries like counties or </w:t>
      </w:r>
      <w:r w:rsidR="00C77404">
        <w:t>MCOs</w:t>
      </w:r>
      <w:r w:rsidRPr="00485FE5">
        <w:t>) unexpectedly “leapfrogging” over others that have historically been considered far more advanced. For those with long-standing, positive reputations, there is the well-recognized danger of “resting on one’s laurels</w:t>
      </w:r>
      <w:r w:rsidR="003E2B9D">
        <w:t>.”</w:t>
      </w:r>
      <w:r w:rsidRPr="00485FE5">
        <w:t xml:space="preserve"> Sometimes getting too comfortable with celebrating past achievements inadvertently stifles opportunities for innovation in a system that would otherwise be highly likely to make a success of such an effort and yet again, be an example for others to follow. For other funders, there sometimes seems to be a paralysis that sets in</w:t>
      </w:r>
      <w:r w:rsidR="000E24BA">
        <w:t xml:space="preserve"> </w:t>
      </w:r>
      <w:r w:rsidRPr="00485FE5">
        <w:t>a fear that because no one can know for certain the impact that will come from any change</w:t>
      </w:r>
      <w:r w:rsidR="00036F29">
        <w:t>,</w:t>
      </w:r>
      <w:r w:rsidRPr="00485FE5">
        <w:t xml:space="preserve"> it is better not to make changes. </w:t>
      </w:r>
      <w:r w:rsidRPr="00CE7365">
        <w:t xml:space="preserve">This typically causes tangible problems and barriers to progress </w:t>
      </w:r>
      <w:r w:rsidR="00036F29">
        <w:t>and</w:t>
      </w:r>
      <w:r w:rsidR="00036F29" w:rsidRPr="00CE7365">
        <w:t xml:space="preserve"> </w:t>
      </w:r>
      <w:r w:rsidRPr="00CE7365">
        <w:t>go unaddressed for months, years</w:t>
      </w:r>
      <w:r w:rsidR="0044467A" w:rsidRPr="00CE7365">
        <w:t>,</w:t>
      </w:r>
      <w:r w:rsidRPr="00CE7365">
        <w:t xml:space="preserve"> and sometimes</w:t>
      </w:r>
      <w:r w:rsidR="00CE7365">
        <w:t>,</w:t>
      </w:r>
      <w:r w:rsidRPr="00CE7365">
        <w:t xml:space="preserve"> even decades.</w:t>
      </w:r>
      <w:r w:rsidRPr="00485FE5">
        <w:t xml:space="preserve"> It is not just the challenge of inertia; hindsight suggests that it is more about the fear of unintended impacts that causes systems to resist making meaningful changes.</w:t>
      </w:r>
    </w:p>
    <w:p w14:paraId="4BB241D6" w14:textId="77777777" w:rsidR="00757407" w:rsidRPr="00485FE5" w:rsidRDefault="00757407" w:rsidP="00B1367E">
      <w:r w:rsidRPr="00485FE5">
        <w:t>Experience suggest</w:t>
      </w:r>
      <w:r w:rsidR="00CD7066">
        <w:t>s</w:t>
      </w:r>
      <w:r w:rsidRPr="00485FE5">
        <w:t xml:space="preserve"> that no state agency, county, or </w:t>
      </w:r>
      <w:r w:rsidR="00902BE1">
        <w:t>MCO</w:t>
      </w:r>
      <w:r w:rsidRPr="00485FE5">
        <w:t xml:space="preserve"> should ever begin a change process, focused on advancing Employment First through reimbursement methodology changes and rate restructuring, with the assumption that only small changes are possible and prudent</w:t>
      </w:r>
      <w:r w:rsidR="005043F4">
        <w:t xml:space="preserve">. </w:t>
      </w:r>
      <w:r w:rsidRPr="00485FE5">
        <w:t>In fact, small changes often require much effort: unfortunately, far more effort than what is proportionate with the impact of these changes. Existing payment structures, processes</w:t>
      </w:r>
      <w:r w:rsidR="00AB0B7B">
        <w:t>,</w:t>
      </w:r>
      <w:r w:rsidRPr="00485FE5">
        <w:t xml:space="preserve"> and culture often necessitate a more significant and broad-based set of changes to create </w:t>
      </w:r>
      <w:r w:rsidR="00045150">
        <w:t xml:space="preserve">a </w:t>
      </w:r>
      <w:r w:rsidRPr="00485FE5">
        <w:t xml:space="preserve">meaningful impact and advance desired outcomes. This is where the “leapfrogging” becomes possible, </w:t>
      </w:r>
      <w:r w:rsidRPr="00CE7365">
        <w:t>indeed probable</w:t>
      </w:r>
      <w:r w:rsidRPr="00485FE5">
        <w:t xml:space="preserve">. </w:t>
      </w:r>
    </w:p>
    <w:p w14:paraId="10947EFE" w14:textId="77777777" w:rsidR="00757407" w:rsidRPr="00485FE5" w:rsidRDefault="00757407" w:rsidP="00B1367E">
      <w:r w:rsidRPr="000B3008">
        <w:t>Through the process, it may become clear that incremental or phased-in change is the best way to accomplish effective and lasting change; but making more significant changes that significantly realign financial incentives or significantly redefine what is reimbursed and why, should never be precluded based on some assumption that such change can only be implemented by those entities that are already near the front of the pack</w:t>
      </w:r>
      <w:r w:rsidRPr="00485FE5">
        <w:t xml:space="preserve">. In fact, some of the examples in this </w:t>
      </w:r>
      <w:r w:rsidR="00A44BE5">
        <w:t>g</w:t>
      </w:r>
      <w:r w:rsidRPr="00485FE5">
        <w:t xml:space="preserve">uide demonstrate how innovative changes in rate structures and reimbursement models can be implemented by funders not historically recognized for being on the cutting edge. </w:t>
      </w:r>
    </w:p>
    <w:p w14:paraId="2BD89E5B" w14:textId="77777777" w:rsidR="00757407" w:rsidRPr="00485FE5" w:rsidRDefault="00757407" w:rsidP="00B1367E">
      <w:r w:rsidRPr="007E558D">
        <w:rPr>
          <w:b/>
          <w:bCs/>
        </w:rPr>
        <w:t>Regardless of where any funding source starts, the opportunities to innovate and adopt progressive new reimbursement methodologies and rate structures are always equally present</w:t>
      </w:r>
      <w:r w:rsidR="005043F4" w:rsidRPr="007E558D">
        <w:rPr>
          <w:b/>
          <w:bCs/>
        </w:rPr>
        <w:t>.</w:t>
      </w:r>
      <w:r w:rsidR="005043F4">
        <w:t xml:space="preserve"> </w:t>
      </w:r>
      <w:r w:rsidRPr="00485FE5">
        <w:t>No matter where a system or organization has been</w:t>
      </w:r>
      <w:r w:rsidR="006B39E9">
        <w:t xml:space="preserve"> </w:t>
      </w:r>
      <w:r w:rsidRPr="00485FE5">
        <w:t>or is today, there are readily available ways to find out what others are doing elsewhere to adopt a well-informed perspective on the opportunities for change. This leads us to the fifth principle.</w:t>
      </w:r>
    </w:p>
    <w:p w14:paraId="3E1970D5" w14:textId="77777777" w:rsidR="00C36CF5" w:rsidRDefault="00C36CF5">
      <w:pPr>
        <w:spacing w:before="0" w:after="0" w:line="240" w:lineRule="auto"/>
        <w:rPr>
          <w:rStyle w:val="Strong"/>
          <w:rFonts w:ascii="Trebuchet MS" w:eastAsiaTheme="majorEastAsia" w:hAnsi="Trebuchet MS" w:cs="Times New Roman (Headings CS)"/>
          <w:b/>
          <w:color w:val="17365D" w:themeColor="text2" w:themeShade="BF"/>
        </w:rPr>
      </w:pPr>
      <w:r>
        <w:rPr>
          <w:rStyle w:val="Strong"/>
          <w:rFonts w:ascii="Trebuchet MS" w:hAnsi="Trebuchet MS"/>
          <w:color w:val="17365D" w:themeColor="text2" w:themeShade="BF"/>
        </w:rPr>
        <w:br w:type="page"/>
      </w:r>
    </w:p>
    <w:p w14:paraId="303FD8DC" w14:textId="027E308E" w:rsidR="00757407" w:rsidRPr="00BE4F46" w:rsidRDefault="00757407" w:rsidP="00B11115">
      <w:pPr>
        <w:pStyle w:val="Heading4"/>
      </w:pPr>
      <w:r w:rsidRPr="00BE4F46">
        <w:lastRenderedPageBreak/>
        <w:t>Principle #5:</w:t>
      </w:r>
      <w:r w:rsidR="00B063B8" w:rsidRPr="00BE4F46">
        <w:t xml:space="preserve"> </w:t>
      </w:r>
      <w:r w:rsidRPr="00BE4F46">
        <w:t>Turn Outward for Inspiration</w:t>
      </w:r>
      <w:r w:rsidR="0037706B" w:rsidRPr="00BE4F46">
        <w:t>,</w:t>
      </w:r>
      <w:r w:rsidRPr="00BE4F46">
        <w:t xml:space="preserve"> but then Be Sure to Turn Inward to Build Effective</w:t>
      </w:r>
      <w:r w:rsidRPr="007B7FCE">
        <w:rPr>
          <w:rStyle w:val="Strong"/>
          <w:rFonts w:ascii="Trebuchet MS" w:hAnsi="Trebuchet MS"/>
          <w:color w:val="002060"/>
        </w:rPr>
        <w:t xml:space="preserve"> </w:t>
      </w:r>
      <w:r w:rsidRPr="00BE4F46">
        <w:t>“Homegrown” Changes that Partners Can Embrace</w:t>
      </w:r>
      <w:r w:rsidR="00775100" w:rsidRPr="00BE4F46">
        <w:t>.</w:t>
      </w:r>
    </w:p>
    <w:p w14:paraId="1C6F348F" w14:textId="77777777" w:rsidR="00A6776C" w:rsidRPr="00F7360C" w:rsidRDefault="00A6776C" w:rsidP="002476FD">
      <w:pPr>
        <w:pStyle w:val="NoSpacing"/>
      </w:pPr>
    </w:p>
    <w:p w14:paraId="7140141C" w14:textId="77777777" w:rsidR="00757407" w:rsidRPr="00FC14D7" w:rsidRDefault="00757407" w:rsidP="00022B8D">
      <w:pPr>
        <w:pStyle w:val="Quote"/>
        <w:ind w:left="1530" w:hanging="90"/>
        <w:rPr>
          <w:sz w:val="21"/>
          <w:szCs w:val="21"/>
        </w:rPr>
      </w:pPr>
      <w:r w:rsidRPr="00FC14D7">
        <w:rPr>
          <w:sz w:val="21"/>
          <w:szCs w:val="21"/>
        </w:rPr>
        <w:t>“There is no substitute for the superiority of designing change using well-informed</w:t>
      </w:r>
      <w:r w:rsidR="00E95743">
        <w:rPr>
          <w:sz w:val="21"/>
          <w:szCs w:val="21"/>
        </w:rPr>
        <w:t xml:space="preserve"> and</w:t>
      </w:r>
      <w:r w:rsidRPr="00FC14D7">
        <w:rPr>
          <w:sz w:val="21"/>
          <w:szCs w:val="21"/>
        </w:rPr>
        <w:t xml:space="preserve"> local stakeholders; but stakeholders with both characteristics are critical for success.</w:t>
      </w:r>
    </w:p>
    <w:p w14:paraId="42505EEC" w14:textId="77777777" w:rsidR="00757407" w:rsidRPr="00FC14D7" w:rsidRDefault="00AE33EC" w:rsidP="00972F68">
      <w:pPr>
        <w:pStyle w:val="Quote"/>
        <w:ind w:left="1440" w:firstLine="5940"/>
        <w:jc w:val="right"/>
        <w:rPr>
          <w:sz w:val="21"/>
          <w:szCs w:val="21"/>
        </w:rPr>
      </w:pPr>
      <w:r w:rsidRPr="00FC14D7">
        <w:rPr>
          <w:sz w:val="21"/>
          <w:szCs w:val="21"/>
        </w:rPr>
        <w:t xml:space="preserve">- </w:t>
      </w:r>
      <w:r w:rsidR="00757407" w:rsidRPr="00FC14D7">
        <w:rPr>
          <w:sz w:val="21"/>
          <w:szCs w:val="21"/>
        </w:rPr>
        <w:t>The Author</w:t>
      </w:r>
    </w:p>
    <w:p w14:paraId="20565B2E" w14:textId="77777777" w:rsidR="000E24BA" w:rsidRDefault="000E24BA" w:rsidP="002476FD">
      <w:pPr>
        <w:pStyle w:val="NoSpacing"/>
      </w:pPr>
    </w:p>
    <w:p w14:paraId="2BF4A637" w14:textId="74D59744" w:rsidR="00757407" w:rsidRPr="00485FE5" w:rsidRDefault="00757407" w:rsidP="00B1367E">
      <w:pPr>
        <w:rPr>
          <w:b/>
        </w:rPr>
      </w:pPr>
      <w:r w:rsidRPr="001B5C7C">
        <w:t>When sharing examples of reimbursement methodologies and rates</w:t>
      </w:r>
      <w:r w:rsidR="00CE3A1B">
        <w:t>,</w:t>
      </w:r>
      <w:r w:rsidRPr="001B5C7C">
        <w:t xml:space="preserve"> and payment structures from elsewhere</w:t>
      </w:r>
      <w:r w:rsidR="00C04FB6" w:rsidRPr="00C04FB6">
        <w:t xml:space="preserve"> </w:t>
      </w:r>
      <w:r w:rsidR="00C04FB6" w:rsidRPr="001B5C7C">
        <w:t>with a particular funder</w:t>
      </w:r>
      <w:r w:rsidRPr="001B5C7C">
        <w:t>, there is always keen interest and typically a sense that different approaches for elsewhere hold more promise than a funder’s current approach</w:t>
      </w:r>
      <w:r w:rsidR="005043F4" w:rsidRPr="001B5C7C">
        <w:t>.</w:t>
      </w:r>
      <w:r w:rsidR="005043F4">
        <w:t xml:space="preserve"> </w:t>
      </w:r>
      <w:r w:rsidRPr="00485FE5">
        <w:t>While this may be true, it is also critical that each funder take the time necessary to develop a customized (i.e.</w:t>
      </w:r>
      <w:r w:rsidR="001B5C7C">
        <w:t>,</w:t>
      </w:r>
      <w:r w:rsidRPr="00485FE5">
        <w:t xml:space="preserve"> homegrown) approach for implementation in </w:t>
      </w:r>
      <w:r w:rsidRPr="001B5C7C">
        <w:t>their</w:t>
      </w:r>
      <w:r w:rsidRPr="00485FE5">
        <w:t xml:space="preserve"> state, region</w:t>
      </w:r>
      <w:r w:rsidR="00D61720">
        <w:t>,</w:t>
      </w:r>
      <w:r w:rsidRPr="00485FE5">
        <w:t xml:space="preserve"> or county. As mentioned previously, what has been learned through all of the examples and experiences discussed in this guide is that every local system is best served by developing its own reimbursement rate and payment structure changes, </w:t>
      </w:r>
      <w:r w:rsidRPr="00485FE5">
        <w:rPr>
          <w:b/>
          <w:i/>
        </w:rPr>
        <w:t>in collaboration with its stakeholders</w:t>
      </w:r>
      <w:r w:rsidR="005043F4">
        <w:t xml:space="preserve">. </w:t>
      </w:r>
      <w:r w:rsidRPr="00485FE5">
        <w:t xml:space="preserve">This ensures the opportunity for stakeholder buy-in, which is essential for success. However, completely reinventing the wheel or not building upon other systems’ experiences and strategies is certainly not the optimal approach. When learning about others’ approaches, experience suggests the importance of listening hard, understanding at more than a superficial level, and not seeking to outright copy - however attractive and simple that may seem. Instead, </w:t>
      </w:r>
      <w:r w:rsidRPr="00485FE5">
        <w:rPr>
          <w:b/>
        </w:rPr>
        <w:t xml:space="preserve">engage in learning </w:t>
      </w:r>
      <w:r w:rsidRPr="00485FE5">
        <w:rPr>
          <w:b/>
          <w:u w:val="single"/>
        </w:rPr>
        <w:t>with</w:t>
      </w:r>
      <w:r w:rsidRPr="00485FE5">
        <w:rPr>
          <w:b/>
        </w:rPr>
        <w:t xml:space="preserve"> a set of trusted and committed stakeholders and </w:t>
      </w:r>
      <w:r w:rsidRPr="00485FE5">
        <w:rPr>
          <w:b/>
          <w:u w:val="single"/>
        </w:rPr>
        <w:t>together</w:t>
      </w:r>
      <w:r w:rsidRPr="00485FE5">
        <w:rPr>
          <w:b/>
        </w:rPr>
        <w:t>, seek to pull out key elements of these other approaches that make sense to build into your own solutions.</w:t>
      </w:r>
    </w:p>
    <w:p w14:paraId="63994FCA" w14:textId="6A632F4F" w:rsidR="00757407" w:rsidRPr="00485FE5" w:rsidRDefault="00757407" w:rsidP="00B1367E">
      <w:r w:rsidRPr="00485FE5">
        <w:t>A word about trusted and committed stakeholders</w:t>
      </w:r>
      <w:r w:rsidR="008C4BED">
        <w:t xml:space="preserve">: </w:t>
      </w:r>
      <w:r w:rsidRPr="00485FE5">
        <w:t xml:space="preserve">These stakeholders share a funder’s commitment to </w:t>
      </w:r>
      <w:r w:rsidR="00F15631" w:rsidRPr="00F15631">
        <w:t xml:space="preserve">Competitive Integrated Employment and </w:t>
      </w:r>
      <w:r w:rsidRPr="00485FE5">
        <w:t>Employment First and the desired outcomes for the process of designing a new approach to payment structure</w:t>
      </w:r>
      <w:r w:rsidR="00002B8F">
        <w:t>s</w:t>
      </w:r>
      <w:r w:rsidR="00C6365B">
        <w:t>,</w:t>
      </w:r>
      <w:r w:rsidRPr="00485FE5">
        <w:t xml:space="preserve"> including reimbursement methodologies and rates for services that impact the advancement of competitive integrated employment. These stakeholders are also making a positive impact already on the goals of Employment First in their</w:t>
      </w:r>
      <w:r w:rsidR="00D22669">
        <w:t xml:space="preserve"> </w:t>
      </w:r>
      <w:r w:rsidRPr="00485FE5">
        <w:t xml:space="preserve">unique ways. They have the respect of their peers and are committed to bringing along as many of </w:t>
      </w:r>
      <w:r w:rsidR="00C6365B">
        <w:t>them</w:t>
      </w:r>
      <w:r w:rsidRPr="00485FE5">
        <w:t xml:space="preserve"> as possible to build the broadest possible stakeholder buy-in for implementing the outcomes of the process. They also have experience to draw on and a willingness to find common ground to chart a path forward. </w:t>
      </w:r>
      <w:r w:rsidRPr="00485FE5">
        <w:rPr>
          <w:b/>
        </w:rPr>
        <w:t>These types of stakeholders exist in every state</w:t>
      </w:r>
      <w:r w:rsidR="00F04F10">
        <w:rPr>
          <w:b/>
        </w:rPr>
        <w:t>,</w:t>
      </w:r>
      <w:r w:rsidRPr="00485FE5">
        <w:rPr>
          <w:b/>
        </w:rPr>
        <w:t xml:space="preserve"> and as part of a successful process, it is critical that those leading and convening the process involve these stakeholders as part of the fundamental process design</w:t>
      </w:r>
      <w:r w:rsidR="005043F4">
        <w:rPr>
          <w:b/>
        </w:rPr>
        <w:t xml:space="preserve">. </w:t>
      </w:r>
      <w:r w:rsidRPr="00485FE5">
        <w:t xml:space="preserve">This is essential and when this is done carefully, and from an early point in the process, it is indicative of a desire for a successful outcome and the real, impactful changes that typically flow from a successful process. </w:t>
      </w:r>
    </w:p>
    <w:p w14:paraId="0B96E0FC" w14:textId="77777777" w:rsidR="00757407" w:rsidRPr="00485FE5" w:rsidRDefault="00757407" w:rsidP="00B1367E">
      <w:r w:rsidRPr="00485FE5">
        <w:t>As efforts turn inward to a focus on homegrown strategies, experience suggests it is beneficial to have the process facilitated by a neutral external party with relevant subject matter expertise. This helps tremendously with setting a positive tone for constructive collaboration, focusing everyone’s energy on the opportunity and tasks at hand, and providing input (as needed) to the group process to keep the process moving and evolving</w:t>
      </w:r>
      <w:r w:rsidR="005043F4">
        <w:t xml:space="preserve">. </w:t>
      </w:r>
      <w:r w:rsidRPr="00485FE5">
        <w:t>Most everyone knows bringing in someone from “somewhere else”</w:t>
      </w:r>
      <w:r w:rsidR="001455EC">
        <w:t>—</w:t>
      </w:r>
      <w:r w:rsidRPr="00485FE5">
        <w:t>especially someone with subject matter expertise</w:t>
      </w:r>
      <w:r w:rsidR="001455EC">
        <w:t>—</w:t>
      </w:r>
      <w:r w:rsidRPr="00485FE5">
        <w:t>seems to bring a greater sense of importance to the process</w:t>
      </w:r>
      <w:r w:rsidRPr="00637CE7">
        <w:t>. To the extent,</w:t>
      </w:r>
      <w:r w:rsidRPr="00485FE5">
        <w:t xml:space="preserve"> </w:t>
      </w:r>
      <w:r w:rsidRPr="00637CE7">
        <w:t xml:space="preserve">the process can also be co-facilitated by someone local who holds a high-level leadership position and who is recognized as someone able to take recommendations and proposed </w:t>
      </w:r>
      <w:r w:rsidRPr="00637CE7">
        <w:lastRenderedPageBreak/>
        <w:t>changes forward to final decision-makers</w:t>
      </w:r>
      <w:r w:rsidR="00236B33" w:rsidRPr="00637CE7">
        <w:t>.</w:t>
      </w:r>
      <w:r w:rsidRPr="00637CE7">
        <w:t xml:space="preserve"> </w:t>
      </w:r>
      <w:r w:rsidR="00236B33" w:rsidRPr="00637CE7">
        <w:t>T</w:t>
      </w:r>
      <w:r w:rsidRPr="00637CE7">
        <w:t>he process is also likely to be much more successful both in terms of buy-in among those participating and the outcomes becoming real systems change.</w:t>
      </w:r>
    </w:p>
    <w:p w14:paraId="3641ECE7" w14:textId="77777777" w:rsidR="00757407" w:rsidRPr="00BE4F46" w:rsidRDefault="00757407" w:rsidP="00B11115">
      <w:pPr>
        <w:pStyle w:val="Heading4"/>
      </w:pPr>
      <w:r w:rsidRPr="00BE4F46">
        <w:t>Principle #6:</w:t>
      </w:r>
      <w:r w:rsidR="00AB27FD" w:rsidRPr="00BE4F46">
        <w:t xml:space="preserve"> </w:t>
      </w:r>
      <w:r w:rsidRPr="00BE4F46">
        <w:t xml:space="preserve">Assist Providers of Relevant Services to Evaluate and Understand </w:t>
      </w:r>
      <w:r w:rsidR="008C3EB5" w:rsidRPr="00BE4F46">
        <w:t>T</w:t>
      </w:r>
      <w:r w:rsidRPr="00BE4F46">
        <w:t>heir Costs of Doing Business in Different Ways.</w:t>
      </w:r>
    </w:p>
    <w:p w14:paraId="1A2A2D17" w14:textId="77777777" w:rsidR="00A6776C" w:rsidRPr="00F7360C" w:rsidRDefault="00A6776C" w:rsidP="002476FD">
      <w:pPr>
        <w:pStyle w:val="NoSpacing"/>
      </w:pPr>
    </w:p>
    <w:p w14:paraId="5F1096A8" w14:textId="3EA49D97" w:rsidR="00BD4410" w:rsidRPr="00FC14D7" w:rsidRDefault="0098362B" w:rsidP="00022B8D">
      <w:pPr>
        <w:pStyle w:val="Quote"/>
        <w:ind w:left="1530" w:hanging="90"/>
        <w:rPr>
          <w:sz w:val="21"/>
          <w:szCs w:val="21"/>
        </w:rPr>
      </w:pPr>
      <w:r>
        <w:rPr>
          <w:sz w:val="21"/>
          <w:szCs w:val="21"/>
        </w:rPr>
        <w:t>“</w:t>
      </w:r>
      <w:r w:rsidR="00BD4410" w:rsidRPr="00FC14D7">
        <w:rPr>
          <w:sz w:val="21"/>
          <w:szCs w:val="21"/>
        </w:rPr>
        <w:t>The true costs to deliver services cannot be found in typical financial reports produced by human service organizations and their auditors. The key is getting away from big picture analysis and analyzing income and expense at the individual service level.”</w:t>
      </w:r>
    </w:p>
    <w:p w14:paraId="1A7099EE" w14:textId="77777777" w:rsidR="00757407" w:rsidRPr="00FC14D7" w:rsidRDefault="009A1D10" w:rsidP="00972F68">
      <w:pPr>
        <w:pStyle w:val="Quote"/>
        <w:ind w:left="1440" w:firstLine="5760"/>
        <w:jc w:val="right"/>
        <w:rPr>
          <w:sz w:val="21"/>
          <w:szCs w:val="21"/>
        </w:rPr>
      </w:pPr>
      <w:r>
        <w:rPr>
          <w:sz w:val="21"/>
          <w:szCs w:val="21"/>
        </w:rPr>
        <w:t xml:space="preserve">- </w:t>
      </w:r>
      <w:r w:rsidR="00BD4410" w:rsidRPr="00FC14D7">
        <w:rPr>
          <w:sz w:val="21"/>
          <w:szCs w:val="21"/>
        </w:rPr>
        <w:t>The Author</w:t>
      </w:r>
    </w:p>
    <w:p w14:paraId="6CCDEC57" w14:textId="77777777" w:rsidR="000366AC" w:rsidRDefault="000366AC" w:rsidP="002476FD">
      <w:pPr>
        <w:pStyle w:val="NoSpacing"/>
      </w:pPr>
    </w:p>
    <w:p w14:paraId="32F0BE3E" w14:textId="0A10D52B" w:rsidR="00757407" w:rsidRPr="00485FE5" w:rsidRDefault="00757407" w:rsidP="00B1367E">
      <w:r w:rsidRPr="00485FE5">
        <w:t>A major challenge</w:t>
      </w:r>
      <w:r w:rsidR="00CE3A1B">
        <w:t xml:space="preserve"> and/or opportunity </w:t>
      </w:r>
      <w:r w:rsidRPr="00485FE5">
        <w:t>is getting providers of direct services comfortable and enthusiastic about moving to new payment structures, including new reimbursement methodologies and associated reimbursement rates. Often, what prevents providers feeling comfortable and enthusiastic is a long history of being paid in a particular model, and the inevitable investment providers have made in maximizing their ability to operate successfully with this payment model. This is especially the case if the long-standing model has been fee</w:t>
      </w:r>
      <w:r w:rsidR="00226C9F">
        <w:t>-</w:t>
      </w:r>
      <w:r w:rsidRPr="00485FE5">
        <w:t>for</w:t>
      </w:r>
      <w:r w:rsidR="00226C9F">
        <w:t>-</w:t>
      </w:r>
      <w:r w:rsidRPr="00485FE5">
        <w:t>service</w:t>
      </w:r>
      <w:r w:rsidR="005043F4">
        <w:t xml:space="preserve">. </w:t>
      </w:r>
      <w:r w:rsidRPr="00485FE5">
        <w:t xml:space="preserve">Based on experience, if the traditional payment model has been </w:t>
      </w:r>
      <w:r w:rsidR="00226C9F" w:rsidRPr="00485FE5">
        <w:t>fee</w:t>
      </w:r>
      <w:r w:rsidR="00226C9F">
        <w:t>-</w:t>
      </w:r>
      <w:r w:rsidR="00226C9F" w:rsidRPr="00485FE5">
        <w:t>for</w:t>
      </w:r>
      <w:r w:rsidR="00226C9F">
        <w:t>-</w:t>
      </w:r>
      <w:r w:rsidR="00226C9F" w:rsidRPr="00485FE5">
        <w:t>service</w:t>
      </w:r>
      <w:r w:rsidR="00226C9F" w:rsidRPr="00485FE5" w:rsidDel="00226C9F">
        <w:t xml:space="preserve"> </w:t>
      </w:r>
      <w:r w:rsidRPr="00485FE5">
        <w:t>with billing only permitted for face</w:t>
      </w:r>
      <w:r w:rsidR="007B6546">
        <w:t>-</w:t>
      </w:r>
      <w:r w:rsidRPr="00485FE5">
        <w:t>to</w:t>
      </w:r>
      <w:r w:rsidR="007B6546">
        <w:t>-</w:t>
      </w:r>
      <w:r w:rsidRPr="00485FE5">
        <w:t>face service delivery time, the challenge is even greater.</w:t>
      </w:r>
    </w:p>
    <w:p w14:paraId="58BF1515" w14:textId="77777777" w:rsidR="00757407" w:rsidRPr="00BF12FB" w:rsidRDefault="00757407" w:rsidP="00B1367E">
      <w:pPr>
        <w:rPr>
          <w:i/>
          <w:iCs/>
        </w:rPr>
      </w:pPr>
      <w:r w:rsidRPr="00BF12FB">
        <w:rPr>
          <w:b/>
          <w:bCs/>
          <w:i/>
          <w:iCs/>
        </w:rPr>
        <w:t>Author’s Note</w:t>
      </w:r>
      <w:r w:rsidR="008C4BED" w:rsidRPr="00BF12FB">
        <w:rPr>
          <w:b/>
          <w:bCs/>
          <w:i/>
          <w:iCs/>
        </w:rPr>
        <w:t xml:space="preserve">: </w:t>
      </w:r>
      <w:r w:rsidRPr="006C6F9D">
        <w:rPr>
          <w:i/>
          <w:iCs/>
        </w:rPr>
        <w:t xml:space="preserve">Both people who work for provider agencies and those who work for funders can initially struggle with the “appropriateness” of paying differently, including paying for outcomes rather than service, if that is a model being considered as part of </w:t>
      </w:r>
      <w:r w:rsidR="00042FFC" w:rsidRPr="006C6F9D">
        <w:rPr>
          <w:i/>
          <w:iCs/>
        </w:rPr>
        <w:t xml:space="preserve">the </w:t>
      </w:r>
      <w:r w:rsidRPr="006C6F9D">
        <w:rPr>
          <w:i/>
          <w:iCs/>
        </w:rPr>
        <w:t>realignment of financial incentives and application of value-based purchasing principles</w:t>
      </w:r>
      <w:r w:rsidRPr="00BF12FB">
        <w:rPr>
          <w:i/>
          <w:iCs/>
        </w:rPr>
        <w:t xml:space="preserve">. </w:t>
      </w:r>
      <w:r w:rsidRPr="00BF12FB">
        <w:rPr>
          <w:b/>
          <w:i/>
          <w:iCs/>
        </w:rPr>
        <w:t xml:space="preserve">It is important to take time for stakeholders to understand and consider the potential benefits of paying in a very different way. </w:t>
      </w:r>
      <w:r w:rsidRPr="00BF12FB">
        <w:rPr>
          <w:i/>
          <w:iCs/>
        </w:rPr>
        <w:t>Experience suggests the value of paying differently must be revisited often with repeated opportunities for stakeholders to ask questions and contemplate the rationales and likely impacts for themselves</w:t>
      </w:r>
      <w:r w:rsidR="005043F4" w:rsidRPr="00BF12FB">
        <w:rPr>
          <w:i/>
          <w:iCs/>
        </w:rPr>
        <w:t xml:space="preserve">. </w:t>
      </w:r>
      <w:r w:rsidRPr="00BF12FB">
        <w:rPr>
          <w:i/>
          <w:iCs/>
        </w:rPr>
        <w:t>A lesson learned is to constantly bring the conversation back to intended outcomes for making changes to payment structures. Some questions that have proven helpful in guiding the conversations include:</w:t>
      </w:r>
    </w:p>
    <w:p w14:paraId="3598A830" w14:textId="2672B232" w:rsidR="00757407" w:rsidRPr="00BF12FB" w:rsidRDefault="00757407" w:rsidP="00DC2896">
      <w:pPr>
        <w:pStyle w:val="ListBullet"/>
        <w:rPr>
          <w:i/>
          <w:iCs/>
        </w:rPr>
      </w:pPr>
      <w:r w:rsidRPr="00BF12FB">
        <w:rPr>
          <w:i/>
          <w:iCs/>
        </w:rPr>
        <w:t>What if reimbursement structures were more directly linked to the achievement and maintenance of key outcomes that are desired from services? What kind of new flexibility might this create for providers</w:t>
      </w:r>
      <w:r w:rsidR="00EF658B">
        <w:rPr>
          <w:i/>
          <w:iCs/>
        </w:rPr>
        <w:t>,</w:t>
      </w:r>
      <w:r w:rsidRPr="00BF12FB">
        <w:rPr>
          <w:i/>
          <w:iCs/>
        </w:rPr>
        <w:t xml:space="preserve"> and what kind of new accountability for investments might this create for funders</w:t>
      </w:r>
      <w:r w:rsidR="00852187">
        <w:rPr>
          <w:i/>
          <w:iCs/>
        </w:rPr>
        <w:t xml:space="preserve">? </w:t>
      </w:r>
      <w:r w:rsidRPr="00BF12FB">
        <w:rPr>
          <w:i/>
          <w:iCs/>
        </w:rPr>
        <w:t>Would those receiving services be more or less likely to get frustrated with the process of receiving services to reach their desired goals and outcomes?</w:t>
      </w:r>
    </w:p>
    <w:p w14:paraId="3C78FFF2" w14:textId="77777777" w:rsidR="00757407" w:rsidRPr="00BF12FB" w:rsidRDefault="00757407" w:rsidP="00DC2896">
      <w:pPr>
        <w:pStyle w:val="ListBullet"/>
        <w:rPr>
          <w:i/>
          <w:iCs/>
        </w:rPr>
      </w:pPr>
      <w:r w:rsidRPr="00BF12FB">
        <w:rPr>
          <w:i/>
          <w:iCs/>
        </w:rPr>
        <w:t>Shouldn’t providers exce</w:t>
      </w:r>
      <w:r w:rsidR="00042FFC" w:rsidRPr="00BF12FB">
        <w:rPr>
          <w:i/>
          <w:iCs/>
        </w:rPr>
        <w:t>l</w:t>
      </w:r>
      <w:r w:rsidRPr="00BF12FB">
        <w:rPr>
          <w:i/>
          <w:iCs/>
        </w:rPr>
        <w:t>ling in the application of best practices and production of quality outcomes receive greater financial remuneration for performing in this way?</w:t>
      </w:r>
    </w:p>
    <w:p w14:paraId="08FFBDD6" w14:textId="77777777" w:rsidR="00757407" w:rsidRPr="00BF12FB" w:rsidRDefault="00757407" w:rsidP="00DC2896">
      <w:pPr>
        <w:pStyle w:val="ListBullet"/>
        <w:rPr>
          <w:i/>
          <w:iCs/>
        </w:rPr>
      </w:pPr>
      <w:r w:rsidRPr="00BF12FB">
        <w:rPr>
          <w:i/>
          <w:iCs/>
        </w:rPr>
        <w:t>What if measurable progress toward outcomes, achievement of outcomes</w:t>
      </w:r>
      <w:r w:rsidR="005E0804" w:rsidRPr="00BF12FB">
        <w:rPr>
          <w:i/>
          <w:iCs/>
        </w:rPr>
        <w:t>,</w:t>
      </w:r>
      <w:r w:rsidRPr="00BF12FB">
        <w:rPr>
          <w:i/>
          <w:iCs/>
        </w:rPr>
        <w:t xml:space="preserve"> and sustaining outcomes were the triggers for reimbursement rather than service delivery or process milestones that weren’t necessarily tied to achievement of outcomes?</w:t>
      </w:r>
    </w:p>
    <w:p w14:paraId="562262D4" w14:textId="77777777" w:rsidR="00757407" w:rsidRPr="000F2F79" w:rsidRDefault="00757407" w:rsidP="00B1367E">
      <w:pPr>
        <w:rPr>
          <w:i/>
          <w:iCs/>
        </w:rPr>
      </w:pPr>
      <w:r w:rsidRPr="000F2F79">
        <w:rPr>
          <w:i/>
          <w:iCs/>
        </w:rPr>
        <w:t>As appropriate time and effort is put into allowing all stakeholders involved to consider, in more than a superficial way, the merits of adopting a different payment structure, stakeholder engagement in designing the best possible alternative payment structure will begin to grow and emerge, leading to a process that results in positive outcomes.</w:t>
      </w:r>
    </w:p>
    <w:p w14:paraId="00363FAD" w14:textId="19B2C53C" w:rsidR="00757407" w:rsidRPr="00485FE5" w:rsidRDefault="00757407" w:rsidP="009F2029">
      <w:r w:rsidRPr="00485FE5">
        <w:lastRenderedPageBreak/>
        <w:t>It may be the case that providers of direct services have based their approach to budgeting on maximizing the volume of services delivered. They may be using volume-based budgeting to cover the ongoing costs for their administrative structure, setting annual targets for the volume of services provided</w:t>
      </w:r>
      <w:r w:rsidR="00967897">
        <w:t>—</w:t>
      </w:r>
      <w:r w:rsidRPr="00485FE5">
        <w:t>rather than the net income generated</w:t>
      </w:r>
      <w:r w:rsidR="00967897">
        <w:t>—</w:t>
      </w:r>
      <w:r w:rsidRPr="00485FE5">
        <w:t xml:space="preserve">to create their balanced operating budgets. In this situation, </w:t>
      </w:r>
      <w:r w:rsidRPr="00485FE5">
        <w:rPr>
          <w:b/>
          <w:i/>
        </w:rPr>
        <w:t>it may be particularly difficult for a provider to understand how delivering less service would be an advantage to them financially</w:t>
      </w:r>
      <w:r w:rsidRPr="00485FE5">
        <w:t xml:space="preserve">. They see maintaining or even increasing the volume of service delivered as critical for sustaining their organization. Getting beyond this is critical for provider buy-in for payment structure reform. </w:t>
      </w:r>
    </w:p>
    <w:p w14:paraId="4CD39439" w14:textId="5CE1B594" w:rsidR="007E3FF7" w:rsidRDefault="00757407" w:rsidP="008F440A">
      <w:pPr>
        <w:rPr>
          <w:noProof/>
        </w:rPr>
      </w:pPr>
      <w:r w:rsidRPr="00485FE5">
        <w:t>Recent experience in particular suggests tying the change in thinking</w:t>
      </w:r>
      <w:r w:rsidR="00B44CF0">
        <w:t>—</w:t>
      </w:r>
      <w:r w:rsidRPr="00485FE5">
        <w:t xml:space="preserve">from a focus on maximizing </w:t>
      </w:r>
      <w:r w:rsidR="007941F3">
        <w:t xml:space="preserve">the </w:t>
      </w:r>
      <w:r w:rsidRPr="00485FE5">
        <w:t>volume of service delivered to a focus on maximizing net income from a potentially lower amount of service delivered</w:t>
      </w:r>
      <w:r w:rsidR="00B44CF0">
        <w:t>—</w:t>
      </w:r>
      <w:r w:rsidRPr="00485FE5">
        <w:t xml:space="preserve">to the direct service workforce crisis. Providers who feel the biggest impact from the direct service workforce crisis are those that provide the most units of service (units of time) as they need the most direct support workers to do this. New reimbursement models and payment structures that are not so directly tied to the amount of service provision time (and instead more directly tied to the outcomes produced by effective and efficient service provision) can actually allow a provider to </w:t>
      </w:r>
      <w:r w:rsidRPr="00485FE5">
        <w:rPr>
          <w:b/>
          <w:i/>
        </w:rPr>
        <w:t>increase net income by providing less service</w:t>
      </w:r>
      <w:r w:rsidRPr="00485FE5">
        <w:t>. While it certainly can be counter-intuitive for a system that may have a long and exclusive history of fee-for-service or other payment structures that inadvertently incentivize higher amounts of service delivery, it can also introduce a path forward that can reduce the negative impact of the direct service workforce shortage. If less service needs to be provided, the following “knock-on” effects can occur</w:t>
      </w:r>
      <w:r w:rsidR="008771A1">
        <w:t xml:space="preserve"> (as shown in</w:t>
      </w:r>
      <w:r w:rsidR="00B41328">
        <w:t xml:space="preserve"> the</w:t>
      </w:r>
      <w:r w:rsidR="008771A1">
        <w:t xml:space="preserve"> chart)</w:t>
      </w:r>
      <w:r w:rsidRPr="00485FE5">
        <w:t>, starting with the need for less direct service professionals (DSPs)</w:t>
      </w:r>
      <w:r w:rsidR="00540867">
        <w:t>.</w:t>
      </w:r>
      <w:r w:rsidR="007E3FF7" w:rsidRPr="007E3FF7">
        <w:rPr>
          <w:noProof/>
        </w:rPr>
        <w:t xml:space="preserve"> </w:t>
      </w:r>
    </w:p>
    <w:p w14:paraId="59FFD51E" w14:textId="77777777" w:rsidR="007E3FF7" w:rsidRDefault="007E3FF7" w:rsidP="007E3FF7">
      <w:pPr>
        <w:pStyle w:val="NoSpacing"/>
        <w:rPr>
          <w:noProof/>
        </w:rPr>
      </w:pPr>
    </w:p>
    <w:p w14:paraId="3C358F76" w14:textId="6BEA39ED" w:rsidR="00757407" w:rsidRDefault="007E3FF7" w:rsidP="004A7859">
      <w:pPr>
        <w:spacing w:before="0"/>
        <w:ind w:left="1890"/>
      </w:pPr>
      <w:r w:rsidRPr="00485FE5">
        <w:rPr>
          <w:noProof/>
        </w:rPr>
        <w:drawing>
          <wp:inline distT="0" distB="0" distL="0" distR="0" wp14:anchorId="48A80D9D" wp14:editId="163DF0BB">
            <wp:extent cx="3204845" cy="2402205"/>
            <wp:effectExtent l="0" t="0" r="0" b="23495"/>
            <wp:docPr id="2" name="Diagram 2" descr="Chart showing knock-on effects of if less service need to be provided.">
              <a:extLst xmlns:a="http://schemas.openxmlformats.org/drawingml/2006/main">
                <a:ext uri="{FF2B5EF4-FFF2-40B4-BE49-F238E27FC236}">
                  <a16:creationId xmlns:a16="http://schemas.microsoft.com/office/drawing/2014/main" id="{87C32748-BC0E-4C57-98C6-FBB73851383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3BD3688" w14:textId="77777777" w:rsidR="007E3FF7" w:rsidRPr="00485FE5" w:rsidRDefault="007E3FF7" w:rsidP="007E3FF7">
      <w:pPr>
        <w:pStyle w:val="NoSpacing"/>
      </w:pPr>
    </w:p>
    <w:p w14:paraId="6DCD83DF" w14:textId="77777777" w:rsidR="00722572" w:rsidRDefault="00757407" w:rsidP="00A13EED">
      <w:r w:rsidRPr="00C1641B">
        <w:t xml:space="preserve">Overall, assisting providers </w:t>
      </w:r>
      <w:r w:rsidR="007941F3" w:rsidRPr="00C1641B">
        <w:t>in focusing</w:t>
      </w:r>
      <w:r w:rsidRPr="00C1641B">
        <w:t xml:space="preserve"> on </w:t>
      </w:r>
      <w:r w:rsidRPr="00C1641B">
        <w:rPr>
          <w:b/>
        </w:rPr>
        <w:t>net income</w:t>
      </w:r>
      <w:r w:rsidRPr="00C1641B">
        <w:t xml:space="preserve"> rather than </w:t>
      </w:r>
      <w:r w:rsidRPr="00C1641B">
        <w:rPr>
          <w:b/>
        </w:rPr>
        <w:t>gross income</w:t>
      </w:r>
      <w:r w:rsidRPr="00C1641B">
        <w:t xml:space="preserve"> allows providers to begin to see that a smaller, better-resourced organization with a flatter organizational structure and better paid, more experienced staff might more effectively sustain the organization and support investment in innovation.</w:t>
      </w:r>
      <w:r w:rsidRPr="00485FE5">
        <w:t xml:space="preserve"> </w:t>
      </w:r>
    </w:p>
    <w:p w14:paraId="37F25D05" w14:textId="77777777" w:rsidR="00C36CF5" w:rsidRDefault="00C36CF5">
      <w:pPr>
        <w:spacing w:before="0" w:after="0" w:line="240" w:lineRule="auto"/>
      </w:pPr>
      <w:r>
        <w:br w:type="page"/>
      </w:r>
    </w:p>
    <w:p w14:paraId="004900B8" w14:textId="710A6C87" w:rsidR="002D158F" w:rsidRDefault="00757407" w:rsidP="00C27B9A">
      <w:pPr>
        <w:spacing w:after="0"/>
      </w:pPr>
      <w:r w:rsidRPr="00485FE5">
        <w:lastRenderedPageBreak/>
        <w:t>Consider this simple comparison:</w:t>
      </w:r>
    </w:p>
    <w:p w14:paraId="0BAD4C51" w14:textId="77777777" w:rsidR="009F2029" w:rsidRPr="002D158F" w:rsidRDefault="009F2029" w:rsidP="009F2029">
      <w:pPr>
        <w:pStyle w:val="NoSpacing"/>
      </w:pPr>
    </w:p>
    <w:tbl>
      <w:tblPr>
        <w:tblStyle w:val="EconSysBandedTable"/>
        <w:tblW w:w="0" w:type="auto"/>
        <w:jc w:val="center"/>
        <w:tblInd w:w="0" w:type="dxa"/>
        <w:tblLook w:val="0420" w:firstRow="1" w:lastRow="0" w:firstColumn="0" w:lastColumn="0" w:noHBand="0" w:noVBand="1"/>
      </w:tblPr>
      <w:tblGrid>
        <w:gridCol w:w="3330"/>
        <w:gridCol w:w="1260"/>
        <w:gridCol w:w="1530"/>
      </w:tblGrid>
      <w:tr w:rsidR="00D93068" w:rsidRPr="00775100" w14:paraId="3C9FFD08" w14:textId="77777777" w:rsidTr="00C27B9A">
        <w:trPr>
          <w:cnfStyle w:val="100000000000" w:firstRow="1" w:lastRow="0" w:firstColumn="0" w:lastColumn="0" w:oddVBand="0" w:evenVBand="0" w:oddHBand="0" w:evenHBand="0" w:firstRowFirstColumn="0" w:firstRowLastColumn="0" w:lastRowFirstColumn="0" w:lastRowLastColumn="0"/>
          <w:trHeight w:val="346"/>
          <w:jc w:val="center"/>
        </w:trPr>
        <w:tc>
          <w:tcPr>
            <w:tcW w:w="3330" w:type="dxa"/>
            <w:shd w:val="clear" w:color="auto" w:fill="215868" w:themeFill="accent5" w:themeFillShade="80"/>
            <w:vAlign w:val="top"/>
          </w:tcPr>
          <w:p w14:paraId="12557F1F" w14:textId="77777777" w:rsidR="00757407" w:rsidRPr="00D91A5A" w:rsidRDefault="00757407" w:rsidP="00597EC9">
            <w:pPr>
              <w:spacing w:before="60" w:after="60" w:line="240" w:lineRule="auto"/>
              <w:contextualSpacing w:val="0"/>
              <w:rPr>
                <w:rFonts w:ascii="Optima" w:hAnsi="Optima"/>
                <w:sz w:val="19"/>
                <w:szCs w:val="19"/>
              </w:rPr>
            </w:pPr>
          </w:p>
        </w:tc>
        <w:tc>
          <w:tcPr>
            <w:tcW w:w="1260" w:type="dxa"/>
            <w:shd w:val="clear" w:color="auto" w:fill="215868" w:themeFill="accent5" w:themeFillShade="80"/>
            <w:vAlign w:val="top"/>
          </w:tcPr>
          <w:p w14:paraId="74FA72E2" w14:textId="77777777" w:rsidR="00757407" w:rsidRPr="00D91A5A" w:rsidRDefault="00757407" w:rsidP="00D93068">
            <w:pPr>
              <w:spacing w:before="60" w:after="60" w:line="240" w:lineRule="auto"/>
              <w:contextualSpacing w:val="0"/>
              <w:jc w:val="right"/>
              <w:rPr>
                <w:rFonts w:ascii="Optima" w:hAnsi="Optima"/>
                <w:color w:val="FFFFFF" w:themeColor="background1"/>
                <w:sz w:val="19"/>
                <w:szCs w:val="19"/>
              </w:rPr>
            </w:pPr>
            <w:r w:rsidRPr="00D91A5A">
              <w:rPr>
                <w:rFonts w:ascii="Optima" w:hAnsi="Optima"/>
                <w:color w:val="FFFFFF" w:themeColor="background1"/>
                <w:sz w:val="19"/>
                <w:szCs w:val="19"/>
              </w:rPr>
              <w:t>Provider A</w:t>
            </w:r>
          </w:p>
        </w:tc>
        <w:tc>
          <w:tcPr>
            <w:tcW w:w="1530" w:type="dxa"/>
            <w:shd w:val="clear" w:color="auto" w:fill="215868" w:themeFill="accent5" w:themeFillShade="80"/>
            <w:vAlign w:val="top"/>
          </w:tcPr>
          <w:p w14:paraId="4716469E" w14:textId="77777777" w:rsidR="00757407" w:rsidRPr="00D91A5A" w:rsidRDefault="00757407" w:rsidP="00D93068">
            <w:pPr>
              <w:spacing w:before="60" w:after="60" w:line="240" w:lineRule="auto"/>
              <w:contextualSpacing w:val="0"/>
              <w:jc w:val="right"/>
              <w:rPr>
                <w:rFonts w:ascii="Optima" w:hAnsi="Optima"/>
                <w:color w:val="FFFFFF" w:themeColor="background1"/>
                <w:sz w:val="19"/>
                <w:szCs w:val="19"/>
              </w:rPr>
            </w:pPr>
            <w:r w:rsidRPr="00D91A5A">
              <w:rPr>
                <w:rFonts w:ascii="Optima" w:hAnsi="Optima"/>
                <w:color w:val="FFFFFF" w:themeColor="background1"/>
                <w:sz w:val="19"/>
                <w:szCs w:val="19"/>
              </w:rPr>
              <w:t>Provider B</w:t>
            </w:r>
          </w:p>
        </w:tc>
      </w:tr>
      <w:tr w:rsidR="00D93068" w:rsidRPr="00775100" w14:paraId="2A0E8EE0"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330" w:type="dxa"/>
            <w:shd w:val="clear" w:color="auto" w:fill="DAEEF3" w:themeFill="accent5" w:themeFillTint="33"/>
          </w:tcPr>
          <w:p w14:paraId="60BAE961" w14:textId="77777777" w:rsidR="00757407" w:rsidRPr="008E70CB" w:rsidRDefault="00757407" w:rsidP="00D93068">
            <w:pPr>
              <w:spacing w:before="60" w:after="60" w:line="240" w:lineRule="auto"/>
              <w:contextualSpacing w:val="0"/>
              <w:rPr>
                <w:rFonts w:ascii="Optima" w:hAnsi="Optima"/>
                <w:sz w:val="19"/>
                <w:szCs w:val="19"/>
              </w:rPr>
            </w:pPr>
            <w:r w:rsidRPr="008E70CB">
              <w:rPr>
                <w:rFonts w:ascii="Optima" w:hAnsi="Optima"/>
                <w:sz w:val="19"/>
                <w:szCs w:val="19"/>
              </w:rPr>
              <w:t>Amount of Services Delivered</w:t>
            </w:r>
          </w:p>
        </w:tc>
        <w:tc>
          <w:tcPr>
            <w:tcW w:w="1260" w:type="dxa"/>
            <w:shd w:val="clear" w:color="auto" w:fill="DAEEF3" w:themeFill="accent5" w:themeFillTint="33"/>
          </w:tcPr>
          <w:p w14:paraId="7D982765" w14:textId="77777777" w:rsidR="00757407" w:rsidRPr="008E70CB" w:rsidRDefault="00757407" w:rsidP="00D93068">
            <w:pPr>
              <w:spacing w:before="60" w:after="60" w:line="240" w:lineRule="auto"/>
              <w:ind w:left="-3"/>
              <w:contextualSpacing w:val="0"/>
              <w:jc w:val="right"/>
              <w:rPr>
                <w:rFonts w:ascii="Optima" w:hAnsi="Optima"/>
                <w:sz w:val="19"/>
                <w:szCs w:val="19"/>
              </w:rPr>
            </w:pPr>
            <w:r w:rsidRPr="008E70CB">
              <w:rPr>
                <w:rFonts w:ascii="Optima" w:hAnsi="Optima"/>
                <w:sz w:val="19"/>
                <w:szCs w:val="19"/>
              </w:rPr>
              <w:t>2,000 hours</w:t>
            </w:r>
          </w:p>
        </w:tc>
        <w:tc>
          <w:tcPr>
            <w:tcW w:w="1530" w:type="dxa"/>
            <w:shd w:val="clear" w:color="auto" w:fill="DAEEF3" w:themeFill="accent5" w:themeFillTint="33"/>
          </w:tcPr>
          <w:p w14:paraId="512C42E1" w14:textId="77777777" w:rsidR="00757407" w:rsidRPr="008E70CB" w:rsidRDefault="00757407" w:rsidP="00D93068">
            <w:pPr>
              <w:spacing w:before="60" w:after="60" w:line="240" w:lineRule="auto"/>
              <w:contextualSpacing w:val="0"/>
              <w:jc w:val="right"/>
              <w:rPr>
                <w:rFonts w:ascii="Optima" w:hAnsi="Optima"/>
                <w:sz w:val="19"/>
                <w:szCs w:val="19"/>
              </w:rPr>
            </w:pPr>
            <w:r w:rsidRPr="008E70CB">
              <w:rPr>
                <w:rFonts w:ascii="Optima" w:hAnsi="Optima"/>
                <w:sz w:val="19"/>
                <w:szCs w:val="19"/>
              </w:rPr>
              <w:t>1,000 hours</w:t>
            </w:r>
          </w:p>
        </w:tc>
      </w:tr>
      <w:tr w:rsidR="00D93068" w:rsidRPr="00775100" w14:paraId="1081D2C4"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330" w:type="dxa"/>
            <w:shd w:val="clear" w:color="auto" w:fill="FFFFFF" w:themeFill="background1"/>
          </w:tcPr>
          <w:p w14:paraId="0B8BF8C0" w14:textId="77777777" w:rsidR="00757407" w:rsidRPr="008E70CB" w:rsidRDefault="00757407" w:rsidP="00597EC9">
            <w:pPr>
              <w:spacing w:before="60" w:after="60" w:line="240" w:lineRule="auto"/>
              <w:contextualSpacing w:val="0"/>
              <w:rPr>
                <w:rFonts w:ascii="Optima" w:hAnsi="Optima"/>
                <w:sz w:val="19"/>
                <w:szCs w:val="19"/>
              </w:rPr>
            </w:pPr>
            <w:r w:rsidRPr="008E70CB">
              <w:rPr>
                <w:rFonts w:ascii="Optima" w:hAnsi="Optima"/>
                <w:sz w:val="19"/>
                <w:szCs w:val="19"/>
              </w:rPr>
              <w:t>Payment Per Unit of Service</w:t>
            </w:r>
          </w:p>
        </w:tc>
        <w:tc>
          <w:tcPr>
            <w:tcW w:w="1260" w:type="dxa"/>
            <w:shd w:val="clear" w:color="auto" w:fill="FFFFFF" w:themeFill="background1"/>
          </w:tcPr>
          <w:p w14:paraId="13D29B45" w14:textId="77777777" w:rsidR="00757407" w:rsidRPr="008E70CB" w:rsidRDefault="00757407" w:rsidP="00D93068">
            <w:pPr>
              <w:spacing w:before="60" w:after="60" w:line="240" w:lineRule="auto"/>
              <w:ind w:left="-3"/>
              <w:contextualSpacing w:val="0"/>
              <w:jc w:val="right"/>
              <w:rPr>
                <w:rFonts w:ascii="Optima" w:hAnsi="Optima"/>
                <w:sz w:val="19"/>
                <w:szCs w:val="19"/>
              </w:rPr>
            </w:pPr>
            <w:r w:rsidRPr="008E70CB">
              <w:rPr>
                <w:rFonts w:ascii="Optima" w:hAnsi="Optima"/>
                <w:sz w:val="19"/>
                <w:szCs w:val="19"/>
              </w:rPr>
              <w:t>$7.00</w:t>
            </w:r>
          </w:p>
        </w:tc>
        <w:tc>
          <w:tcPr>
            <w:tcW w:w="1530" w:type="dxa"/>
            <w:shd w:val="clear" w:color="auto" w:fill="FFFFFF" w:themeFill="background1"/>
          </w:tcPr>
          <w:p w14:paraId="119B5E6A" w14:textId="77777777" w:rsidR="00757407" w:rsidRPr="008E70CB" w:rsidRDefault="00757407" w:rsidP="00D93068">
            <w:pPr>
              <w:spacing w:before="60" w:after="60" w:line="240" w:lineRule="auto"/>
              <w:contextualSpacing w:val="0"/>
              <w:jc w:val="right"/>
              <w:rPr>
                <w:rFonts w:ascii="Optima" w:hAnsi="Optima"/>
                <w:sz w:val="19"/>
                <w:szCs w:val="19"/>
              </w:rPr>
            </w:pPr>
            <w:r w:rsidRPr="008E70CB">
              <w:rPr>
                <w:rFonts w:ascii="Optima" w:hAnsi="Optima"/>
                <w:sz w:val="19"/>
                <w:szCs w:val="19"/>
              </w:rPr>
              <w:t>$14.00</w:t>
            </w:r>
          </w:p>
        </w:tc>
      </w:tr>
      <w:tr w:rsidR="00D93068" w:rsidRPr="00775100" w14:paraId="4960EB9B"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330" w:type="dxa"/>
            <w:shd w:val="clear" w:color="auto" w:fill="DAEEF3" w:themeFill="accent5" w:themeFillTint="33"/>
          </w:tcPr>
          <w:p w14:paraId="5F7F5CE7" w14:textId="77777777" w:rsidR="00757407" w:rsidRPr="008E70CB" w:rsidRDefault="00757407" w:rsidP="00597EC9">
            <w:pPr>
              <w:spacing w:before="60" w:after="60" w:line="240" w:lineRule="auto"/>
              <w:contextualSpacing w:val="0"/>
              <w:rPr>
                <w:rFonts w:ascii="Optima" w:hAnsi="Optima"/>
                <w:sz w:val="19"/>
                <w:szCs w:val="19"/>
              </w:rPr>
            </w:pPr>
            <w:r w:rsidRPr="008E70CB">
              <w:rPr>
                <w:rFonts w:ascii="Optima" w:hAnsi="Optima"/>
                <w:sz w:val="19"/>
                <w:szCs w:val="19"/>
              </w:rPr>
              <w:t>Total Gross Income</w:t>
            </w:r>
          </w:p>
        </w:tc>
        <w:tc>
          <w:tcPr>
            <w:tcW w:w="1260" w:type="dxa"/>
            <w:shd w:val="clear" w:color="auto" w:fill="DAEEF3" w:themeFill="accent5" w:themeFillTint="33"/>
          </w:tcPr>
          <w:p w14:paraId="341BF07F" w14:textId="77777777" w:rsidR="00757407" w:rsidRPr="008E70CB" w:rsidRDefault="00757407" w:rsidP="00D93068">
            <w:pPr>
              <w:spacing w:before="60" w:after="60" w:line="240" w:lineRule="auto"/>
              <w:ind w:left="-3"/>
              <w:contextualSpacing w:val="0"/>
              <w:jc w:val="right"/>
              <w:rPr>
                <w:rFonts w:ascii="Optima" w:hAnsi="Optima"/>
                <w:sz w:val="19"/>
                <w:szCs w:val="19"/>
              </w:rPr>
            </w:pPr>
            <w:r w:rsidRPr="008E70CB">
              <w:rPr>
                <w:rFonts w:ascii="Optima" w:hAnsi="Optima"/>
                <w:sz w:val="19"/>
                <w:szCs w:val="19"/>
              </w:rPr>
              <w:t>$140,000</w:t>
            </w:r>
          </w:p>
        </w:tc>
        <w:tc>
          <w:tcPr>
            <w:tcW w:w="1530" w:type="dxa"/>
            <w:shd w:val="clear" w:color="auto" w:fill="DAEEF3" w:themeFill="accent5" w:themeFillTint="33"/>
          </w:tcPr>
          <w:p w14:paraId="2EE6052A" w14:textId="77777777" w:rsidR="00757407" w:rsidRPr="008E70CB" w:rsidRDefault="00757407" w:rsidP="00D93068">
            <w:pPr>
              <w:spacing w:before="60" w:after="60" w:line="240" w:lineRule="auto"/>
              <w:contextualSpacing w:val="0"/>
              <w:jc w:val="right"/>
              <w:rPr>
                <w:rFonts w:ascii="Optima" w:hAnsi="Optima"/>
                <w:sz w:val="19"/>
                <w:szCs w:val="19"/>
              </w:rPr>
            </w:pPr>
            <w:r w:rsidRPr="008E70CB">
              <w:rPr>
                <w:rFonts w:ascii="Optima" w:hAnsi="Optima"/>
                <w:sz w:val="19"/>
                <w:szCs w:val="19"/>
              </w:rPr>
              <w:t>$140,000</w:t>
            </w:r>
          </w:p>
        </w:tc>
      </w:tr>
      <w:tr w:rsidR="00D93068" w:rsidRPr="00775100" w14:paraId="132B8074"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330" w:type="dxa"/>
            <w:shd w:val="clear" w:color="auto" w:fill="FFFFFF" w:themeFill="background1"/>
          </w:tcPr>
          <w:p w14:paraId="263B80DD" w14:textId="77777777" w:rsidR="00757407" w:rsidRPr="008E70CB" w:rsidRDefault="00757407" w:rsidP="00597EC9">
            <w:pPr>
              <w:spacing w:before="60" w:after="60" w:line="240" w:lineRule="auto"/>
              <w:contextualSpacing w:val="0"/>
              <w:rPr>
                <w:rFonts w:ascii="Optima" w:hAnsi="Optima"/>
                <w:sz w:val="19"/>
                <w:szCs w:val="19"/>
              </w:rPr>
            </w:pPr>
            <w:r w:rsidRPr="008E70CB">
              <w:rPr>
                <w:rFonts w:ascii="Optima" w:hAnsi="Optima"/>
                <w:sz w:val="19"/>
                <w:szCs w:val="19"/>
              </w:rPr>
              <w:t>Gross Cost Per Unit of Service</w:t>
            </w:r>
          </w:p>
        </w:tc>
        <w:tc>
          <w:tcPr>
            <w:tcW w:w="1260" w:type="dxa"/>
            <w:shd w:val="clear" w:color="auto" w:fill="FFFFFF" w:themeFill="background1"/>
          </w:tcPr>
          <w:p w14:paraId="53CB52CF" w14:textId="77777777" w:rsidR="00757407" w:rsidRPr="008E70CB" w:rsidRDefault="00757407" w:rsidP="00D93068">
            <w:pPr>
              <w:spacing w:before="60" w:after="60" w:line="240" w:lineRule="auto"/>
              <w:ind w:left="-3"/>
              <w:contextualSpacing w:val="0"/>
              <w:jc w:val="right"/>
              <w:rPr>
                <w:rFonts w:ascii="Optima" w:hAnsi="Optima"/>
                <w:sz w:val="19"/>
                <w:szCs w:val="19"/>
              </w:rPr>
            </w:pPr>
            <w:r w:rsidRPr="008E70CB">
              <w:rPr>
                <w:rFonts w:ascii="Optima" w:hAnsi="Optima"/>
                <w:sz w:val="19"/>
                <w:szCs w:val="19"/>
              </w:rPr>
              <w:t>$6.75</w:t>
            </w:r>
          </w:p>
        </w:tc>
        <w:tc>
          <w:tcPr>
            <w:tcW w:w="1530" w:type="dxa"/>
            <w:shd w:val="clear" w:color="auto" w:fill="FFFFFF" w:themeFill="background1"/>
          </w:tcPr>
          <w:p w14:paraId="3A34B5B4" w14:textId="77777777" w:rsidR="00757407" w:rsidRPr="008E70CB" w:rsidRDefault="00757407" w:rsidP="00D93068">
            <w:pPr>
              <w:spacing w:before="60" w:after="60" w:line="240" w:lineRule="auto"/>
              <w:contextualSpacing w:val="0"/>
              <w:jc w:val="right"/>
              <w:rPr>
                <w:rFonts w:ascii="Optima" w:hAnsi="Optima"/>
                <w:sz w:val="19"/>
                <w:szCs w:val="19"/>
              </w:rPr>
            </w:pPr>
            <w:r w:rsidRPr="008E70CB">
              <w:rPr>
                <w:rFonts w:ascii="Optima" w:hAnsi="Optima"/>
                <w:sz w:val="19"/>
                <w:szCs w:val="19"/>
              </w:rPr>
              <w:t>$11.75</w:t>
            </w:r>
          </w:p>
        </w:tc>
      </w:tr>
      <w:tr w:rsidR="00D93068" w:rsidRPr="00775100" w14:paraId="268DF674"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330" w:type="dxa"/>
            <w:shd w:val="clear" w:color="auto" w:fill="DAEEF3" w:themeFill="accent5" w:themeFillTint="33"/>
          </w:tcPr>
          <w:p w14:paraId="06EB8F40" w14:textId="77777777" w:rsidR="00757407" w:rsidRPr="008E70CB" w:rsidRDefault="00757407" w:rsidP="00597EC9">
            <w:pPr>
              <w:spacing w:before="60" w:after="60" w:line="240" w:lineRule="auto"/>
              <w:contextualSpacing w:val="0"/>
              <w:rPr>
                <w:rFonts w:ascii="Optima" w:hAnsi="Optima"/>
                <w:sz w:val="19"/>
                <w:szCs w:val="19"/>
              </w:rPr>
            </w:pPr>
            <w:r w:rsidRPr="008E70CB">
              <w:rPr>
                <w:rFonts w:ascii="Optima" w:hAnsi="Optima"/>
                <w:sz w:val="19"/>
                <w:szCs w:val="19"/>
              </w:rPr>
              <w:t>Net Income Per Unit of Service</w:t>
            </w:r>
          </w:p>
        </w:tc>
        <w:tc>
          <w:tcPr>
            <w:tcW w:w="1260" w:type="dxa"/>
            <w:shd w:val="clear" w:color="auto" w:fill="DAEEF3" w:themeFill="accent5" w:themeFillTint="33"/>
          </w:tcPr>
          <w:p w14:paraId="15E34B11" w14:textId="77777777" w:rsidR="00757407" w:rsidRPr="008E70CB" w:rsidRDefault="00757407" w:rsidP="00D93068">
            <w:pPr>
              <w:spacing w:before="60" w:after="60" w:line="240" w:lineRule="auto"/>
              <w:ind w:left="-3"/>
              <w:contextualSpacing w:val="0"/>
              <w:jc w:val="right"/>
              <w:rPr>
                <w:rFonts w:ascii="Optima" w:hAnsi="Optima"/>
                <w:sz w:val="19"/>
                <w:szCs w:val="19"/>
              </w:rPr>
            </w:pPr>
            <w:r w:rsidRPr="008E70CB">
              <w:rPr>
                <w:rFonts w:ascii="Optima" w:hAnsi="Optima"/>
                <w:sz w:val="19"/>
                <w:szCs w:val="19"/>
              </w:rPr>
              <w:t>$.25</w:t>
            </w:r>
          </w:p>
        </w:tc>
        <w:tc>
          <w:tcPr>
            <w:tcW w:w="1530" w:type="dxa"/>
            <w:shd w:val="clear" w:color="auto" w:fill="DAEEF3" w:themeFill="accent5" w:themeFillTint="33"/>
          </w:tcPr>
          <w:p w14:paraId="4BC38339" w14:textId="77777777" w:rsidR="00757407" w:rsidRPr="008E70CB" w:rsidRDefault="00757407" w:rsidP="00D93068">
            <w:pPr>
              <w:spacing w:before="60" w:after="60" w:line="240" w:lineRule="auto"/>
              <w:contextualSpacing w:val="0"/>
              <w:jc w:val="right"/>
              <w:rPr>
                <w:rFonts w:ascii="Optima" w:hAnsi="Optima"/>
                <w:sz w:val="19"/>
                <w:szCs w:val="19"/>
              </w:rPr>
            </w:pPr>
            <w:r w:rsidRPr="008E70CB">
              <w:rPr>
                <w:rFonts w:ascii="Optima" w:hAnsi="Optima"/>
                <w:sz w:val="19"/>
                <w:szCs w:val="19"/>
              </w:rPr>
              <w:t>$2.25</w:t>
            </w:r>
          </w:p>
        </w:tc>
      </w:tr>
      <w:tr w:rsidR="00D93068" w:rsidRPr="00775100" w14:paraId="4F3ACAE7"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330" w:type="dxa"/>
          </w:tcPr>
          <w:p w14:paraId="2F348454" w14:textId="77777777" w:rsidR="00757407" w:rsidRPr="008E70CB" w:rsidRDefault="00757407" w:rsidP="00597EC9">
            <w:pPr>
              <w:spacing w:before="60" w:after="60" w:line="240" w:lineRule="auto"/>
              <w:contextualSpacing w:val="0"/>
              <w:rPr>
                <w:rFonts w:ascii="Optima" w:hAnsi="Optima"/>
                <w:sz w:val="19"/>
                <w:szCs w:val="19"/>
              </w:rPr>
            </w:pPr>
            <w:r w:rsidRPr="008E70CB">
              <w:rPr>
                <w:rFonts w:ascii="Optima" w:hAnsi="Optima"/>
                <w:sz w:val="19"/>
                <w:szCs w:val="19"/>
              </w:rPr>
              <w:t>Total Net Income</w:t>
            </w:r>
          </w:p>
        </w:tc>
        <w:tc>
          <w:tcPr>
            <w:tcW w:w="1260" w:type="dxa"/>
          </w:tcPr>
          <w:p w14:paraId="0CC5493C" w14:textId="77777777" w:rsidR="00757407" w:rsidRPr="008E70CB" w:rsidRDefault="00757407" w:rsidP="00D93068">
            <w:pPr>
              <w:spacing w:before="60" w:after="60" w:line="240" w:lineRule="auto"/>
              <w:ind w:left="-3"/>
              <w:contextualSpacing w:val="0"/>
              <w:jc w:val="right"/>
              <w:rPr>
                <w:rFonts w:ascii="Optima" w:hAnsi="Optima"/>
                <w:sz w:val="19"/>
                <w:szCs w:val="19"/>
              </w:rPr>
            </w:pPr>
            <w:r w:rsidRPr="008E70CB">
              <w:rPr>
                <w:rFonts w:ascii="Optima" w:hAnsi="Optima"/>
                <w:sz w:val="19"/>
                <w:szCs w:val="19"/>
              </w:rPr>
              <w:t>$500</w:t>
            </w:r>
          </w:p>
        </w:tc>
        <w:tc>
          <w:tcPr>
            <w:tcW w:w="1530" w:type="dxa"/>
          </w:tcPr>
          <w:p w14:paraId="0797378D" w14:textId="77777777" w:rsidR="00757407" w:rsidRPr="008E70CB" w:rsidRDefault="00757407" w:rsidP="00D93068">
            <w:pPr>
              <w:spacing w:before="60" w:after="60" w:line="240" w:lineRule="auto"/>
              <w:contextualSpacing w:val="0"/>
              <w:jc w:val="right"/>
              <w:rPr>
                <w:rFonts w:ascii="Optima" w:hAnsi="Optima"/>
                <w:sz w:val="19"/>
                <w:szCs w:val="19"/>
              </w:rPr>
            </w:pPr>
            <w:r w:rsidRPr="008E70CB">
              <w:rPr>
                <w:rFonts w:ascii="Optima" w:hAnsi="Optima"/>
                <w:sz w:val="19"/>
                <w:szCs w:val="19"/>
              </w:rPr>
              <w:t>$2,250</w:t>
            </w:r>
          </w:p>
        </w:tc>
      </w:tr>
    </w:tbl>
    <w:p w14:paraId="1D86DFFA" w14:textId="77777777" w:rsidR="00A6776C" w:rsidRDefault="00A6776C" w:rsidP="002476FD">
      <w:pPr>
        <w:pStyle w:val="NoSpacing"/>
      </w:pPr>
    </w:p>
    <w:p w14:paraId="5A4B4E6A" w14:textId="77777777" w:rsidR="00757407" w:rsidRPr="00485FE5" w:rsidRDefault="00757407" w:rsidP="00B1367E">
      <w:r w:rsidRPr="00485FE5">
        <w:t xml:space="preserve">In this example, providing </w:t>
      </w:r>
      <w:r w:rsidR="007941F3">
        <w:t>fewer</w:t>
      </w:r>
      <w:r w:rsidR="007941F3" w:rsidRPr="00485FE5">
        <w:t xml:space="preserve"> </w:t>
      </w:r>
      <w:r w:rsidRPr="00485FE5">
        <w:t>units of service, paid at a higher reimbursement rate, ultimately creates more net income for the provider, despite the fact the gross income paid to each provider (the total expenditure by the funder) is the same</w:t>
      </w:r>
      <w:r w:rsidR="005043F4">
        <w:t xml:space="preserve">. </w:t>
      </w:r>
      <w:r w:rsidRPr="00485FE5">
        <w:t>What defines the financial benefit to the provider is not gross income. In this example, there is no difference in gross income. What defines the financial benefit to the provider is actually net income.</w:t>
      </w:r>
    </w:p>
    <w:p w14:paraId="160C151F" w14:textId="77777777" w:rsidR="002D158F" w:rsidRDefault="00757407" w:rsidP="009F2029">
      <w:pPr>
        <w:spacing w:after="0"/>
      </w:pPr>
      <w:r w:rsidRPr="00485FE5">
        <w:t xml:space="preserve">In this next example, a three-part comparison between </w:t>
      </w:r>
      <w:r w:rsidR="00F655C6">
        <w:t>Supported Employment</w:t>
      </w:r>
      <w:r w:rsidRPr="00485FE5">
        <w:t xml:space="preserve"> revenue is made</w:t>
      </w:r>
      <w:r w:rsidR="008C4BED">
        <w:t xml:space="preserve">: </w:t>
      </w:r>
      <w:r w:rsidRPr="00485FE5">
        <w:t>one provider being paid based on hours of service is compared to a provider being paid based on the hours the supported employee works:</w:t>
      </w:r>
    </w:p>
    <w:p w14:paraId="68930D37" w14:textId="77777777" w:rsidR="009F2029" w:rsidRPr="00485FE5" w:rsidRDefault="009F2029" w:rsidP="009F2029">
      <w:pPr>
        <w:pStyle w:val="NoSpacing"/>
      </w:pPr>
    </w:p>
    <w:tbl>
      <w:tblPr>
        <w:tblStyle w:val="EconSysBandedTable"/>
        <w:tblW w:w="0" w:type="auto"/>
        <w:jc w:val="center"/>
        <w:tblInd w:w="0" w:type="dxa"/>
        <w:tblLook w:val="0420" w:firstRow="1" w:lastRow="0" w:firstColumn="0" w:lastColumn="0" w:noHBand="0" w:noVBand="1"/>
      </w:tblPr>
      <w:tblGrid>
        <w:gridCol w:w="3600"/>
        <w:gridCol w:w="1014"/>
        <w:gridCol w:w="1506"/>
      </w:tblGrid>
      <w:tr w:rsidR="00757407" w:rsidRPr="00775100" w14:paraId="2C4AD8E2" w14:textId="77777777" w:rsidTr="00C27B9A">
        <w:trPr>
          <w:cnfStyle w:val="100000000000" w:firstRow="1" w:lastRow="0" w:firstColumn="0" w:lastColumn="0" w:oddVBand="0" w:evenVBand="0" w:oddHBand="0" w:evenHBand="0" w:firstRowFirstColumn="0" w:firstRowLastColumn="0" w:lastRowFirstColumn="0" w:lastRowLastColumn="0"/>
          <w:trHeight w:val="346"/>
          <w:jc w:val="center"/>
        </w:trPr>
        <w:tc>
          <w:tcPr>
            <w:tcW w:w="3600" w:type="dxa"/>
            <w:shd w:val="clear" w:color="auto" w:fill="215868" w:themeFill="accent5" w:themeFillShade="80"/>
            <w:vAlign w:val="top"/>
          </w:tcPr>
          <w:p w14:paraId="6C6EF7B4" w14:textId="77777777" w:rsidR="00757407" w:rsidRPr="008976AA" w:rsidRDefault="00757407" w:rsidP="0064182D">
            <w:pPr>
              <w:spacing w:before="60" w:after="60" w:line="240" w:lineRule="auto"/>
              <w:contextualSpacing w:val="0"/>
              <w:rPr>
                <w:rFonts w:ascii="Optima" w:hAnsi="Optima"/>
                <w:color w:val="FFFFFF" w:themeColor="background1"/>
                <w:sz w:val="19"/>
                <w:szCs w:val="19"/>
              </w:rPr>
            </w:pPr>
          </w:p>
        </w:tc>
        <w:tc>
          <w:tcPr>
            <w:tcW w:w="1014" w:type="dxa"/>
            <w:shd w:val="clear" w:color="auto" w:fill="215868" w:themeFill="accent5" w:themeFillShade="80"/>
            <w:vAlign w:val="top"/>
          </w:tcPr>
          <w:p w14:paraId="7821B6D6" w14:textId="77777777" w:rsidR="00757407" w:rsidRPr="008976AA" w:rsidRDefault="00757407" w:rsidP="00D93068">
            <w:pPr>
              <w:spacing w:before="60" w:after="60" w:line="240" w:lineRule="auto"/>
              <w:ind w:left="-65" w:right="-52"/>
              <w:contextualSpacing w:val="0"/>
              <w:jc w:val="right"/>
              <w:rPr>
                <w:rFonts w:ascii="Optima" w:hAnsi="Optima"/>
                <w:color w:val="FFFFFF" w:themeColor="background1"/>
                <w:sz w:val="19"/>
                <w:szCs w:val="19"/>
              </w:rPr>
            </w:pPr>
            <w:r w:rsidRPr="008976AA">
              <w:rPr>
                <w:rFonts w:ascii="Optima" w:hAnsi="Optima"/>
                <w:color w:val="FFFFFF" w:themeColor="background1"/>
                <w:sz w:val="19"/>
                <w:szCs w:val="19"/>
              </w:rPr>
              <w:t>Provider A</w:t>
            </w:r>
          </w:p>
        </w:tc>
        <w:tc>
          <w:tcPr>
            <w:tcW w:w="1506" w:type="dxa"/>
            <w:shd w:val="clear" w:color="auto" w:fill="215868" w:themeFill="accent5" w:themeFillShade="80"/>
            <w:vAlign w:val="top"/>
          </w:tcPr>
          <w:p w14:paraId="40703916" w14:textId="77777777" w:rsidR="00757407" w:rsidRPr="008976AA" w:rsidRDefault="00757407" w:rsidP="00D93068">
            <w:pPr>
              <w:spacing w:before="60" w:after="60" w:line="240" w:lineRule="auto"/>
              <w:contextualSpacing w:val="0"/>
              <w:jc w:val="right"/>
              <w:rPr>
                <w:rFonts w:ascii="Optima" w:hAnsi="Optima"/>
                <w:color w:val="FFFFFF" w:themeColor="background1"/>
                <w:sz w:val="19"/>
                <w:szCs w:val="19"/>
              </w:rPr>
            </w:pPr>
            <w:r w:rsidRPr="008976AA">
              <w:rPr>
                <w:rFonts w:ascii="Optima" w:hAnsi="Optima"/>
                <w:color w:val="FFFFFF" w:themeColor="background1"/>
                <w:sz w:val="19"/>
                <w:szCs w:val="19"/>
              </w:rPr>
              <w:t>Provider B</w:t>
            </w:r>
          </w:p>
        </w:tc>
      </w:tr>
      <w:tr w:rsidR="00757407" w:rsidRPr="00775100" w14:paraId="7846C9FF"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600" w:type="dxa"/>
            <w:tcBorders>
              <w:top w:val="single" w:sz="4" w:space="0" w:color="BFBFBF" w:themeColor="background1" w:themeShade="BF"/>
            </w:tcBorders>
            <w:shd w:val="clear" w:color="auto" w:fill="DAEEF3" w:themeFill="accent5" w:themeFillTint="33"/>
          </w:tcPr>
          <w:p w14:paraId="4E6F326A" w14:textId="77777777" w:rsidR="00757407" w:rsidRPr="008976AA" w:rsidRDefault="00757407" w:rsidP="00D93068">
            <w:pPr>
              <w:spacing w:before="60" w:after="60" w:line="240" w:lineRule="auto"/>
              <w:contextualSpacing w:val="0"/>
              <w:rPr>
                <w:rFonts w:ascii="Optima" w:hAnsi="Optima"/>
                <w:sz w:val="19"/>
                <w:szCs w:val="19"/>
              </w:rPr>
            </w:pPr>
            <w:r w:rsidRPr="008976AA">
              <w:rPr>
                <w:rFonts w:ascii="Optima" w:hAnsi="Optima"/>
                <w:sz w:val="19"/>
                <w:szCs w:val="19"/>
              </w:rPr>
              <w:t>Joe Works 24 Hours Per Week</w:t>
            </w:r>
          </w:p>
        </w:tc>
        <w:tc>
          <w:tcPr>
            <w:tcW w:w="1014" w:type="dxa"/>
            <w:tcBorders>
              <w:top w:val="single" w:sz="4" w:space="0" w:color="BFBFBF" w:themeColor="background1" w:themeShade="BF"/>
            </w:tcBorders>
            <w:shd w:val="clear" w:color="auto" w:fill="DAEEF3" w:themeFill="accent5" w:themeFillTint="33"/>
          </w:tcPr>
          <w:p w14:paraId="1AEDDDF5" w14:textId="77777777" w:rsidR="00757407" w:rsidRPr="008976AA" w:rsidRDefault="00757407" w:rsidP="00D93068">
            <w:pPr>
              <w:spacing w:before="60" w:after="60" w:line="240" w:lineRule="auto"/>
              <w:ind w:left="-65" w:right="-8"/>
              <w:contextualSpacing w:val="0"/>
              <w:jc w:val="right"/>
              <w:rPr>
                <w:rFonts w:ascii="Optima" w:hAnsi="Optima"/>
                <w:sz w:val="19"/>
                <w:szCs w:val="19"/>
              </w:rPr>
            </w:pPr>
            <w:r w:rsidRPr="008976AA">
              <w:rPr>
                <w:rFonts w:ascii="Optima" w:hAnsi="Optima"/>
                <w:sz w:val="19"/>
                <w:szCs w:val="19"/>
              </w:rPr>
              <w:t>24 hours</w:t>
            </w:r>
          </w:p>
        </w:tc>
        <w:tc>
          <w:tcPr>
            <w:tcW w:w="1506" w:type="dxa"/>
            <w:tcBorders>
              <w:top w:val="single" w:sz="4" w:space="0" w:color="BFBFBF" w:themeColor="background1" w:themeShade="BF"/>
            </w:tcBorders>
            <w:shd w:val="clear" w:color="auto" w:fill="DAEEF3" w:themeFill="accent5" w:themeFillTint="33"/>
          </w:tcPr>
          <w:p w14:paraId="3268C47D" w14:textId="77777777" w:rsidR="00757407" w:rsidRPr="008976AA" w:rsidRDefault="00757407" w:rsidP="00D93068">
            <w:pPr>
              <w:spacing w:before="60" w:after="60" w:line="240" w:lineRule="auto"/>
              <w:ind w:left="-8"/>
              <w:contextualSpacing w:val="0"/>
              <w:jc w:val="right"/>
              <w:rPr>
                <w:rFonts w:ascii="Optima" w:hAnsi="Optima"/>
                <w:sz w:val="19"/>
                <w:szCs w:val="19"/>
              </w:rPr>
            </w:pPr>
            <w:r w:rsidRPr="008976AA">
              <w:rPr>
                <w:rFonts w:ascii="Optima" w:hAnsi="Optima"/>
                <w:sz w:val="19"/>
                <w:szCs w:val="19"/>
              </w:rPr>
              <w:t>24 hours</w:t>
            </w:r>
          </w:p>
        </w:tc>
      </w:tr>
      <w:tr w:rsidR="00757407" w:rsidRPr="00775100" w14:paraId="575FC5A3"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600" w:type="dxa"/>
            <w:shd w:val="clear" w:color="auto" w:fill="FFFFFF" w:themeFill="background1"/>
          </w:tcPr>
          <w:p w14:paraId="4EC02CA1" w14:textId="77777777" w:rsidR="00757407" w:rsidRPr="008976AA" w:rsidRDefault="00757407" w:rsidP="0064182D">
            <w:pPr>
              <w:spacing w:before="60" w:after="60" w:line="240" w:lineRule="auto"/>
              <w:contextualSpacing w:val="0"/>
              <w:rPr>
                <w:rFonts w:ascii="Optima" w:hAnsi="Optima"/>
                <w:sz w:val="19"/>
                <w:szCs w:val="19"/>
              </w:rPr>
            </w:pPr>
            <w:r w:rsidRPr="008976AA">
              <w:rPr>
                <w:rFonts w:ascii="Optima" w:hAnsi="Optima"/>
                <w:sz w:val="19"/>
                <w:szCs w:val="19"/>
              </w:rPr>
              <w:t>Joe Needs 12 Hours Coaching Per Week</w:t>
            </w:r>
          </w:p>
        </w:tc>
        <w:tc>
          <w:tcPr>
            <w:tcW w:w="1014" w:type="dxa"/>
            <w:shd w:val="clear" w:color="auto" w:fill="FFFFFF" w:themeFill="background1"/>
          </w:tcPr>
          <w:p w14:paraId="3D7CF308" w14:textId="77777777" w:rsidR="00757407" w:rsidRPr="008976AA" w:rsidRDefault="00757407" w:rsidP="00D93068">
            <w:pPr>
              <w:spacing w:before="60" w:after="60" w:line="240" w:lineRule="auto"/>
              <w:ind w:left="-65" w:right="-52"/>
              <w:contextualSpacing w:val="0"/>
              <w:jc w:val="right"/>
              <w:rPr>
                <w:rFonts w:ascii="Optima" w:hAnsi="Optima"/>
                <w:sz w:val="19"/>
                <w:szCs w:val="19"/>
              </w:rPr>
            </w:pPr>
            <w:r w:rsidRPr="008976AA">
              <w:rPr>
                <w:rFonts w:ascii="Optima" w:hAnsi="Optima"/>
                <w:sz w:val="19"/>
                <w:szCs w:val="19"/>
              </w:rPr>
              <w:t>12 hours</w:t>
            </w:r>
          </w:p>
        </w:tc>
        <w:tc>
          <w:tcPr>
            <w:tcW w:w="1506" w:type="dxa"/>
            <w:shd w:val="clear" w:color="auto" w:fill="FFFFFF" w:themeFill="background1"/>
          </w:tcPr>
          <w:p w14:paraId="7D844BE0" w14:textId="77777777" w:rsidR="00757407" w:rsidRPr="008976AA" w:rsidRDefault="00757407" w:rsidP="00D93068">
            <w:pPr>
              <w:spacing w:before="60" w:after="60" w:line="240" w:lineRule="auto"/>
              <w:ind w:left="-8"/>
              <w:contextualSpacing w:val="0"/>
              <w:jc w:val="right"/>
              <w:rPr>
                <w:rFonts w:ascii="Optima" w:hAnsi="Optima"/>
                <w:sz w:val="19"/>
                <w:szCs w:val="19"/>
              </w:rPr>
            </w:pPr>
            <w:r w:rsidRPr="008976AA">
              <w:rPr>
                <w:rFonts w:ascii="Optima" w:hAnsi="Optima"/>
                <w:sz w:val="19"/>
                <w:szCs w:val="19"/>
              </w:rPr>
              <w:t>12 hours</w:t>
            </w:r>
          </w:p>
        </w:tc>
      </w:tr>
      <w:tr w:rsidR="00757407" w:rsidRPr="00775100" w14:paraId="7A8A9FDA"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600" w:type="dxa"/>
            <w:shd w:val="clear" w:color="auto" w:fill="DAEEF3" w:themeFill="accent5" w:themeFillTint="33"/>
          </w:tcPr>
          <w:p w14:paraId="102DE266" w14:textId="77777777" w:rsidR="00757407" w:rsidRPr="008976AA" w:rsidRDefault="00757407" w:rsidP="0064182D">
            <w:pPr>
              <w:spacing w:before="60" w:after="60" w:line="240" w:lineRule="auto"/>
              <w:contextualSpacing w:val="0"/>
              <w:rPr>
                <w:rFonts w:ascii="Optima" w:hAnsi="Optima"/>
                <w:sz w:val="19"/>
                <w:szCs w:val="19"/>
              </w:rPr>
            </w:pPr>
            <w:r w:rsidRPr="008976AA">
              <w:rPr>
                <w:rFonts w:ascii="Optima" w:hAnsi="Optima"/>
                <w:sz w:val="19"/>
                <w:szCs w:val="19"/>
              </w:rPr>
              <w:t>Rate Per Hour of Job Coaching</w:t>
            </w:r>
          </w:p>
        </w:tc>
        <w:tc>
          <w:tcPr>
            <w:tcW w:w="1014" w:type="dxa"/>
            <w:shd w:val="clear" w:color="auto" w:fill="DAEEF3" w:themeFill="accent5" w:themeFillTint="33"/>
          </w:tcPr>
          <w:p w14:paraId="4B5310E9" w14:textId="77777777" w:rsidR="00757407" w:rsidRPr="008976AA" w:rsidRDefault="00757407" w:rsidP="00D93068">
            <w:pPr>
              <w:spacing w:before="60" w:after="60" w:line="240" w:lineRule="auto"/>
              <w:ind w:left="-65" w:right="-52"/>
              <w:contextualSpacing w:val="0"/>
              <w:jc w:val="right"/>
              <w:rPr>
                <w:rFonts w:ascii="Optima" w:hAnsi="Optima"/>
                <w:sz w:val="19"/>
                <w:szCs w:val="19"/>
              </w:rPr>
            </w:pPr>
            <w:r w:rsidRPr="008976AA">
              <w:rPr>
                <w:rFonts w:ascii="Optima" w:hAnsi="Optima"/>
                <w:sz w:val="19"/>
                <w:szCs w:val="19"/>
              </w:rPr>
              <w:t>$36</w:t>
            </w:r>
            <w:r w:rsidR="00B97D99">
              <w:rPr>
                <w:rFonts w:ascii="Optima" w:hAnsi="Optima"/>
                <w:sz w:val="19"/>
                <w:szCs w:val="19"/>
              </w:rPr>
              <w:t>.00</w:t>
            </w:r>
          </w:p>
        </w:tc>
        <w:tc>
          <w:tcPr>
            <w:tcW w:w="1506" w:type="dxa"/>
            <w:shd w:val="clear" w:color="auto" w:fill="DAEEF3" w:themeFill="accent5" w:themeFillTint="33"/>
          </w:tcPr>
          <w:p w14:paraId="4CBC9AC7" w14:textId="77777777" w:rsidR="00757407" w:rsidRPr="008976AA" w:rsidRDefault="00757407" w:rsidP="00D93068">
            <w:pPr>
              <w:spacing w:before="60" w:after="60" w:line="240" w:lineRule="auto"/>
              <w:ind w:left="-8"/>
              <w:contextualSpacing w:val="0"/>
              <w:jc w:val="right"/>
              <w:rPr>
                <w:rFonts w:ascii="Optima" w:hAnsi="Optima"/>
                <w:sz w:val="19"/>
                <w:szCs w:val="19"/>
              </w:rPr>
            </w:pPr>
            <w:r w:rsidRPr="008976AA">
              <w:rPr>
                <w:rFonts w:ascii="Optima" w:hAnsi="Optima"/>
                <w:sz w:val="19"/>
                <w:szCs w:val="19"/>
              </w:rPr>
              <w:t>N/A</w:t>
            </w:r>
          </w:p>
        </w:tc>
      </w:tr>
      <w:tr w:rsidR="00757407" w:rsidRPr="00775100" w14:paraId="7D18D9D4"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600" w:type="dxa"/>
            <w:shd w:val="clear" w:color="auto" w:fill="FFFFFF" w:themeFill="background1"/>
          </w:tcPr>
          <w:p w14:paraId="33236D0D" w14:textId="77777777" w:rsidR="00757407" w:rsidRPr="008976AA" w:rsidRDefault="00757407" w:rsidP="0064182D">
            <w:pPr>
              <w:spacing w:before="60" w:after="60" w:line="240" w:lineRule="auto"/>
              <w:contextualSpacing w:val="0"/>
              <w:rPr>
                <w:rFonts w:ascii="Optima" w:hAnsi="Optima"/>
                <w:sz w:val="19"/>
                <w:szCs w:val="19"/>
              </w:rPr>
            </w:pPr>
            <w:r w:rsidRPr="008976AA">
              <w:rPr>
                <w:rFonts w:ascii="Optima" w:hAnsi="Optima"/>
                <w:sz w:val="19"/>
                <w:szCs w:val="19"/>
              </w:rPr>
              <w:t>Rate Per Hour Worked by Joe</w:t>
            </w:r>
          </w:p>
        </w:tc>
        <w:tc>
          <w:tcPr>
            <w:tcW w:w="1014" w:type="dxa"/>
            <w:shd w:val="clear" w:color="auto" w:fill="FFFFFF" w:themeFill="background1"/>
          </w:tcPr>
          <w:p w14:paraId="711B5320" w14:textId="77777777" w:rsidR="00757407" w:rsidRPr="008976AA" w:rsidRDefault="00757407" w:rsidP="00D93068">
            <w:pPr>
              <w:spacing w:before="60" w:after="60" w:line="240" w:lineRule="auto"/>
              <w:ind w:left="-65" w:right="-52"/>
              <w:contextualSpacing w:val="0"/>
              <w:jc w:val="right"/>
              <w:rPr>
                <w:rFonts w:ascii="Optima" w:hAnsi="Optima"/>
                <w:sz w:val="19"/>
                <w:szCs w:val="19"/>
              </w:rPr>
            </w:pPr>
            <w:r w:rsidRPr="008976AA">
              <w:rPr>
                <w:rFonts w:ascii="Optima" w:hAnsi="Optima"/>
                <w:sz w:val="19"/>
                <w:szCs w:val="19"/>
              </w:rPr>
              <w:t>N/A</w:t>
            </w:r>
          </w:p>
        </w:tc>
        <w:tc>
          <w:tcPr>
            <w:tcW w:w="1506" w:type="dxa"/>
            <w:shd w:val="clear" w:color="auto" w:fill="FFFFFF" w:themeFill="background1"/>
          </w:tcPr>
          <w:p w14:paraId="4050F6CC" w14:textId="77777777" w:rsidR="00757407" w:rsidRPr="008976AA" w:rsidRDefault="00757407" w:rsidP="00D93068">
            <w:pPr>
              <w:spacing w:before="60" w:after="60" w:line="240" w:lineRule="auto"/>
              <w:ind w:left="-8"/>
              <w:contextualSpacing w:val="0"/>
              <w:jc w:val="right"/>
              <w:rPr>
                <w:rFonts w:ascii="Optima" w:hAnsi="Optima"/>
                <w:sz w:val="19"/>
                <w:szCs w:val="19"/>
              </w:rPr>
            </w:pPr>
            <w:r w:rsidRPr="008976AA">
              <w:rPr>
                <w:rFonts w:ascii="Optima" w:hAnsi="Optima"/>
                <w:sz w:val="19"/>
                <w:szCs w:val="19"/>
              </w:rPr>
              <w:t>$18.00</w:t>
            </w:r>
          </w:p>
        </w:tc>
      </w:tr>
      <w:tr w:rsidR="00757407" w:rsidRPr="00775100" w14:paraId="14712119"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600" w:type="dxa"/>
            <w:shd w:val="clear" w:color="auto" w:fill="DAEEF3" w:themeFill="accent5" w:themeFillTint="33"/>
          </w:tcPr>
          <w:p w14:paraId="3D69A588" w14:textId="77777777" w:rsidR="00757407" w:rsidRPr="008E70CB" w:rsidRDefault="00757407" w:rsidP="0064182D">
            <w:pPr>
              <w:spacing w:before="60" w:after="60" w:line="240" w:lineRule="auto"/>
              <w:contextualSpacing w:val="0"/>
              <w:rPr>
                <w:rFonts w:ascii="Optima" w:hAnsi="Optima"/>
                <w:sz w:val="19"/>
                <w:szCs w:val="19"/>
              </w:rPr>
            </w:pPr>
            <w:r w:rsidRPr="008E70CB">
              <w:rPr>
                <w:rFonts w:ascii="Optima" w:hAnsi="Optima"/>
                <w:sz w:val="19"/>
                <w:szCs w:val="19"/>
              </w:rPr>
              <w:t>Total Income</w:t>
            </w:r>
          </w:p>
        </w:tc>
        <w:tc>
          <w:tcPr>
            <w:tcW w:w="1014" w:type="dxa"/>
            <w:shd w:val="clear" w:color="auto" w:fill="DAEEF3" w:themeFill="accent5" w:themeFillTint="33"/>
          </w:tcPr>
          <w:p w14:paraId="190034A4" w14:textId="77777777" w:rsidR="00757407" w:rsidRPr="008E70CB" w:rsidRDefault="00757407" w:rsidP="00D93068">
            <w:pPr>
              <w:spacing w:before="60" w:after="60" w:line="240" w:lineRule="auto"/>
              <w:ind w:left="-65" w:right="-52"/>
              <w:contextualSpacing w:val="0"/>
              <w:jc w:val="right"/>
              <w:rPr>
                <w:rFonts w:ascii="Optima" w:hAnsi="Optima"/>
                <w:sz w:val="19"/>
                <w:szCs w:val="19"/>
              </w:rPr>
            </w:pPr>
            <w:r w:rsidRPr="008E70CB">
              <w:rPr>
                <w:rFonts w:ascii="Optima" w:hAnsi="Optima"/>
                <w:sz w:val="19"/>
                <w:szCs w:val="19"/>
              </w:rPr>
              <w:t>$384</w:t>
            </w:r>
            <w:r w:rsidR="00972BC8">
              <w:rPr>
                <w:rFonts w:ascii="Optima" w:hAnsi="Optima"/>
                <w:sz w:val="19"/>
                <w:szCs w:val="19"/>
              </w:rPr>
              <w:t>.00</w:t>
            </w:r>
          </w:p>
        </w:tc>
        <w:tc>
          <w:tcPr>
            <w:tcW w:w="1506" w:type="dxa"/>
            <w:shd w:val="clear" w:color="auto" w:fill="DAEEF3" w:themeFill="accent5" w:themeFillTint="33"/>
          </w:tcPr>
          <w:p w14:paraId="37F03013" w14:textId="77777777" w:rsidR="00757407" w:rsidRPr="008E70CB" w:rsidRDefault="00757407" w:rsidP="00D93068">
            <w:pPr>
              <w:spacing w:before="60" w:after="60" w:line="240" w:lineRule="auto"/>
              <w:ind w:left="-8"/>
              <w:contextualSpacing w:val="0"/>
              <w:jc w:val="right"/>
              <w:rPr>
                <w:rFonts w:ascii="Optima" w:hAnsi="Optima"/>
                <w:sz w:val="19"/>
                <w:szCs w:val="19"/>
              </w:rPr>
            </w:pPr>
            <w:r w:rsidRPr="008E70CB">
              <w:rPr>
                <w:rFonts w:ascii="Optima" w:hAnsi="Optima"/>
                <w:sz w:val="19"/>
                <w:szCs w:val="19"/>
              </w:rPr>
              <w:t>$384</w:t>
            </w:r>
            <w:r w:rsidR="00972BC8">
              <w:rPr>
                <w:rFonts w:ascii="Optima" w:hAnsi="Optima"/>
                <w:sz w:val="19"/>
                <w:szCs w:val="19"/>
              </w:rPr>
              <w:t>.00</w:t>
            </w:r>
          </w:p>
        </w:tc>
      </w:tr>
      <w:tr w:rsidR="00757407" w:rsidRPr="00775100" w14:paraId="4A999BB2"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600" w:type="dxa"/>
            <w:shd w:val="clear" w:color="auto" w:fill="FFFFFF" w:themeFill="background1"/>
          </w:tcPr>
          <w:p w14:paraId="530F678A" w14:textId="77777777" w:rsidR="00757407" w:rsidRPr="008976AA" w:rsidRDefault="00757407" w:rsidP="0064182D">
            <w:pPr>
              <w:spacing w:before="60" w:after="60" w:line="240" w:lineRule="auto"/>
              <w:contextualSpacing w:val="0"/>
              <w:rPr>
                <w:rFonts w:ascii="Optima" w:hAnsi="Optima"/>
                <w:sz w:val="19"/>
                <w:szCs w:val="19"/>
              </w:rPr>
            </w:pPr>
            <w:r w:rsidRPr="008976AA">
              <w:rPr>
                <w:rFonts w:ascii="Optima" w:hAnsi="Optima"/>
                <w:sz w:val="19"/>
                <w:szCs w:val="19"/>
              </w:rPr>
              <w:t>Income Per Hour of Job Coaching</w:t>
            </w:r>
          </w:p>
        </w:tc>
        <w:tc>
          <w:tcPr>
            <w:tcW w:w="1014" w:type="dxa"/>
            <w:shd w:val="clear" w:color="auto" w:fill="FFFFFF" w:themeFill="background1"/>
          </w:tcPr>
          <w:p w14:paraId="11040076" w14:textId="77777777" w:rsidR="00757407" w:rsidRPr="008976AA" w:rsidRDefault="00757407" w:rsidP="00D93068">
            <w:pPr>
              <w:spacing w:before="60" w:after="60" w:line="240" w:lineRule="auto"/>
              <w:ind w:left="-65" w:right="-52"/>
              <w:contextualSpacing w:val="0"/>
              <w:jc w:val="right"/>
              <w:rPr>
                <w:rFonts w:ascii="Optima" w:hAnsi="Optima"/>
                <w:sz w:val="19"/>
                <w:szCs w:val="19"/>
              </w:rPr>
            </w:pPr>
            <w:r w:rsidRPr="008976AA">
              <w:rPr>
                <w:rFonts w:ascii="Optima" w:hAnsi="Optima"/>
                <w:sz w:val="19"/>
                <w:szCs w:val="19"/>
              </w:rPr>
              <w:t>$36</w:t>
            </w:r>
            <w:r w:rsidR="00972BC8">
              <w:rPr>
                <w:rFonts w:ascii="Optima" w:hAnsi="Optima"/>
                <w:sz w:val="19"/>
                <w:szCs w:val="19"/>
              </w:rPr>
              <w:t>.00</w:t>
            </w:r>
          </w:p>
        </w:tc>
        <w:tc>
          <w:tcPr>
            <w:tcW w:w="1506" w:type="dxa"/>
            <w:shd w:val="clear" w:color="auto" w:fill="FFFFFF" w:themeFill="background1"/>
          </w:tcPr>
          <w:p w14:paraId="619274D9" w14:textId="77777777" w:rsidR="00757407" w:rsidRPr="008976AA" w:rsidRDefault="00757407" w:rsidP="00D93068">
            <w:pPr>
              <w:spacing w:before="60" w:after="60" w:line="240" w:lineRule="auto"/>
              <w:ind w:left="-8"/>
              <w:contextualSpacing w:val="0"/>
              <w:jc w:val="right"/>
              <w:rPr>
                <w:rFonts w:ascii="Optima" w:hAnsi="Optima"/>
                <w:sz w:val="19"/>
                <w:szCs w:val="19"/>
              </w:rPr>
            </w:pPr>
            <w:r w:rsidRPr="008976AA">
              <w:rPr>
                <w:rFonts w:ascii="Optima" w:hAnsi="Optima"/>
                <w:sz w:val="19"/>
                <w:szCs w:val="19"/>
              </w:rPr>
              <w:t>$36</w:t>
            </w:r>
            <w:r w:rsidR="00972BC8">
              <w:rPr>
                <w:rFonts w:ascii="Optima" w:hAnsi="Optima"/>
                <w:sz w:val="19"/>
                <w:szCs w:val="19"/>
              </w:rPr>
              <w:t>.00</w:t>
            </w:r>
          </w:p>
        </w:tc>
      </w:tr>
    </w:tbl>
    <w:p w14:paraId="01F6E6F7" w14:textId="77777777" w:rsidR="00AB27FD" w:rsidRDefault="00AB27FD" w:rsidP="002476FD">
      <w:pPr>
        <w:pStyle w:val="NoSpacing"/>
      </w:pPr>
    </w:p>
    <w:p w14:paraId="78074966" w14:textId="77777777" w:rsidR="002D158F" w:rsidRDefault="00757407" w:rsidP="009F2029">
      <w:pPr>
        <w:spacing w:after="0"/>
      </w:pPr>
      <w:r w:rsidRPr="00485FE5">
        <w:t>If the provider assists Joe to get more hours at his job, but the provider does not have to increase his job coaching hours, consider what happens in the two payment models:</w:t>
      </w:r>
    </w:p>
    <w:p w14:paraId="4A97CCAF" w14:textId="77777777" w:rsidR="009F2029" w:rsidRPr="00485FE5" w:rsidRDefault="009F2029" w:rsidP="009F2029">
      <w:pPr>
        <w:pStyle w:val="NoSpacing"/>
      </w:pPr>
    </w:p>
    <w:tbl>
      <w:tblPr>
        <w:tblStyle w:val="EconSysBandedTable"/>
        <w:tblW w:w="0" w:type="auto"/>
        <w:jc w:val="center"/>
        <w:tblInd w:w="0" w:type="dxa"/>
        <w:tblLook w:val="0420" w:firstRow="1" w:lastRow="0" w:firstColumn="0" w:lastColumn="0" w:noHBand="0" w:noVBand="1"/>
      </w:tblPr>
      <w:tblGrid>
        <w:gridCol w:w="3600"/>
        <w:gridCol w:w="1170"/>
        <w:gridCol w:w="1440"/>
      </w:tblGrid>
      <w:tr w:rsidR="00757407" w:rsidRPr="00775100" w14:paraId="201F1449" w14:textId="77777777" w:rsidTr="00C27B9A">
        <w:trPr>
          <w:cnfStyle w:val="100000000000" w:firstRow="1" w:lastRow="0" w:firstColumn="0" w:lastColumn="0" w:oddVBand="0" w:evenVBand="0" w:oddHBand="0" w:evenHBand="0" w:firstRowFirstColumn="0" w:firstRowLastColumn="0" w:lastRowFirstColumn="0" w:lastRowLastColumn="0"/>
          <w:trHeight w:val="346"/>
          <w:jc w:val="center"/>
        </w:trPr>
        <w:tc>
          <w:tcPr>
            <w:tcW w:w="3600" w:type="dxa"/>
            <w:shd w:val="clear" w:color="auto" w:fill="215868" w:themeFill="accent5" w:themeFillShade="80"/>
            <w:vAlign w:val="top"/>
          </w:tcPr>
          <w:p w14:paraId="3C944571" w14:textId="77777777" w:rsidR="00757407" w:rsidRPr="00B97D99" w:rsidRDefault="00757407" w:rsidP="0064182D">
            <w:pPr>
              <w:spacing w:before="60" w:after="60" w:line="240" w:lineRule="auto"/>
              <w:contextualSpacing w:val="0"/>
              <w:rPr>
                <w:rFonts w:ascii="Optima" w:hAnsi="Optima"/>
                <w:color w:val="FFFFFF" w:themeColor="background1"/>
                <w:sz w:val="19"/>
                <w:szCs w:val="19"/>
              </w:rPr>
            </w:pPr>
          </w:p>
        </w:tc>
        <w:tc>
          <w:tcPr>
            <w:tcW w:w="1170" w:type="dxa"/>
            <w:shd w:val="clear" w:color="auto" w:fill="215868" w:themeFill="accent5" w:themeFillShade="80"/>
            <w:vAlign w:val="top"/>
          </w:tcPr>
          <w:p w14:paraId="1F38E129" w14:textId="77777777" w:rsidR="00757407" w:rsidRPr="00B97D99" w:rsidRDefault="00757407" w:rsidP="00D93068">
            <w:pPr>
              <w:spacing w:before="60" w:after="60" w:line="240" w:lineRule="auto"/>
              <w:contextualSpacing w:val="0"/>
              <w:jc w:val="right"/>
              <w:rPr>
                <w:rFonts w:ascii="Optima" w:hAnsi="Optima"/>
                <w:color w:val="FFFFFF" w:themeColor="background1"/>
                <w:sz w:val="19"/>
                <w:szCs w:val="19"/>
              </w:rPr>
            </w:pPr>
            <w:r w:rsidRPr="00B97D99">
              <w:rPr>
                <w:rFonts w:ascii="Optima" w:hAnsi="Optima"/>
                <w:color w:val="FFFFFF" w:themeColor="background1"/>
                <w:sz w:val="19"/>
                <w:szCs w:val="19"/>
              </w:rPr>
              <w:t>Provider A</w:t>
            </w:r>
          </w:p>
        </w:tc>
        <w:tc>
          <w:tcPr>
            <w:tcW w:w="1440" w:type="dxa"/>
            <w:shd w:val="clear" w:color="auto" w:fill="215868" w:themeFill="accent5" w:themeFillShade="80"/>
            <w:vAlign w:val="top"/>
          </w:tcPr>
          <w:p w14:paraId="6422A4F4" w14:textId="77777777" w:rsidR="00757407" w:rsidRPr="00B97D99" w:rsidRDefault="00757407" w:rsidP="00D93068">
            <w:pPr>
              <w:spacing w:before="60" w:after="60" w:line="240" w:lineRule="auto"/>
              <w:ind w:left="-19" w:right="-16"/>
              <w:contextualSpacing w:val="0"/>
              <w:jc w:val="right"/>
              <w:rPr>
                <w:rFonts w:ascii="Optima" w:hAnsi="Optima"/>
                <w:color w:val="FFFFFF" w:themeColor="background1"/>
                <w:sz w:val="19"/>
                <w:szCs w:val="19"/>
              </w:rPr>
            </w:pPr>
            <w:r w:rsidRPr="00B97D99">
              <w:rPr>
                <w:rFonts w:ascii="Optima" w:hAnsi="Optima"/>
                <w:color w:val="FFFFFF" w:themeColor="background1"/>
                <w:sz w:val="19"/>
                <w:szCs w:val="19"/>
              </w:rPr>
              <w:t>Provider B</w:t>
            </w:r>
          </w:p>
        </w:tc>
      </w:tr>
      <w:tr w:rsidR="00757407" w:rsidRPr="00775100" w14:paraId="6FBA5E7E"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600" w:type="dxa"/>
            <w:tcBorders>
              <w:top w:val="single" w:sz="4" w:space="0" w:color="BFBFBF" w:themeColor="background1" w:themeShade="BF"/>
            </w:tcBorders>
            <w:shd w:val="clear" w:color="auto" w:fill="DAEEF3" w:themeFill="accent5" w:themeFillTint="33"/>
          </w:tcPr>
          <w:p w14:paraId="635A00B8" w14:textId="77777777" w:rsidR="00757407" w:rsidRPr="00B97D99" w:rsidRDefault="00757407" w:rsidP="0064182D">
            <w:pPr>
              <w:spacing w:before="60" w:after="60" w:line="240" w:lineRule="auto"/>
              <w:contextualSpacing w:val="0"/>
              <w:rPr>
                <w:rFonts w:ascii="Optima" w:hAnsi="Optima"/>
                <w:sz w:val="19"/>
                <w:szCs w:val="19"/>
              </w:rPr>
            </w:pPr>
            <w:r w:rsidRPr="00B97D99">
              <w:rPr>
                <w:rFonts w:ascii="Optima" w:hAnsi="Optima"/>
                <w:sz w:val="19"/>
                <w:szCs w:val="19"/>
              </w:rPr>
              <w:t>Joe Works 30 Hours Per Week</w:t>
            </w:r>
          </w:p>
        </w:tc>
        <w:tc>
          <w:tcPr>
            <w:tcW w:w="1170" w:type="dxa"/>
            <w:tcBorders>
              <w:top w:val="single" w:sz="4" w:space="0" w:color="BFBFBF" w:themeColor="background1" w:themeShade="BF"/>
            </w:tcBorders>
            <w:shd w:val="clear" w:color="auto" w:fill="DAEEF3" w:themeFill="accent5" w:themeFillTint="33"/>
          </w:tcPr>
          <w:p w14:paraId="0EDA88A2" w14:textId="77777777" w:rsidR="00757407" w:rsidRPr="00B97D99" w:rsidRDefault="00757407" w:rsidP="00D93068">
            <w:pPr>
              <w:spacing w:before="60" w:after="60" w:line="240" w:lineRule="auto"/>
              <w:contextualSpacing w:val="0"/>
              <w:jc w:val="right"/>
              <w:rPr>
                <w:rFonts w:ascii="Optima" w:hAnsi="Optima"/>
                <w:sz w:val="19"/>
                <w:szCs w:val="19"/>
              </w:rPr>
            </w:pPr>
            <w:r w:rsidRPr="00B97D99">
              <w:rPr>
                <w:rFonts w:ascii="Optima" w:hAnsi="Optima"/>
                <w:sz w:val="19"/>
                <w:szCs w:val="19"/>
              </w:rPr>
              <w:t>30 hours</w:t>
            </w:r>
          </w:p>
        </w:tc>
        <w:tc>
          <w:tcPr>
            <w:tcW w:w="1440" w:type="dxa"/>
            <w:tcBorders>
              <w:top w:val="single" w:sz="4" w:space="0" w:color="BFBFBF" w:themeColor="background1" w:themeShade="BF"/>
            </w:tcBorders>
            <w:shd w:val="clear" w:color="auto" w:fill="DAEEF3" w:themeFill="accent5" w:themeFillTint="33"/>
          </w:tcPr>
          <w:p w14:paraId="70B87701" w14:textId="77777777" w:rsidR="00757407" w:rsidRPr="00B97D99" w:rsidRDefault="00757407" w:rsidP="00D93068">
            <w:pPr>
              <w:spacing w:before="60" w:after="60" w:line="240" w:lineRule="auto"/>
              <w:ind w:left="-19"/>
              <w:contextualSpacing w:val="0"/>
              <w:jc w:val="right"/>
              <w:rPr>
                <w:rFonts w:ascii="Optima" w:hAnsi="Optima"/>
                <w:sz w:val="19"/>
                <w:szCs w:val="19"/>
              </w:rPr>
            </w:pPr>
            <w:r w:rsidRPr="00B97D99">
              <w:rPr>
                <w:rFonts w:ascii="Optima" w:hAnsi="Optima"/>
                <w:sz w:val="19"/>
                <w:szCs w:val="19"/>
              </w:rPr>
              <w:t>30 hours</w:t>
            </w:r>
          </w:p>
        </w:tc>
      </w:tr>
      <w:tr w:rsidR="00757407" w:rsidRPr="00775100" w14:paraId="4C7BD93E"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600" w:type="dxa"/>
            <w:shd w:val="clear" w:color="auto" w:fill="FFFFFF" w:themeFill="background1"/>
          </w:tcPr>
          <w:p w14:paraId="5BC7EECC" w14:textId="77777777" w:rsidR="00757407" w:rsidRPr="00B97D99" w:rsidRDefault="00757407" w:rsidP="00D93068">
            <w:pPr>
              <w:spacing w:before="60" w:after="60" w:line="240" w:lineRule="auto"/>
              <w:contextualSpacing w:val="0"/>
              <w:rPr>
                <w:rFonts w:ascii="Optima" w:hAnsi="Optima"/>
                <w:sz w:val="19"/>
                <w:szCs w:val="19"/>
              </w:rPr>
            </w:pPr>
            <w:r w:rsidRPr="00B97D99">
              <w:rPr>
                <w:rFonts w:ascii="Optima" w:hAnsi="Optima"/>
                <w:sz w:val="19"/>
                <w:szCs w:val="19"/>
              </w:rPr>
              <w:t>Joe Needs 12 Hours Coaching Per Week</w:t>
            </w:r>
          </w:p>
        </w:tc>
        <w:tc>
          <w:tcPr>
            <w:tcW w:w="1170" w:type="dxa"/>
            <w:shd w:val="clear" w:color="auto" w:fill="FFFFFF" w:themeFill="background1"/>
          </w:tcPr>
          <w:p w14:paraId="2020FF06" w14:textId="77777777" w:rsidR="00757407" w:rsidRPr="00B97D99" w:rsidRDefault="00757407" w:rsidP="00D93068">
            <w:pPr>
              <w:spacing w:before="60" w:after="60" w:line="240" w:lineRule="auto"/>
              <w:contextualSpacing w:val="0"/>
              <w:jc w:val="right"/>
              <w:rPr>
                <w:rFonts w:ascii="Optima" w:hAnsi="Optima"/>
                <w:sz w:val="19"/>
                <w:szCs w:val="19"/>
              </w:rPr>
            </w:pPr>
            <w:r w:rsidRPr="00B97D99">
              <w:rPr>
                <w:rFonts w:ascii="Optima" w:hAnsi="Optima"/>
                <w:sz w:val="19"/>
                <w:szCs w:val="19"/>
              </w:rPr>
              <w:t>12 hours</w:t>
            </w:r>
          </w:p>
        </w:tc>
        <w:tc>
          <w:tcPr>
            <w:tcW w:w="1440" w:type="dxa"/>
            <w:shd w:val="clear" w:color="auto" w:fill="FFFFFF" w:themeFill="background1"/>
          </w:tcPr>
          <w:p w14:paraId="2CE446C6" w14:textId="77777777" w:rsidR="00757407" w:rsidRPr="00B97D99" w:rsidRDefault="00757407" w:rsidP="00D93068">
            <w:pPr>
              <w:spacing w:before="60" w:after="60" w:line="240" w:lineRule="auto"/>
              <w:ind w:left="-19" w:right="-16"/>
              <w:contextualSpacing w:val="0"/>
              <w:jc w:val="right"/>
              <w:rPr>
                <w:rFonts w:ascii="Optima" w:hAnsi="Optima"/>
                <w:sz w:val="19"/>
                <w:szCs w:val="19"/>
              </w:rPr>
            </w:pPr>
            <w:r w:rsidRPr="00B97D99">
              <w:rPr>
                <w:rFonts w:ascii="Optima" w:hAnsi="Optima"/>
                <w:sz w:val="19"/>
                <w:szCs w:val="19"/>
              </w:rPr>
              <w:t>12 hours</w:t>
            </w:r>
          </w:p>
        </w:tc>
      </w:tr>
      <w:tr w:rsidR="00757407" w:rsidRPr="00775100" w14:paraId="1950C4E8"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600" w:type="dxa"/>
            <w:shd w:val="clear" w:color="auto" w:fill="DAEEF3" w:themeFill="accent5" w:themeFillTint="33"/>
          </w:tcPr>
          <w:p w14:paraId="464A0C05" w14:textId="77777777" w:rsidR="00757407" w:rsidRPr="00B97D99" w:rsidRDefault="00757407" w:rsidP="0064182D">
            <w:pPr>
              <w:spacing w:before="60" w:after="60" w:line="240" w:lineRule="auto"/>
              <w:contextualSpacing w:val="0"/>
              <w:rPr>
                <w:rFonts w:ascii="Optima" w:hAnsi="Optima"/>
                <w:sz w:val="19"/>
                <w:szCs w:val="19"/>
              </w:rPr>
            </w:pPr>
            <w:r w:rsidRPr="00B97D99">
              <w:rPr>
                <w:rFonts w:ascii="Optima" w:hAnsi="Optima"/>
                <w:sz w:val="19"/>
                <w:szCs w:val="19"/>
              </w:rPr>
              <w:t>Rate Per Hour of Job Coaching</w:t>
            </w:r>
          </w:p>
        </w:tc>
        <w:tc>
          <w:tcPr>
            <w:tcW w:w="1170" w:type="dxa"/>
            <w:shd w:val="clear" w:color="auto" w:fill="DAEEF3" w:themeFill="accent5" w:themeFillTint="33"/>
          </w:tcPr>
          <w:p w14:paraId="21BBF642" w14:textId="77777777" w:rsidR="00757407" w:rsidRPr="00B97D99" w:rsidRDefault="00757407" w:rsidP="00D93068">
            <w:pPr>
              <w:spacing w:before="60" w:after="60" w:line="240" w:lineRule="auto"/>
              <w:contextualSpacing w:val="0"/>
              <w:jc w:val="right"/>
              <w:rPr>
                <w:rFonts w:ascii="Optima" w:hAnsi="Optima"/>
                <w:sz w:val="19"/>
                <w:szCs w:val="19"/>
              </w:rPr>
            </w:pPr>
            <w:r w:rsidRPr="00B97D99">
              <w:rPr>
                <w:rFonts w:ascii="Optima" w:hAnsi="Optima"/>
                <w:sz w:val="19"/>
                <w:szCs w:val="19"/>
              </w:rPr>
              <w:t>$36.00</w:t>
            </w:r>
          </w:p>
        </w:tc>
        <w:tc>
          <w:tcPr>
            <w:tcW w:w="1440" w:type="dxa"/>
            <w:shd w:val="clear" w:color="auto" w:fill="DAEEF3" w:themeFill="accent5" w:themeFillTint="33"/>
          </w:tcPr>
          <w:p w14:paraId="42E2FEAB" w14:textId="77777777" w:rsidR="00757407" w:rsidRPr="00B97D99" w:rsidRDefault="00757407" w:rsidP="00D93068">
            <w:pPr>
              <w:spacing w:before="60" w:after="60" w:line="240" w:lineRule="auto"/>
              <w:ind w:left="-19" w:right="-16"/>
              <w:contextualSpacing w:val="0"/>
              <w:jc w:val="right"/>
              <w:rPr>
                <w:rFonts w:ascii="Optima" w:hAnsi="Optima"/>
                <w:sz w:val="19"/>
                <w:szCs w:val="19"/>
              </w:rPr>
            </w:pPr>
            <w:r w:rsidRPr="00B97D99">
              <w:rPr>
                <w:rFonts w:ascii="Optima" w:hAnsi="Optima"/>
                <w:sz w:val="19"/>
                <w:szCs w:val="19"/>
              </w:rPr>
              <w:t>N/A</w:t>
            </w:r>
          </w:p>
        </w:tc>
      </w:tr>
      <w:tr w:rsidR="00757407" w:rsidRPr="00775100" w14:paraId="07B486E4"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600" w:type="dxa"/>
            <w:shd w:val="clear" w:color="auto" w:fill="FFFFFF" w:themeFill="background1"/>
          </w:tcPr>
          <w:p w14:paraId="4A9EC981" w14:textId="77777777" w:rsidR="00757407" w:rsidRPr="00B97D99" w:rsidRDefault="00757407" w:rsidP="0064182D">
            <w:pPr>
              <w:spacing w:before="60" w:after="60" w:line="240" w:lineRule="auto"/>
              <w:contextualSpacing w:val="0"/>
              <w:rPr>
                <w:rFonts w:ascii="Optima" w:hAnsi="Optima"/>
                <w:sz w:val="19"/>
                <w:szCs w:val="19"/>
              </w:rPr>
            </w:pPr>
            <w:r w:rsidRPr="00B97D99">
              <w:rPr>
                <w:rFonts w:ascii="Optima" w:hAnsi="Optima"/>
                <w:sz w:val="19"/>
                <w:szCs w:val="19"/>
              </w:rPr>
              <w:t>Rate Per Hour Worked by Joe</w:t>
            </w:r>
          </w:p>
        </w:tc>
        <w:tc>
          <w:tcPr>
            <w:tcW w:w="1170" w:type="dxa"/>
            <w:shd w:val="clear" w:color="auto" w:fill="FFFFFF" w:themeFill="background1"/>
          </w:tcPr>
          <w:p w14:paraId="48A52FCE" w14:textId="77777777" w:rsidR="00757407" w:rsidRPr="00B97D99" w:rsidRDefault="00757407" w:rsidP="00D93068">
            <w:pPr>
              <w:spacing w:before="60" w:after="60" w:line="240" w:lineRule="auto"/>
              <w:contextualSpacing w:val="0"/>
              <w:jc w:val="right"/>
              <w:rPr>
                <w:rFonts w:ascii="Optima" w:hAnsi="Optima"/>
                <w:sz w:val="19"/>
                <w:szCs w:val="19"/>
              </w:rPr>
            </w:pPr>
            <w:r w:rsidRPr="00B97D99">
              <w:rPr>
                <w:rFonts w:ascii="Optima" w:hAnsi="Optima"/>
                <w:sz w:val="19"/>
                <w:szCs w:val="19"/>
              </w:rPr>
              <w:t>N/A</w:t>
            </w:r>
          </w:p>
        </w:tc>
        <w:tc>
          <w:tcPr>
            <w:tcW w:w="1440" w:type="dxa"/>
            <w:shd w:val="clear" w:color="auto" w:fill="FFFFFF" w:themeFill="background1"/>
          </w:tcPr>
          <w:p w14:paraId="0427D8CB" w14:textId="77777777" w:rsidR="00757407" w:rsidRPr="00B97D99" w:rsidRDefault="00757407" w:rsidP="00D93068">
            <w:pPr>
              <w:spacing w:before="60" w:after="60" w:line="240" w:lineRule="auto"/>
              <w:ind w:left="-19" w:right="-16"/>
              <w:contextualSpacing w:val="0"/>
              <w:jc w:val="right"/>
              <w:rPr>
                <w:rFonts w:ascii="Optima" w:hAnsi="Optima"/>
                <w:sz w:val="19"/>
                <w:szCs w:val="19"/>
              </w:rPr>
            </w:pPr>
            <w:r w:rsidRPr="00B97D99">
              <w:rPr>
                <w:rFonts w:ascii="Optima" w:hAnsi="Optima"/>
                <w:sz w:val="19"/>
                <w:szCs w:val="19"/>
              </w:rPr>
              <w:t>$18.00</w:t>
            </w:r>
          </w:p>
        </w:tc>
      </w:tr>
      <w:tr w:rsidR="00757407" w:rsidRPr="00775100" w14:paraId="4A444CCB" w14:textId="77777777" w:rsidTr="00C27B9A">
        <w:trPr>
          <w:cnfStyle w:val="000000100000" w:firstRow="0" w:lastRow="0" w:firstColumn="0" w:lastColumn="0" w:oddVBand="0" w:evenVBand="0" w:oddHBand="1" w:evenHBand="0" w:firstRowFirstColumn="0" w:firstRowLastColumn="0" w:lastRowFirstColumn="0" w:lastRowLastColumn="0"/>
          <w:trHeight w:val="346"/>
          <w:jc w:val="center"/>
        </w:trPr>
        <w:tc>
          <w:tcPr>
            <w:tcW w:w="3600" w:type="dxa"/>
            <w:shd w:val="clear" w:color="auto" w:fill="DAEEF3" w:themeFill="accent5" w:themeFillTint="33"/>
          </w:tcPr>
          <w:p w14:paraId="33A79393" w14:textId="77777777" w:rsidR="00757407" w:rsidRPr="00783A45" w:rsidRDefault="00757407" w:rsidP="0064182D">
            <w:pPr>
              <w:spacing w:before="60" w:after="60" w:line="240" w:lineRule="auto"/>
              <w:contextualSpacing w:val="0"/>
              <w:rPr>
                <w:rFonts w:ascii="Optima" w:hAnsi="Optima"/>
                <w:sz w:val="19"/>
                <w:szCs w:val="19"/>
              </w:rPr>
            </w:pPr>
            <w:r w:rsidRPr="00783A45">
              <w:rPr>
                <w:rFonts w:ascii="Optima" w:hAnsi="Optima"/>
                <w:sz w:val="19"/>
                <w:szCs w:val="19"/>
              </w:rPr>
              <w:t>Total Income</w:t>
            </w:r>
          </w:p>
        </w:tc>
        <w:tc>
          <w:tcPr>
            <w:tcW w:w="1170" w:type="dxa"/>
            <w:shd w:val="clear" w:color="auto" w:fill="DAEEF3" w:themeFill="accent5" w:themeFillTint="33"/>
          </w:tcPr>
          <w:p w14:paraId="3ED53177" w14:textId="77777777" w:rsidR="00757407" w:rsidRPr="00783A45" w:rsidRDefault="00757407" w:rsidP="00D93068">
            <w:pPr>
              <w:spacing w:before="60" w:after="60" w:line="240" w:lineRule="auto"/>
              <w:contextualSpacing w:val="0"/>
              <w:jc w:val="right"/>
              <w:rPr>
                <w:rFonts w:ascii="Optima" w:hAnsi="Optima"/>
                <w:sz w:val="19"/>
                <w:szCs w:val="19"/>
              </w:rPr>
            </w:pPr>
            <w:r w:rsidRPr="00783A45">
              <w:rPr>
                <w:rFonts w:ascii="Optima" w:hAnsi="Optima"/>
                <w:sz w:val="19"/>
                <w:szCs w:val="19"/>
              </w:rPr>
              <w:t>$384</w:t>
            </w:r>
            <w:r w:rsidR="00972BC8">
              <w:rPr>
                <w:rFonts w:ascii="Optima" w:hAnsi="Optima"/>
                <w:sz w:val="19"/>
                <w:szCs w:val="19"/>
              </w:rPr>
              <w:t>.00</w:t>
            </w:r>
          </w:p>
        </w:tc>
        <w:tc>
          <w:tcPr>
            <w:tcW w:w="1440" w:type="dxa"/>
            <w:shd w:val="clear" w:color="auto" w:fill="DAEEF3" w:themeFill="accent5" w:themeFillTint="33"/>
          </w:tcPr>
          <w:p w14:paraId="13D76B83" w14:textId="77777777" w:rsidR="00757407" w:rsidRPr="00783A45" w:rsidRDefault="00757407" w:rsidP="00D93068">
            <w:pPr>
              <w:spacing w:before="60" w:after="60" w:line="240" w:lineRule="auto"/>
              <w:ind w:left="-19" w:right="-16"/>
              <w:contextualSpacing w:val="0"/>
              <w:jc w:val="right"/>
              <w:rPr>
                <w:rFonts w:ascii="Optima" w:hAnsi="Optima"/>
                <w:sz w:val="19"/>
                <w:szCs w:val="19"/>
              </w:rPr>
            </w:pPr>
            <w:r w:rsidRPr="00783A45">
              <w:rPr>
                <w:rFonts w:ascii="Optima" w:hAnsi="Optima"/>
                <w:sz w:val="19"/>
                <w:szCs w:val="19"/>
              </w:rPr>
              <w:t>$540</w:t>
            </w:r>
            <w:r w:rsidR="00972BC8">
              <w:rPr>
                <w:rFonts w:ascii="Optima" w:hAnsi="Optima"/>
                <w:sz w:val="19"/>
                <w:szCs w:val="19"/>
              </w:rPr>
              <w:t>.00</w:t>
            </w:r>
          </w:p>
        </w:tc>
      </w:tr>
      <w:tr w:rsidR="00757407" w:rsidRPr="00775100" w14:paraId="60EB4758" w14:textId="77777777" w:rsidTr="00C27B9A">
        <w:trPr>
          <w:cnfStyle w:val="000000010000" w:firstRow="0" w:lastRow="0" w:firstColumn="0" w:lastColumn="0" w:oddVBand="0" w:evenVBand="0" w:oddHBand="0" w:evenHBand="1" w:firstRowFirstColumn="0" w:firstRowLastColumn="0" w:lastRowFirstColumn="0" w:lastRowLastColumn="0"/>
          <w:trHeight w:val="346"/>
          <w:jc w:val="center"/>
        </w:trPr>
        <w:tc>
          <w:tcPr>
            <w:tcW w:w="3600" w:type="dxa"/>
            <w:shd w:val="clear" w:color="auto" w:fill="FFFFFF" w:themeFill="background1"/>
          </w:tcPr>
          <w:p w14:paraId="3942D72C" w14:textId="77777777" w:rsidR="00757407" w:rsidRPr="00B97D99" w:rsidRDefault="00757407" w:rsidP="0064182D">
            <w:pPr>
              <w:spacing w:before="60" w:after="60" w:line="240" w:lineRule="auto"/>
              <w:contextualSpacing w:val="0"/>
              <w:rPr>
                <w:rFonts w:ascii="Optima" w:hAnsi="Optima"/>
                <w:sz w:val="19"/>
                <w:szCs w:val="19"/>
              </w:rPr>
            </w:pPr>
            <w:r w:rsidRPr="00B97D99">
              <w:rPr>
                <w:rFonts w:ascii="Optima" w:hAnsi="Optima"/>
                <w:sz w:val="19"/>
                <w:szCs w:val="19"/>
              </w:rPr>
              <w:t>Income Per Hour of Job Coaching</w:t>
            </w:r>
          </w:p>
        </w:tc>
        <w:tc>
          <w:tcPr>
            <w:tcW w:w="1170" w:type="dxa"/>
            <w:shd w:val="clear" w:color="auto" w:fill="FFFFFF" w:themeFill="background1"/>
          </w:tcPr>
          <w:p w14:paraId="54457B24" w14:textId="77777777" w:rsidR="00757407" w:rsidRPr="00B97D99" w:rsidRDefault="00757407" w:rsidP="00D93068">
            <w:pPr>
              <w:spacing w:before="60" w:after="60" w:line="240" w:lineRule="auto"/>
              <w:contextualSpacing w:val="0"/>
              <w:jc w:val="right"/>
              <w:rPr>
                <w:rFonts w:ascii="Optima" w:hAnsi="Optima"/>
                <w:sz w:val="19"/>
                <w:szCs w:val="19"/>
              </w:rPr>
            </w:pPr>
            <w:r w:rsidRPr="00B97D99">
              <w:rPr>
                <w:rFonts w:ascii="Optima" w:hAnsi="Optima"/>
                <w:sz w:val="19"/>
                <w:szCs w:val="19"/>
              </w:rPr>
              <w:t>$36</w:t>
            </w:r>
            <w:r w:rsidR="00972BC8">
              <w:rPr>
                <w:rFonts w:ascii="Optima" w:hAnsi="Optima"/>
                <w:sz w:val="19"/>
                <w:szCs w:val="19"/>
              </w:rPr>
              <w:t>.00</w:t>
            </w:r>
          </w:p>
        </w:tc>
        <w:tc>
          <w:tcPr>
            <w:tcW w:w="1440" w:type="dxa"/>
            <w:shd w:val="clear" w:color="auto" w:fill="FFFFFF" w:themeFill="background1"/>
          </w:tcPr>
          <w:p w14:paraId="0891EAD9" w14:textId="77777777" w:rsidR="00757407" w:rsidRPr="00B97D99" w:rsidRDefault="00757407" w:rsidP="00D93068">
            <w:pPr>
              <w:spacing w:before="60" w:after="60" w:line="240" w:lineRule="auto"/>
              <w:ind w:left="-19" w:right="-16"/>
              <w:contextualSpacing w:val="0"/>
              <w:jc w:val="right"/>
              <w:rPr>
                <w:rFonts w:ascii="Optima" w:hAnsi="Optima"/>
                <w:sz w:val="19"/>
                <w:szCs w:val="19"/>
              </w:rPr>
            </w:pPr>
            <w:r w:rsidRPr="00B97D99">
              <w:rPr>
                <w:rFonts w:ascii="Optima" w:hAnsi="Optima"/>
                <w:sz w:val="19"/>
                <w:szCs w:val="19"/>
              </w:rPr>
              <w:t>$45</w:t>
            </w:r>
            <w:r w:rsidR="00972BC8">
              <w:rPr>
                <w:rFonts w:ascii="Optima" w:hAnsi="Optima"/>
                <w:sz w:val="19"/>
                <w:szCs w:val="19"/>
              </w:rPr>
              <w:t>.00</w:t>
            </w:r>
          </w:p>
        </w:tc>
      </w:tr>
    </w:tbl>
    <w:p w14:paraId="3D1CE3DE" w14:textId="7C42CC8E" w:rsidR="00757407" w:rsidRPr="00485FE5" w:rsidRDefault="00757407" w:rsidP="00B1367E">
      <w:r w:rsidRPr="00485FE5">
        <w:lastRenderedPageBreak/>
        <w:t>In these examples, the provider earns more net income as Joe moves closer to full employment, particular</w:t>
      </w:r>
      <w:r w:rsidR="00581968">
        <w:t>ly</w:t>
      </w:r>
      <w:r w:rsidRPr="00485FE5">
        <w:t xml:space="preserve"> if the provider can help Joe achieve this without the need for coaching supports</w:t>
      </w:r>
      <w:r w:rsidR="008C4BED">
        <w:t xml:space="preserve">: </w:t>
      </w:r>
      <w:r w:rsidRPr="00485FE5">
        <w:t>a win-win in terms of quality outcomes.</w:t>
      </w:r>
    </w:p>
    <w:p w14:paraId="185EA0E1" w14:textId="77777777" w:rsidR="002D158F" w:rsidRDefault="00757407" w:rsidP="009F2029">
      <w:pPr>
        <w:spacing w:after="0"/>
      </w:pPr>
      <w:r w:rsidRPr="00485FE5">
        <w:t>If the provider is able to utilize additional best practice strategies to further reduce Joe’s need for job coaching, consider what happens in the two payment models:</w:t>
      </w:r>
    </w:p>
    <w:p w14:paraId="014E9A6E" w14:textId="77777777" w:rsidR="009F2029" w:rsidRPr="00485FE5" w:rsidRDefault="009F2029" w:rsidP="009F2029">
      <w:pPr>
        <w:pStyle w:val="NoSpacing"/>
      </w:pPr>
    </w:p>
    <w:tbl>
      <w:tblPr>
        <w:tblStyle w:val="EconSysBandedTable"/>
        <w:tblW w:w="0" w:type="auto"/>
        <w:jc w:val="center"/>
        <w:tblInd w:w="0" w:type="dxa"/>
        <w:tblLook w:val="0420" w:firstRow="1" w:lastRow="0" w:firstColumn="0" w:lastColumn="0" w:noHBand="0" w:noVBand="1"/>
      </w:tblPr>
      <w:tblGrid>
        <w:gridCol w:w="3600"/>
        <w:gridCol w:w="1170"/>
        <w:gridCol w:w="1530"/>
      </w:tblGrid>
      <w:tr w:rsidR="00ED50AC" w:rsidRPr="00ED50AC" w14:paraId="3919ABB8" w14:textId="77777777" w:rsidTr="00C27B9A">
        <w:trPr>
          <w:cnfStyle w:val="100000000000" w:firstRow="1" w:lastRow="0" w:firstColumn="0" w:lastColumn="0" w:oddVBand="0" w:evenVBand="0" w:oddHBand="0" w:evenHBand="0" w:firstRowFirstColumn="0" w:firstRowLastColumn="0" w:lastRowFirstColumn="0" w:lastRowLastColumn="0"/>
          <w:trHeight w:val="374"/>
          <w:jc w:val="center"/>
        </w:trPr>
        <w:tc>
          <w:tcPr>
            <w:tcW w:w="3600" w:type="dxa"/>
            <w:shd w:val="clear" w:color="auto" w:fill="215868" w:themeFill="accent5" w:themeFillShade="80"/>
            <w:vAlign w:val="top"/>
          </w:tcPr>
          <w:p w14:paraId="3F871466" w14:textId="77777777" w:rsidR="00757407" w:rsidRPr="00ED50AC" w:rsidRDefault="00757407" w:rsidP="0064182D">
            <w:pPr>
              <w:spacing w:before="60" w:after="60" w:line="240" w:lineRule="auto"/>
              <w:contextualSpacing w:val="0"/>
              <w:rPr>
                <w:rFonts w:ascii="Optima" w:hAnsi="Optima"/>
                <w:color w:val="FFFFFF" w:themeColor="background1"/>
                <w:sz w:val="19"/>
                <w:szCs w:val="19"/>
              </w:rPr>
            </w:pPr>
          </w:p>
        </w:tc>
        <w:tc>
          <w:tcPr>
            <w:tcW w:w="1170" w:type="dxa"/>
            <w:shd w:val="clear" w:color="auto" w:fill="215868" w:themeFill="accent5" w:themeFillShade="80"/>
            <w:vAlign w:val="top"/>
          </w:tcPr>
          <w:p w14:paraId="3C266DDD" w14:textId="77777777" w:rsidR="00757407" w:rsidRPr="00ED50AC" w:rsidRDefault="00757407" w:rsidP="00DF7FF1">
            <w:pPr>
              <w:spacing w:before="60" w:after="60" w:line="240" w:lineRule="auto"/>
              <w:contextualSpacing w:val="0"/>
              <w:jc w:val="right"/>
              <w:rPr>
                <w:rFonts w:ascii="Optima" w:hAnsi="Optima"/>
                <w:color w:val="FFFFFF" w:themeColor="background1"/>
                <w:sz w:val="19"/>
                <w:szCs w:val="19"/>
              </w:rPr>
            </w:pPr>
            <w:r w:rsidRPr="00ED50AC">
              <w:rPr>
                <w:rFonts w:ascii="Optima" w:hAnsi="Optima"/>
                <w:color w:val="FFFFFF" w:themeColor="background1"/>
                <w:sz w:val="19"/>
                <w:szCs w:val="19"/>
              </w:rPr>
              <w:t>Provider A</w:t>
            </w:r>
          </w:p>
        </w:tc>
        <w:tc>
          <w:tcPr>
            <w:tcW w:w="1530" w:type="dxa"/>
            <w:shd w:val="clear" w:color="auto" w:fill="215868" w:themeFill="accent5" w:themeFillShade="80"/>
            <w:vAlign w:val="top"/>
          </w:tcPr>
          <w:p w14:paraId="2951904D" w14:textId="77777777" w:rsidR="00757407" w:rsidRPr="00ED50AC" w:rsidRDefault="00757407" w:rsidP="00B00253">
            <w:pPr>
              <w:spacing w:before="60" w:after="60" w:line="240" w:lineRule="auto"/>
              <w:contextualSpacing w:val="0"/>
              <w:jc w:val="right"/>
              <w:rPr>
                <w:rFonts w:ascii="Optima" w:hAnsi="Optima"/>
                <w:color w:val="FFFFFF" w:themeColor="background1"/>
                <w:sz w:val="19"/>
                <w:szCs w:val="19"/>
              </w:rPr>
            </w:pPr>
            <w:r w:rsidRPr="00ED50AC">
              <w:rPr>
                <w:rFonts w:ascii="Optima" w:hAnsi="Optima"/>
                <w:color w:val="FFFFFF" w:themeColor="background1"/>
                <w:sz w:val="19"/>
                <w:szCs w:val="19"/>
              </w:rPr>
              <w:t>Provider B</w:t>
            </w:r>
          </w:p>
        </w:tc>
      </w:tr>
      <w:tr w:rsidR="00757407" w:rsidRPr="00ED50AC" w14:paraId="2BCDEFA9" w14:textId="77777777" w:rsidTr="00C27B9A">
        <w:trPr>
          <w:cnfStyle w:val="000000100000" w:firstRow="0" w:lastRow="0" w:firstColumn="0" w:lastColumn="0" w:oddVBand="0" w:evenVBand="0" w:oddHBand="1" w:evenHBand="0" w:firstRowFirstColumn="0" w:firstRowLastColumn="0" w:lastRowFirstColumn="0" w:lastRowLastColumn="0"/>
          <w:trHeight w:val="374"/>
          <w:jc w:val="center"/>
        </w:trPr>
        <w:tc>
          <w:tcPr>
            <w:tcW w:w="3600" w:type="dxa"/>
            <w:shd w:val="clear" w:color="auto" w:fill="DAEEF3" w:themeFill="accent5" w:themeFillTint="33"/>
          </w:tcPr>
          <w:p w14:paraId="28DD9234" w14:textId="77777777" w:rsidR="00757407" w:rsidRPr="00ED50AC" w:rsidRDefault="00757407" w:rsidP="0064182D">
            <w:pPr>
              <w:spacing w:before="60" w:after="60" w:line="240" w:lineRule="auto"/>
              <w:contextualSpacing w:val="0"/>
              <w:rPr>
                <w:rFonts w:ascii="Optima" w:hAnsi="Optima"/>
                <w:sz w:val="19"/>
                <w:szCs w:val="19"/>
              </w:rPr>
            </w:pPr>
            <w:r w:rsidRPr="00ED50AC">
              <w:rPr>
                <w:rFonts w:ascii="Optima" w:hAnsi="Optima"/>
                <w:sz w:val="19"/>
                <w:szCs w:val="19"/>
              </w:rPr>
              <w:t>Joe Works 24 Hours Per Week</w:t>
            </w:r>
          </w:p>
        </w:tc>
        <w:tc>
          <w:tcPr>
            <w:tcW w:w="1170" w:type="dxa"/>
            <w:shd w:val="clear" w:color="auto" w:fill="DAEEF3" w:themeFill="accent5" w:themeFillTint="33"/>
          </w:tcPr>
          <w:p w14:paraId="573E9EFE" w14:textId="77777777" w:rsidR="00757407" w:rsidRPr="00ED50AC" w:rsidRDefault="00757407" w:rsidP="00DF7FF1">
            <w:pPr>
              <w:spacing w:before="60" w:after="60" w:line="240" w:lineRule="auto"/>
              <w:contextualSpacing w:val="0"/>
              <w:jc w:val="right"/>
              <w:rPr>
                <w:rFonts w:ascii="Optima" w:hAnsi="Optima"/>
                <w:sz w:val="19"/>
                <w:szCs w:val="19"/>
              </w:rPr>
            </w:pPr>
            <w:r w:rsidRPr="00ED50AC">
              <w:rPr>
                <w:rFonts w:ascii="Optima" w:hAnsi="Optima"/>
                <w:sz w:val="19"/>
                <w:szCs w:val="19"/>
              </w:rPr>
              <w:t>24 hours</w:t>
            </w:r>
          </w:p>
        </w:tc>
        <w:tc>
          <w:tcPr>
            <w:tcW w:w="1530" w:type="dxa"/>
            <w:shd w:val="clear" w:color="auto" w:fill="DAEEF3" w:themeFill="accent5" w:themeFillTint="33"/>
          </w:tcPr>
          <w:p w14:paraId="186668C4" w14:textId="77777777" w:rsidR="00757407" w:rsidRPr="00ED50AC" w:rsidRDefault="00757407" w:rsidP="00B00253">
            <w:pPr>
              <w:spacing w:before="60" w:after="60" w:line="240" w:lineRule="auto"/>
              <w:contextualSpacing w:val="0"/>
              <w:jc w:val="right"/>
              <w:rPr>
                <w:rFonts w:ascii="Optima" w:hAnsi="Optima"/>
                <w:sz w:val="19"/>
                <w:szCs w:val="19"/>
              </w:rPr>
            </w:pPr>
            <w:r w:rsidRPr="00ED50AC">
              <w:rPr>
                <w:rFonts w:ascii="Optima" w:hAnsi="Optima"/>
                <w:sz w:val="19"/>
                <w:szCs w:val="19"/>
              </w:rPr>
              <w:t>24 hours</w:t>
            </w:r>
          </w:p>
        </w:tc>
      </w:tr>
      <w:tr w:rsidR="00757407" w:rsidRPr="00ED50AC" w14:paraId="730B6812" w14:textId="77777777" w:rsidTr="00C27B9A">
        <w:trPr>
          <w:cnfStyle w:val="000000010000" w:firstRow="0" w:lastRow="0" w:firstColumn="0" w:lastColumn="0" w:oddVBand="0" w:evenVBand="0" w:oddHBand="0" w:evenHBand="1" w:firstRowFirstColumn="0" w:firstRowLastColumn="0" w:lastRowFirstColumn="0" w:lastRowLastColumn="0"/>
          <w:trHeight w:val="374"/>
          <w:jc w:val="center"/>
        </w:trPr>
        <w:tc>
          <w:tcPr>
            <w:tcW w:w="3600" w:type="dxa"/>
            <w:shd w:val="clear" w:color="auto" w:fill="FFFFFF" w:themeFill="background1"/>
          </w:tcPr>
          <w:p w14:paraId="166FF2AD" w14:textId="77777777" w:rsidR="00757407" w:rsidRPr="00ED50AC" w:rsidRDefault="00757407" w:rsidP="0064182D">
            <w:pPr>
              <w:spacing w:before="60" w:after="60" w:line="240" w:lineRule="auto"/>
              <w:contextualSpacing w:val="0"/>
              <w:rPr>
                <w:rFonts w:ascii="Optima" w:hAnsi="Optima"/>
                <w:sz w:val="19"/>
                <w:szCs w:val="19"/>
              </w:rPr>
            </w:pPr>
            <w:r w:rsidRPr="00ED50AC">
              <w:rPr>
                <w:rFonts w:ascii="Optima" w:hAnsi="Optima"/>
                <w:sz w:val="19"/>
                <w:szCs w:val="19"/>
              </w:rPr>
              <w:t>Joe Needs 8 Hours Coaching Per Week</w:t>
            </w:r>
          </w:p>
        </w:tc>
        <w:tc>
          <w:tcPr>
            <w:tcW w:w="1170" w:type="dxa"/>
            <w:shd w:val="clear" w:color="auto" w:fill="FFFFFF" w:themeFill="background1"/>
          </w:tcPr>
          <w:p w14:paraId="5FBD86E0" w14:textId="77777777" w:rsidR="00757407" w:rsidRPr="00ED50AC" w:rsidRDefault="00757407" w:rsidP="00DF7FF1">
            <w:pPr>
              <w:spacing w:before="60" w:after="60" w:line="240" w:lineRule="auto"/>
              <w:contextualSpacing w:val="0"/>
              <w:jc w:val="right"/>
              <w:rPr>
                <w:rFonts w:ascii="Optima" w:hAnsi="Optima"/>
                <w:sz w:val="19"/>
                <w:szCs w:val="19"/>
              </w:rPr>
            </w:pPr>
            <w:r w:rsidRPr="00ED50AC">
              <w:rPr>
                <w:rFonts w:ascii="Optima" w:hAnsi="Optima"/>
                <w:sz w:val="19"/>
                <w:szCs w:val="19"/>
              </w:rPr>
              <w:t>8 hours</w:t>
            </w:r>
          </w:p>
        </w:tc>
        <w:tc>
          <w:tcPr>
            <w:tcW w:w="1530" w:type="dxa"/>
            <w:shd w:val="clear" w:color="auto" w:fill="FFFFFF" w:themeFill="background1"/>
          </w:tcPr>
          <w:p w14:paraId="04EC29C7" w14:textId="77777777" w:rsidR="00757407" w:rsidRPr="00ED50AC" w:rsidRDefault="00757407" w:rsidP="00B00253">
            <w:pPr>
              <w:spacing w:before="60" w:after="60" w:line="240" w:lineRule="auto"/>
              <w:contextualSpacing w:val="0"/>
              <w:jc w:val="right"/>
              <w:rPr>
                <w:rFonts w:ascii="Optima" w:hAnsi="Optima"/>
                <w:sz w:val="19"/>
                <w:szCs w:val="19"/>
              </w:rPr>
            </w:pPr>
            <w:r w:rsidRPr="00ED50AC">
              <w:rPr>
                <w:rFonts w:ascii="Optima" w:hAnsi="Optima"/>
                <w:sz w:val="19"/>
                <w:szCs w:val="19"/>
              </w:rPr>
              <w:t>8 hours</w:t>
            </w:r>
          </w:p>
        </w:tc>
      </w:tr>
      <w:tr w:rsidR="00757407" w:rsidRPr="00ED50AC" w14:paraId="45AA4707" w14:textId="77777777" w:rsidTr="00C27B9A">
        <w:trPr>
          <w:cnfStyle w:val="000000100000" w:firstRow="0" w:lastRow="0" w:firstColumn="0" w:lastColumn="0" w:oddVBand="0" w:evenVBand="0" w:oddHBand="1" w:evenHBand="0" w:firstRowFirstColumn="0" w:firstRowLastColumn="0" w:lastRowFirstColumn="0" w:lastRowLastColumn="0"/>
          <w:trHeight w:val="374"/>
          <w:jc w:val="center"/>
        </w:trPr>
        <w:tc>
          <w:tcPr>
            <w:tcW w:w="3600" w:type="dxa"/>
            <w:shd w:val="clear" w:color="auto" w:fill="DAEEF3" w:themeFill="accent5" w:themeFillTint="33"/>
          </w:tcPr>
          <w:p w14:paraId="17A45DE6" w14:textId="77777777" w:rsidR="00757407" w:rsidRPr="00ED50AC" w:rsidRDefault="00757407" w:rsidP="0064182D">
            <w:pPr>
              <w:spacing w:before="60" w:after="60" w:line="240" w:lineRule="auto"/>
              <w:contextualSpacing w:val="0"/>
              <w:rPr>
                <w:rFonts w:ascii="Optima" w:hAnsi="Optima"/>
                <w:sz w:val="19"/>
                <w:szCs w:val="19"/>
              </w:rPr>
            </w:pPr>
            <w:r w:rsidRPr="00ED50AC">
              <w:rPr>
                <w:rFonts w:ascii="Optima" w:hAnsi="Optima"/>
                <w:sz w:val="19"/>
                <w:szCs w:val="19"/>
              </w:rPr>
              <w:t>Rate Per Hour of Job Coaching</w:t>
            </w:r>
          </w:p>
        </w:tc>
        <w:tc>
          <w:tcPr>
            <w:tcW w:w="1170" w:type="dxa"/>
            <w:shd w:val="clear" w:color="auto" w:fill="DAEEF3" w:themeFill="accent5" w:themeFillTint="33"/>
          </w:tcPr>
          <w:p w14:paraId="17B2EEA3" w14:textId="77777777" w:rsidR="00757407" w:rsidRPr="00ED50AC" w:rsidRDefault="00757407" w:rsidP="00DF7FF1">
            <w:pPr>
              <w:spacing w:before="60" w:after="60" w:line="240" w:lineRule="auto"/>
              <w:contextualSpacing w:val="0"/>
              <w:jc w:val="right"/>
              <w:rPr>
                <w:rFonts w:ascii="Optima" w:hAnsi="Optima"/>
                <w:sz w:val="19"/>
                <w:szCs w:val="19"/>
              </w:rPr>
            </w:pPr>
            <w:r w:rsidRPr="00ED50AC">
              <w:rPr>
                <w:rFonts w:ascii="Optima" w:hAnsi="Optima"/>
                <w:sz w:val="19"/>
                <w:szCs w:val="19"/>
              </w:rPr>
              <w:t>$36.00</w:t>
            </w:r>
          </w:p>
        </w:tc>
        <w:tc>
          <w:tcPr>
            <w:tcW w:w="1530" w:type="dxa"/>
            <w:shd w:val="clear" w:color="auto" w:fill="DAEEF3" w:themeFill="accent5" w:themeFillTint="33"/>
          </w:tcPr>
          <w:p w14:paraId="4679B1E4" w14:textId="77777777" w:rsidR="00757407" w:rsidRPr="00ED50AC" w:rsidRDefault="00757407" w:rsidP="00B00253">
            <w:pPr>
              <w:spacing w:before="60" w:after="60" w:line="240" w:lineRule="auto"/>
              <w:contextualSpacing w:val="0"/>
              <w:jc w:val="right"/>
              <w:rPr>
                <w:rFonts w:ascii="Optima" w:hAnsi="Optima"/>
                <w:sz w:val="19"/>
                <w:szCs w:val="19"/>
              </w:rPr>
            </w:pPr>
            <w:r w:rsidRPr="00ED50AC">
              <w:rPr>
                <w:rFonts w:ascii="Optima" w:hAnsi="Optima"/>
                <w:sz w:val="19"/>
                <w:szCs w:val="19"/>
              </w:rPr>
              <w:t>N/A</w:t>
            </w:r>
          </w:p>
        </w:tc>
      </w:tr>
      <w:tr w:rsidR="00757407" w:rsidRPr="00ED50AC" w14:paraId="6CE551E7" w14:textId="77777777" w:rsidTr="00C27B9A">
        <w:trPr>
          <w:cnfStyle w:val="000000010000" w:firstRow="0" w:lastRow="0" w:firstColumn="0" w:lastColumn="0" w:oddVBand="0" w:evenVBand="0" w:oddHBand="0" w:evenHBand="1" w:firstRowFirstColumn="0" w:firstRowLastColumn="0" w:lastRowFirstColumn="0" w:lastRowLastColumn="0"/>
          <w:trHeight w:val="374"/>
          <w:jc w:val="center"/>
        </w:trPr>
        <w:tc>
          <w:tcPr>
            <w:tcW w:w="3600" w:type="dxa"/>
            <w:shd w:val="clear" w:color="auto" w:fill="FFFFFF" w:themeFill="background1"/>
          </w:tcPr>
          <w:p w14:paraId="3073B129" w14:textId="77777777" w:rsidR="00757407" w:rsidRPr="00ED50AC" w:rsidRDefault="00757407" w:rsidP="0064182D">
            <w:pPr>
              <w:spacing w:before="60" w:after="60" w:line="240" w:lineRule="auto"/>
              <w:contextualSpacing w:val="0"/>
              <w:rPr>
                <w:rFonts w:ascii="Optima" w:hAnsi="Optima"/>
                <w:sz w:val="19"/>
                <w:szCs w:val="19"/>
              </w:rPr>
            </w:pPr>
            <w:r w:rsidRPr="00ED50AC">
              <w:rPr>
                <w:rFonts w:ascii="Optima" w:hAnsi="Optima"/>
                <w:sz w:val="19"/>
                <w:szCs w:val="19"/>
              </w:rPr>
              <w:t>Rate Per Hour Worked by Joe</w:t>
            </w:r>
          </w:p>
        </w:tc>
        <w:tc>
          <w:tcPr>
            <w:tcW w:w="1170" w:type="dxa"/>
            <w:shd w:val="clear" w:color="auto" w:fill="FFFFFF" w:themeFill="background1"/>
          </w:tcPr>
          <w:p w14:paraId="61602EA9" w14:textId="77777777" w:rsidR="00757407" w:rsidRPr="00ED50AC" w:rsidRDefault="00757407" w:rsidP="00DF7FF1">
            <w:pPr>
              <w:spacing w:before="60" w:after="60" w:line="240" w:lineRule="auto"/>
              <w:contextualSpacing w:val="0"/>
              <w:jc w:val="right"/>
              <w:rPr>
                <w:rFonts w:ascii="Optima" w:hAnsi="Optima"/>
                <w:sz w:val="19"/>
                <w:szCs w:val="19"/>
              </w:rPr>
            </w:pPr>
            <w:r w:rsidRPr="00ED50AC">
              <w:rPr>
                <w:rFonts w:ascii="Optima" w:hAnsi="Optima"/>
                <w:sz w:val="19"/>
                <w:szCs w:val="19"/>
              </w:rPr>
              <w:t>N/A</w:t>
            </w:r>
          </w:p>
        </w:tc>
        <w:tc>
          <w:tcPr>
            <w:tcW w:w="1530" w:type="dxa"/>
            <w:shd w:val="clear" w:color="auto" w:fill="FFFFFF" w:themeFill="background1"/>
          </w:tcPr>
          <w:p w14:paraId="41EAEF26" w14:textId="77777777" w:rsidR="00757407" w:rsidRPr="00ED50AC" w:rsidRDefault="00757407" w:rsidP="00B00253">
            <w:pPr>
              <w:spacing w:before="60" w:after="60" w:line="240" w:lineRule="auto"/>
              <w:contextualSpacing w:val="0"/>
              <w:jc w:val="right"/>
              <w:rPr>
                <w:rFonts w:ascii="Optima" w:hAnsi="Optima"/>
                <w:sz w:val="19"/>
                <w:szCs w:val="19"/>
              </w:rPr>
            </w:pPr>
            <w:r w:rsidRPr="00ED50AC">
              <w:rPr>
                <w:rFonts w:ascii="Optima" w:hAnsi="Optima"/>
                <w:sz w:val="19"/>
                <w:szCs w:val="19"/>
              </w:rPr>
              <w:t>$18.00</w:t>
            </w:r>
          </w:p>
        </w:tc>
      </w:tr>
      <w:tr w:rsidR="00757407" w:rsidRPr="00ED50AC" w14:paraId="08FBF1AE" w14:textId="77777777" w:rsidTr="00C27B9A">
        <w:trPr>
          <w:cnfStyle w:val="000000100000" w:firstRow="0" w:lastRow="0" w:firstColumn="0" w:lastColumn="0" w:oddVBand="0" w:evenVBand="0" w:oddHBand="1" w:evenHBand="0" w:firstRowFirstColumn="0" w:firstRowLastColumn="0" w:lastRowFirstColumn="0" w:lastRowLastColumn="0"/>
          <w:trHeight w:val="374"/>
          <w:jc w:val="center"/>
        </w:trPr>
        <w:tc>
          <w:tcPr>
            <w:tcW w:w="3600" w:type="dxa"/>
            <w:shd w:val="clear" w:color="auto" w:fill="DAEEF3" w:themeFill="accent5" w:themeFillTint="33"/>
          </w:tcPr>
          <w:p w14:paraId="3484079A" w14:textId="77777777" w:rsidR="00757407" w:rsidRPr="00A3666B" w:rsidRDefault="00757407" w:rsidP="0064182D">
            <w:pPr>
              <w:spacing w:before="60" w:after="60" w:line="240" w:lineRule="auto"/>
              <w:contextualSpacing w:val="0"/>
              <w:rPr>
                <w:rFonts w:ascii="Optima" w:hAnsi="Optima"/>
                <w:sz w:val="19"/>
                <w:szCs w:val="19"/>
              </w:rPr>
            </w:pPr>
            <w:r w:rsidRPr="00A3666B">
              <w:rPr>
                <w:rFonts w:ascii="Optima" w:hAnsi="Optima"/>
                <w:sz w:val="19"/>
                <w:szCs w:val="19"/>
              </w:rPr>
              <w:t>Total Income</w:t>
            </w:r>
          </w:p>
        </w:tc>
        <w:tc>
          <w:tcPr>
            <w:tcW w:w="1170" w:type="dxa"/>
            <w:shd w:val="clear" w:color="auto" w:fill="DAEEF3" w:themeFill="accent5" w:themeFillTint="33"/>
          </w:tcPr>
          <w:p w14:paraId="48245C03" w14:textId="77777777" w:rsidR="00757407" w:rsidRPr="00A3666B" w:rsidRDefault="00757407" w:rsidP="00DF7FF1">
            <w:pPr>
              <w:spacing w:before="60" w:after="60" w:line="240" w:lineRule="auto"/>
              <w:contextualSpacing w:val="0"/>
              <w:jc w:val="right"/>
              <w:rPr>
                <w:rFonts w:ascii="Optima" w:hAnsi="Optima"/>
                <w:sz w:val="19"/>
                <w:szCs w:val="19"/>
              </w:rPr>
            </w:pPr>
            <w:r w:rsidRPr="00A3666B">
              <w:rPr>
                <w:rFonts w:ascii="Optima" w:hAnsi="Optima"/>
                <w:sz w:val="19"/>
                <w:szCs w:val="19"/>
              </w:rPr>
              <w:t>$288</w:t>
            </w:r>
            <w:r w:rsidR="00972BC8">
              <w:rPr>
                <w:rFonts w:ascii="Optima" w:hAnsi="Optima"/>
                <w:sz w:val="19"/>
                <w:szCs w:val="19"/>
              </w:rPr>
              <w:t>.00</w:t>
            </w:r>
          </w:p>
        </w:tc>
        <w:tc>
          <w:tcPr>
            <w:tcW w:w="1530" w:type="dxa"/>
            <w:shd w:val="clear" w:color="auto" w:fill="DAEEF3" w:themeFill="accent5" w:themeFillTint="33"/>
          </w:tcPr>
          <w:p w14:paraId="35EABA5A" w14:textId="77777777" w:rsidR="00757407" w:rsidRPr="00A3666B" w:rsidRDefault="00757407" w:rsidP="00B00253">
            <w:pPr>
              <w:spacing w:before="60" w:after="60" w:line="240" w:lineRule="auto"/>
              <w:contextualSpacing w:val="0"/>
              <w:jc w:val="right"/>
              <w:rPr>
                <w:rFonts w:ascii="Optima" w:hAnsi="Optima"/>
                <w:sz w:val="19"/>
                <w:szCs w:val="19"/>
              </w:rPr>
            </w:pPr>
            <w:r w:rsidRPr="00A3666B">
              <w:rPr>
                <w:rFonts w:ascii="Optima" w:hAnsi="Optima"/>
                <w:sz w:val="19"/>
                <w:szCs w:val="19"/>
              </w:rPr>
              <w:t>$384</w:t>
            </w:r>
            <w:r w:rsidR="00972BC8">
              <w:rPr>
                <w:rFonts w:ascii="Optima" w:hAnsi="Optima"/>
                <w:sz w:val="19"/>
                <w:szCs w:val="19"/>
              </w:rPr>
              <w:t>.00</w:t>
            </w:r>
          </w:p>
        </w:tc>
      </w:tr>
      <w:tr w:rsidR="00757407" w:rsidRPr="00ED50AC" w14:paraId="26D2E891" w14:textId="77777777" w:rsidTr="00C27B9A">
        <w:trPr>
          <w:cnfStyle w:val="000000010000" w:firstRow="0" w:lastRow="0" w:firstColumn="0" w:lastColumn="0" w:oddVBand="0" w:evenVBand="0" w:oddHBand="0" w:evenHBand="1" w:firstRowFirstColumn="0" w:firstRowLastColumn="0" w:lastRowFirstColumn="0" w:lastRowLastColumn="0"/>
          <w:trHeight w:val="374"/>
          <w:jc w:val="center"/>
        </w:trPr>
        <w:tc>
          <w:tcPr>
            <w:tcW w:w="3600" w:type="dxa"/>
            <w:shd w:val="clear" w:color="auto" w:fill="FFFFFF" w:themeFill="background1"/>
          </w:tcPr>
          <w:p w14:paraId="447351AA" w14:textId="77777777" w:rsidR="00757407" w:rsidRPr="00ED50AC" w:rsidRDefault="00757407" w:rsidP="0064182D">
            <w:pPr>
              <w:spacing w:before="60" w:after="60" w:line="240" w:lineRule="auto"/>
              <w:contextualSpacing w:val="0"/>
              <w:rPr>
                <w:rFonts w:ascii="Optima" w:hAnsi="Optima"/>
                <w:sz w:val="19"/>
                <w:szCs w:val="19"/>
              </w:rPr>
            </w:pPr>
            <w:r w:rsidRPr="00ED50AC">
              <w:rPr>
                <w:rFonts w:ascii="Optima" w:hAnsi="Optima"/>
                <w:sz w:val="19"/>
                <w:szCs w:val="19"/>
              </w:rPr>
              <w:t>Income Per Hour of Job Coaching</w:t>
            </w:r>
          </w:p>
        </w:tc>
        <w:tc>
          <w:tcPr>
            <w:tcW w:w="1170" w:type="dxa"/>
            <w:shd w:val="clear" w:color="auto" w:fill="FFFFFF" w:themeFill="background1"/>
          </w:tcPr>
          <w:p w14:paraId="1710BC1B" w14:textId="77777777" w:rsidR="00757407" w:rsidRPr="00ED50AC" w:rsidRDefault="00757407" w:rsidP="00DF7FF1">
            <w:pPr>
              <w:spacing w:before="60" w:after="60" w:line="240" w:lineRule="auto"/>
              <w:contextualSpacing w:val="0"/>
              <w:jc w:val="right"/>
              <w:rPr>
                <w:rFonts w:ascii="Optima" w:hAnsi="Optima"/>
                <w:sz w:val="19"/>
                <w:szCs w:val="19"/>
              </w:rPr>
            </w:pPr>
            <w:r w:rsidRPr="00ED50AC">
              <w:rPr>
                <w:rFonts w:ascii="Optima" w:hAnsi="Optima"/>
                <w:sz w:val="19"/>
                <w:szCs w:val="19"/>
              </w:rPr>
              <w:t>$36</w:t>
            </w:r>
            <w:r w:rsidR="00972BC8">
              <w:rPr>
                <w:rFonts w:ascii="Optima" w:hAnsi="Optima"/>
                <w:sz w:val="19"/>
                <w:szCs w:val="19"/>
              </w:rPr>
              <w:t>.00</w:t>
            </w:r>
          </w:p>
        </w:tc>
        <w:tc>
          <w:tcPr>
            <w:tcW w:w="1530" w:type="dxa"/>
            <w:shd w:val="clear" w:color="auto" w:fill="FFFFFF" w:themeFill="background1"/>
          </w:tcPr>
          <w:p w14:paraId="780D0703" w14:textId="77777777" w:rsidR="00757407" w:rsidRPr="00ED50AC" w:rsidRDefault="00757407" w:rsidP="00B00253">
            <w:pPr>
              <w:spacing w:before="60" w:after="60" w:line="240" w:lineRule="auto"/>
              <w:contextualSpacing w:val="0"/>
              <w:jc w:val="right"/>
              <w:rPr>
                <w:rFonts w:ascii="Optima" w:hAnsi="Optima"/>
                <w:sz w:val="19"/>
                <w:szCs w:val="19"/>
              </w:rPr>
            </w:pPr>
            <w:r w:rsidRPr="00ED50AC">
              <w:rPr>
                <w:rFonts w:ascii="Optima" w:hAnsi="Optima"/>
                <w:sz w:val="19"/>
                <w:szCs w:val="19"/>
              </w:rPr>
              <w:t>$48</w:t>
            </w:r>
            <w:r w:rsidR="00972BC8">
              <w:rPr>
                <w:rFonts w:ascii="Optima" w:hAnsi="Optima"/>
                <w:sz w:val="19"/>
                <w:szCs w:val="19"/>
              </w:rPr>
              <w:t>.00</w:t>
            </w:r>
          </w:p>
        </w:tc>
      </w:tr>
    </w:tbl>
    <w:p w14:paraId="0430BA80" w14:textId="77777777" w:rsidR="00A6776C" w:rsidRDefault="00A6776C" w:rsidP="002476FD">
      <w:pPr>
        <w:pStyle w:val="NoSpacing"/>
      </w:pPr>
    </w:p>
    <w:p w14:paraId="5C6F8056" w14:textId="77777777" w:rsidR="00757407" w:rsidRPr="00485FE5" w:rsidRDefault="00757407" w:rsidP="00B1367E">
      <w:r w:rsidRPr="00485FE5">
        <w:t xml:space="preserve">In these examples, the provider can earn more net income, not by providing more service, but rather by focusing on two best practices of </w:t>
      </w:r>
      <w:r w:rsidR="00F655C6">
        <w:t>Supported Employment</w:t>
      </w:r>
      <w:r w:rsidRPr="00485FE5">
        <w:t xml:space="preserve"> job coaching</w:t>
      </w:r>
      <w:r w:rsidR="008C4BED">
        <w:t xml:space="preserve">: </w:t>
      </w:r>
      <w:r w:rsidRPr="00485FE5">
        <w:t xml:space="preserve">fading (providing less service) and assisting the supported employee </w:t>
      </w:r>
      <w:r w:rsidR="008B0558">
        <w:t>in maximizing</w:t>
      </w:r>
      <w:r w:rsidRPr="00485FE5">
        <w:t xml:space="preserve"> his/her hours working</w:t>
      </w:r>
      <w:r w:rsidR="005043F4">
        <w:t xml:space="preserve">. </w:t>
      </w:r>
    </w:p>
    <w:p w14:paraId="3C9B5A27" w14:textId="27EA480F" w:rsidR="009F2029" w:rsidRPr="001E6CD2" w:rsidRDefault="00757407" w:rsidP="001E6CD2">
      <w:pPr>
        <w:rPr>
          <w:rStyle w:val="Strong"/>
          <w:rFonts w:ascii="Trebuchet MS" w:hAnsi="Trebuchet MS"/>
          <w:b/>
          <w:bCs w:val="0"/>
        </w:rPr>
      </w:pPr>
      <w:r w:rsidRPr="00485FE5">
        <w:t xml:space="preserve">These examples are by no way </w:t>
      </w:r>
      <w:r w:rsidR="00C73B58" w:rsidRPr="00485FE5">
        <w:t>exhaustive</w:t>
      </w:r>
      <w:r w:rsidR="00C73B58">
        <w:t xml:space="preserve"> but</w:t>
      </w:r>
      <w:r w:rsidRPr="00485FE5">
        <w:t xml:space="preserve"> are provided to illustrate the critical importance of assisting providers </w:t>
      </w:r>
      <w:r w:rsidR="00566201">
        <w:t>in</w:t>
      </w:r>
      <w:r w:rsidRPr="00485FE5">
        <w:t xml:space="preserve"> think</w:t>
      </w:r>
      <w:r w:rsidR="00566201">
        <w:t>ing</w:t>
      </w:r>
      <w:r w:rsidRPr="00485FE5">
        <w:t xml:space="preserve"> about the primary importance of net revenue rather than gross revenue, and the advantages they may experience if they are able to earn greater net revenue by providing </w:t>
      </w:r>
      <w:r w:rsidR="008B0558">
        <w:t>fewer</w:t>
      </w:r>
      <w:r w:rsidR="008B0558" w:rsidRPr="00485FE5">
        <w:t xml:space="preserve"> </w:t>
      </w:r>
      <w:r w:rsidRPr="00485FE5">
        <w:t>units of service</w:t>
      </w:r>
      <w:r w:rsidR="00566201" w:rsidRPr="00566201">
        <w:t xml:space="preserve"> </w:t>
      </w:r>
      <w:r w:rsidR="00566201" w:rsidRPr="00485FE5">
        <w:t>through payment structure changes</w:t>
      </w:r>
      <w:r w:rsidRPr="00485FE5">
        <w:t xml:space="preserve">. Assisting providers </w:t>
      </w:r>
      <w:r w:rsidR="00566201">
        <w:t>in doing</w:t>
      </w:r>
      <w:r w:rsidRPr="00485FE5">
        <w:t xml:space="preserve"> these sorts of comparisons is essential for paving the way to adopting new reimbursement methodologies and rate structures that </w:t>
      </w:r>
      <w:r w:rsidRPr="003527EF">
        <w:t>reward</w:t>
      </w:r>
      <w:r w:rsidRPr="00485FE5">
        <w:t xml:space="preserve"> quality over quantity – a key principle of value-based purchasing.</w:t>
      </w:r>
    </w:p>
    <w:p w14:paraId="2EDE6E20" w14:textId="77777777" w:rsidR="00757407" w:rsidRPr="00BE4F46" w:rsidRDefault="00757407" w:rsidP="00B11115">
      <w:pPr>
        <w:pStyle w:val="Heading4"/>
      </w:pPr>
      <w:r w:rsidRPr="00BE4F46">
        <w:t>Principle #7</w:t>
      </w:r>
      <w:r w:rsidR="008C4BED" w:rsidRPr="00BE4F46">
        <w:t xml:space="preserve">: </w:t>
      </w:r>
      <w:r w:rsidRPr="00BE4F46">
        <w:t>Use a Transparent and Logical Approach to Understanding Provider Service Delivery Costs</w:t>
      </w:r>
      <w:r w:rsidR="00775100" w:rsidRPr="00BE4F46">
        <w:t>.</w:t>
      </w:r>
    </w:p>
    <w:p w14:paraId="263380F1" w14:textId="77777777" w:rsidR="00A6776C" w:rsidRPr="00F7360C" w:rsidRDefault="00A6776C" w:rsidP="002476FD">
      <w:pPr>
        <w:pStyle w:val="NoSpacing"/>
      </w:pPr>
    </w:p>
    <w:p w14:paraId="20E663B0" w14:textId="165AAEA2" w:rsidR="000366AC" w:rsidRPr="00FC14D7" w:rsidRDefault="000366AC" w:rsidP="00972F68">
      <w:pPr>
        <w:pStyle w:val="Quote"/>
        <w:ind w:left="1440"/>
        <w:rPr>
          <w:sz w:val="21"/>
          <w:szCs w:val="21"/>
        </w:rPr>
      </w:pPr>
      <w:r w:rsidRPr="00FC14D7">
        <w:rPr>
          <w:sz w:val="21"/>
          <w:szCs w:val="21"/>
        </w:rPr>
        <w:t>“A lack of transparency results in distrust and a deep sense of insecurity.”</w:t>
      </w:r>
    </w:p>
    <w:p w14:paraId="418B0B03" w14:textId="6E6C91F9" w:rsidR="00757407" w:rsidRPr="00FC14D7" w:rsidRDefault="002D158F" w:rsidP="00972F68">
      <w:pPr>
        <w:pStyle w:val="Quote"/>
        <w:ind w:left="1440" w:firstLine="5400"/>
        <w:jc w:val="right"/>
        <w:rPr>
          <w:sz w:val="21"/>
          <w:szCs w:val="21"/>
        </w:rPr>
      </w:pPr>
      <w:r>
        <w:rPr>
          <w:sz w:val="21"/>
          <w:szCs w:val="21"/>
        </w:rPr>
        <w:t xml:space="preserve">- </w:t>
      </w:r>
      <w:r w:rsidR="000366AC" w:rsidRPr="00FC14D7">
        <w:rPr>
          <w:sz w:val="21"/>
          <w:szCs w:val="21"/>
        </w:rPr>
        <w:t>Dalai Lama</w:t>
      </w:r>
    </w:p>
    <w:p w14:paraId="0E325526" w14:textId="77777777" w:rsidR="000366AC" w:rsidRDefault="000366AC" w:rsidP="002476FD">
      <w:pPr>
        <w:pStyle w:val="NoSpacing"/>
      </w:pPr>
    </w:p>
    <w:p w14:paraId="3BF94B3A" w14:textId="77777777" w:rsidR="00757407" w:rsidRPr="00485FE5" w:rsidRDefault="00757407" w:rsidP="00B1367E">
      <w:r w:rsidRPr="00485FE5">
        <w:t>It is very important that reimbursement structures and rates are built to support and reward/incentivize best practices that are proven or widely accepted to lead to desired outcomes rather than practices that, while they may be common in the current system, are not recognized as best practices for the types of services being provided</w:t>
      </w:r>
      <w:r w:rsidR="005043F4">
        <w:t xml:space="preserve">. </w:t>
      </w:r>
      <w:r w:rsidRPr="00485FE5">
        <w:t>It is unfortunate that in many ways, practices have come to mirror the incentives that are created by traditional reimbursement structures, which are often counter to desired outcomes.</w:t>
      </w:r>
    </w:p>
    <w:p w14:paraId="65C7C14A" w14:textId="74F263B9" w:rsidR="00757407" w:rsidRPr="00485FE5" w:rsidRDefault="00757407" w:rsidP="00B1367E">
      <w:r w:rsidRPr="00485FE5">
        <w:t xml:space="preserve">Agreeing on the actual and appropriate cost to provide specific types of services to advance </w:t>
      </w:r>
      <w:r w:rsidR="00F15631" w:rsidRPr="00F15631">
        <w:t xml:space="preserve">Competitive Integrated Employment and </w:t>
      </w:r>
      <w:r w:rsidRPr="00485FE5">
        <w:t xml:space="preserve">Employment First is critical, regardless of the reimbursement structure that is ultimately designed and implemented. </w:t>
      </w:r>
      <w:r w:rsidRPr="00485FE5">
        <w:rPr>
          <w:b/>
        </w:rPr>
        <w:t xml:space="preserve">An effective reimbursement methodology that defines </w:t>
      </w:r>
      <w:r w:rsidRPr="00485FE5">
        <w:rPr>
          <w:b/>
          <w:u w:val="single"/>
        </w:rPr>
        <w:t>what</w:t>
      </w:r>
      <w:r w:rsidRPr="00485FE5">
        <w:rPr>
          <w:b/>
        </w:rPr>
        <w:t xml:space="preserve"> is paid for, </w:t>
      </w:r>
      <w:r w:rsidRPr="00485FE5">
        <w:rPr>
          <w:b/>
          <w:u w:val="single"/>
        </w:rPr>
        <w:t>how</w:t>
      </w:r>
      <w:r w:rsidRPr="00485FE5">
        <w:rPr>
          <w:b/>
        </w:rPr>
        <w:t xml:space="preserve"> it is paid for, and </w:t>
      </w:r>
      <w:r w:rsidRPr="00485FE5">
        <w:rPr>
          <w:b/>
          <w:u w:val="single"/>
        </w:rPr>
        <w:t>when</w:t>
      </w:r>
      <w:r w:rsidRPr="00485FE5">
        <w:rPr>
          <w:b/>
        </w:rPr>
        <w:t xml:space="preserve"> it is paid for, will not have the desired impact if assumptions about the cost of service delivery that are incorporated into the model are not accurate.</w:t>
      </w:r>
      <w:r w:rsidRPr="00485FE5">
        <w:t xml:space="preserve"> </w:t>
      </w:r>
      <w:r w:rsidR="00225183">
        <w:t>(</w:t>
      </w:r>
      <w:r w:rsidRPr="00485FE5">
        <w:rPr>
          <w:i/>
        </w:rPr>
        <w:t>Author’s Note</w:t>
      </w:r>
      <w:r w:rsidR="008C4BED">
        <w:rPr>
          <w:i/>
        </w:rPr>
        <w:t xml:space="preserve">: </w:t>
      </w:r>
      <w:r w:rsidRPr="00485FE5">
        <w:rPr>
          <w:i/>
        </w:rPr>
        <w:t xml:space="preserve">I have observed costs for service delivery set too high and too low. Both </w:t>
      </w:r>
      <w:r w:rsidRPr="00485FE5">
        <w:rPr>
          <w:i/>
        </w:rPr>
        <w:lastRenderedPageBreak/>
        <w:t>were problematic for different reasons and negatively impacted the success of what were otherwise effective reimbursement methodologies.</w:t>
      </w:r>
      <w:r w:rsidR="00225183">
        <w:t>)</w:t>
      </w:r>
    </w:p>
    <w:p w14:paraId="3B4F3031" w14:textId="77777777" w:rsidR="00757407" w:rsidRPr="00485FE5" w:rsidRDefault="00757407" w:rsidP="00B1367E">
      <w:r w:rsidRPr="00485FE5">
        <w:t xml:space="preserve">Experience suggests traditional cost reporting (for retrospective reimbursement) will not typically provide the kind of targeted cost data that is needed </w:t>
      </w:r>
      <w:r w:rsidR="00273067">
        <w:t>to</w:t>
      </w:r>
      <w:r w:rsidRPr="00485FE5">
        <w:t xml:space="preserve"> establish an accurate understanding of a provider’s cost to deliver a particular service. Cost reporting often reflects broad categories of expenses</w:t>
      </w:r>
      <w:r w:rsidR="00BE6EDE">
        <w:t>,</w:t>
      </w:r>
      <w:r w:rsidRPr="00485FE5">
        <w:t xml:space="preserve"> which do not allow the specificity that is needed. Data collection tools typically need to be created for use as part of a “Rate Restructuring” initiative that seeks to establish a prospective payment structure. The data collection tools can and should be simple; everyone should understand the various cost elements that are included, including why they are included. </w:t>
      </w:r>
    </w:p>
    <w:p w14:paraId="67F88863" w14:textId="50B77281" w:rsidR="00757407" w:rsidRPr="00485FE5" w:rsidRDefault="00757407" w:rsidP="00B1367E">
      <w:r w:rsidRPr="00485FE5">
        <w:t>It’s important not to bypass this critical step in the process</w:t>
      </w:r>
      <w:r w:rsidR="0037194D">
        <w:t xml:space="preserve">. </w:t>
      </w:r>
      <w:r w:rsidRPr="00485FE5">
        <w:t>For funders, there may be hesitation about asking providers for cost data</w:t>
      </w:r>
      <w:r w:rsidR="0037194D">
        <w:t xml:space="preserve">. </w:t>
      </w:r>
      <w:r w:rsidRPr="00485FE5">
        <w:t>While there can be an assumption that providers will inflate their costs to drive up service delivery dollar figures that are incorporated into the new reimbursement methodology, experience in multiple states has demonstrated this does not occur</w:t>
      </w:r>
      <w:r w:rsidR="00FB70F8">
        <w:t>.</w:t>
      </w:r>
      <w:r w:rsidRPr="00485FE5">
        <w:t xml:space="preserve"> </w:t>
      </w:r>
      <w:r w:rsidR="00FB70F8">
        <w:t>I</w:t>
      </w:r>
      <w:r w:rsidRPr="00485FE5">
        <w:t>f it does, the provider is an outlier</w:t>
      </w:r>
      <w:r w:rsidR="00FB70F8">
        <w:t>,</w:t>
      </w:r>
      <w:r w:rsidRPr="00485FE5">
        <w:t xml:space="preserve"> and the inflation in their reported costs is easily identifiable when compared to their </w:t>
      </w:r>
      <w:r w:rsidRPr="00273067">
        <w:t>peer’s reported costs.</w:t>
      </w:r>
      <w:r w:rsidRPr="00485FE5">
        <w:t xml:space="preserve"> </w:t>
      </w:r>
    </w:p>
    <w:p w14:paraId="44952DD5" w14:textId="77777777" w:rsidR="00757407" w:rsidRPr="00485FE5" w:rsidRDefault="00757407" w:rsidP="00B1367E">
      <w:r w:rsidRPr="00485FE5">
        <w:t xml:space="preserve">Once provider cost data is obtained, it is important to keep in mind that this reflects </w:t>
      </w:r>
      <w:r w:rsidRPr="00485FE5">
        <w:rPr>
          <w:b/>
          <w:i/>
        </w:rPr>
        <w:t>current costs</w:t>
      </w:r>
      <w:r w:rsidR="00273067">
        <w:rPr>
          <w:b/>
          <w:i/>
        </w:rPr>
        <w:t>,</w:t>
      </w:r>
      <w:r w:rsidRPr="00485FE5">
        <w:t xml:space="preserve"> which may need to be adjusted to fully support</w:t>
      </w:r>
      <w:r w:rsidR="00273067">
        <w:t xml:space="preserve"> the</w:t>
      </w:r>
      <w:r w:rsidRPr="00485FE5">
        <w:t xml:space="preserve"> implementation of </w:t>
      </w:r>
      <w:r w:rsidRPr="00485FE5">
        <w:rPr>
          <w:b/>
          <w:i/>
        </w:rPr>
        <w:t>best practices</w:t>
      </w:r>
      <w:r w:rsidRPr="00485FE5">
        <w:t xml:space="preserve"> that are proven to lead to desired outcomes. </w:t>
      </w:r>
      <w:r w:rsidRPr="00273067">
        <w:t>It is critical to set the cost of delivering the service to be factored into the reimbursement model in a way that ensures it cover</w:t>
      </w:r>
      <w:r w:rsidR="00A34DEA" w:rsidRPr="00273067">
        <w:t>s</w:t>
      </w:r>
      <w:r w:rsidRPr="00273067">
        <w:t xml:space="preserve"> the costs of </w:t>
      </w:r>
      <w:r w:rsidRPr="00273067">
        <w:rPr>
          <w:u w:val="single"/>
        </w:rPr>
        <w:t>providers implementing best practices</w:t>
      </w:r>
      <w:r w:rsidRPr="00273067">
        <w:t xml:space="preserve"> and allows a reasonable net income margin for provider reinvestment in continuous innovation.</w:t>
      </w:r>
    </w:p>
    <w:p w14:paraId="2A0C257D" w14:textId="4CC15943" w:rsidR="00757407" w:rsidRPr="00485FE5" w:rsidRDefault="00757407" w:rsidP="00B1367E">
      <w:r w:rsidRPr="00485FE5">
        <w:t>It is generally accepted that a higher wage is required if best practices are expected from staff performing services. The higher wage is necessary to employ staff who are</w:t>
      </w:r>
      <w:r w:rsidR="00C74CAA">
        <w:t xml:space="preserve"> </w:t>
      </w:r>
      <w:r w:rsidRPr="00485FE5">
        <w:t>performing above expectations in terms of facilitating desired outcomes</w:t>
      </w:r>
      <w:r w:rsidR="00A51731">
        <w:t>,</w:t>
      </w:r>
      <w:r w:rsidRPr="00485FE5">
        <w:t xml:space="preserve"> or are likely to perform above expectations due to greater experience and/or more education/training</w:t>
      </w:r>
      <w:r w:rsidR="005043F4">
        <w:t xml:space="preserve">. </w:t>
      </w:r>
      <w:r w:rsidRPr="00485FE5">
        <w:t>For a variety of reasons, the appropriate wage level may not be reported in providers’ current costs</w:t>
      </w:r>
      <w:r w:rsidRPr="000F065B">
        <w:t xml:space="preserve">. Current reimbursement rates may not support employment of staff </w:t>
      </w:r>
      <w:r w:rsidR="000F065B">
        <w:t xml:space="preserve">who are </w:t>
      </w:r>
      <w:r w:rsidRPr="000F065B">
        <w:t>likely to know and competently utilize best practices</w:t>
      </w:r>
      <w:r w:rsidR="000F065B">
        <w:t>.</w:t>
      </w:r>
      <w:r w:rsidRPr="000F065B">
        <w:t xml:space="preserve"> </w:t>
      </w:r>
      <w:r w:rsidR="000F065B">
        <w:t>C</w:t>
      </w:r>
      <w:r w:rsidRPr="000F065B">
        <w:t>urrent program requirements may not require staff with qualifications, experience</w:t>
      </w:r>
      <w:r w:rsidR="000F065B">
        <w:t>,</w:t>
      </w:r>
      <w:r w:rsidRPr="000F065B">
        <w:t xml:space="preserve"> and/or training in best practices</w:t>
      </w:r>
      <w:r w:rsidR="00183612">
        <w:t>,</w:t>
      </w:r>
      <w:r w:rsidRPr="000F065B">
        <w:t xml:space="preserve"> and thus</w:t>
      </w:r>
      <w:r w:rsidR="00183612">
        <w:t>,</w:t>
      </w:r>
      <w:r w:rsidRPr="000F065B">
        <w:t xml:space="preserve"> providers are not currently employing staff at this level (and do not have the associated costs involved); or both of these factors may be present</w:t>
      </w:r>
      <w:r w:rsidR="005043F4" w:rsidRPr="000F065B">
        <w:t>.</w:t>
      </w:r>
      <w:r w:rsidR="005043F4">
        <w:t xml:space="preserve"> </w:t>
      </w:r>
      <w:r w:rsidRPr="00485FE5">
        <w:t xml:space="preserve">Thus, it is typically necessary to consider the appropriate wage for people delivering services </w:t>
      </w:r>
      <w:r w:rsidRPr="00485FE5">
        <w:rPr>
          <w:u w:val="single"/>
        </w:rPr>
        <w:t>and</w:t>
      </w:r>
      <w:r w:rsidRPr="00485FE5">
        <w:t xml:space="preserve"> associate this wage with appropriate expectations regarding qualifications, experience</w:t>
      </w:r>
      <w:r w:rsidR="00F01BDD">
        <w:t>,</w:t>
      </w:r>
      <w:r w:rsidRPr="00485FE5">
        <w:t xml:space="preserve"> and/or training. </w:t>
      </w:r>
      <w:r w:rsidRPr="00CF0270">
        <w:t xml:space="preserve">Experience suggests it is neither appropriate to build a higher wage into the reimbursement model without requiring that </w:t>
      </w:r>
      <w:r w:rsidR="00183612" w:rsidRPr="00CF0270">
        <w:t xml:space="preserve">it </w:t>
      </w:r>
      <w:r w:rsidRPr="00CF0270">
        <w:t>be tied to a person having some enhanced level of performance, qualifications, experience</w:t>
      </w:r>
      <w:r w:rsidR="00F01BDD" w:rsidRPr="00CF0270">
        <w:t>,</w:t>
      </w:r>
      <w:r w:rsidRPr="00CF0270">
        <w:t xml:space="preserve"> and/or training (that typically requires payment of the higher wage); nor to require all staff delivering the service to have an enhanced level of performance, qualifications, experience</w:t>
      </w:r>
      <w:r w:rsidR="00F01BDD" w:rsidRPr="00CF0270">
        <w:t>,</w:t>
      </w:r>
      <w:r w:rsidRPr="00CF0270">
        <w:t xml:space="preserve"> and/or training without reflecting that in the wage rate incorporated into the reimbursement model.</w:t>
      </w:r>
    </w:p>
    <w:p w14:paraId="2F06EF79" w14:textId="4E0C0905" w:rsidR="00757407" w:rsidRPr="00485FE5" w:rsidRDefault="00757407" w:rsidP="00B1367E">
      <w:r w:rsidRPr="00485FE5">
        <w:t>Some argue that simply paying for outcomes will take care of ensuring provider staff are appropriately paid and competent in implementing best practices</w:t>
      </w:r>
      <w:r w:rsidR="009C3174">
        <w:t>,</w:t>
      </w:r>
      <w:r w:rsidRPr="00485FE5">
        <w:t xml:space="preserve"> but this has not proven to be universally true. Some programs find they have a relatively poor rate of achievement of successful outcomes, yet the system continues to </w:t>
      </w:r>
      <w:r w:rsidR="00A6776C" w:rsidRPr="00485FE5">
        <w:t>function,</w:t>
      </w:r>
      <w:r w:rsidRPr="00485FE5">
        <w:t xml:space="preserve"> and a higher-than-optimal failure rate is actually accounted for in the rate structure, resulting in little need for providers to increase their ability to produce successful outcomes. Other times, providers cannot meet demand due to </w:t>
      </w:r>
      <w:r w:rsidR="009C3174">
        <w:t xml:space="preserve">the </w:t>
      </w:r>
      <w:r w:rsidRPr="00485FE5">
        <w:t xml:space="preserve">inability to efficiently and effectively produce outcomes, and providers may simply drop out of the network rather than correct </w:t>
      </w:r>
      <w:r w:rsidRPr="00485FE5">
        <w:lastRenderedPageBreak/>
        <w:t>the problem. All of these realities mean that while paying for outcomes may be far better than fee-for-service, it alone will likely not be enough to ensure high</w:t>
      </w:r>
      <w:r w:rsidR="009C3174">
        <w:t>-</w:t>
      </w:r>
      <w:r w:rsidRPr="00485FE5">
        <w:t xml:space="preserve">quality outcomes are consistently achieved. </w:t>
      </w:r>
      <w:r w:rsidR="00F15631">
        <w:t xml:space="preserve">That is, </w:t>
      </w:r>
      <w:r w:rsidR="00F15631" w:rsidRPr="00AB2768">
        <w:t xml:space="preserve">all reimbursement structures delivering services to advance </w:t>
      </w:r>
      <w:r w:rsidR="00F15631">
        <w:t xml:space="preserve">Competitive Integrated Employment must ensure that staff </w:t>
      </w:r>
      <w:r w:rsidR="00F15631" w:rsidRPr="00AB2768">
        <w:t>will be paid adequately based on performance and</w:t>
      </w:r>
      <w:r w:rsidR="00F15631">
        <w:t xml:space="preserve"> that they have</w:t>
      </w:r>
      <w:r w:rsidR="00F15631" w:rsidRPr="00AB2768">
        <w:t xml:space="preserve"> necessary qualifications, experience, and/or training, to implement best practices that lead to desired outcomes</w:t>
      </w:r>
      <w:r w:rsidRPr="00AB2768">
        <w:t>.</w:t>
      </w:r>
    </w:p>
    <w:p w14:paraId="381DBE3D" w14:textId="5663FA09" w:rsidR="009F2029" w:rsidRPr="001E6CD2" w:rsidRDefault="00757407" w:rsidP="001E6CD2">
      <w:pPr>
        <w:rPr>
          <w:rStyle w:val="Strong"/>
          <w:rFonts w:ascii="Trebuchet MS" w:hAnsi="Trebuchet MS"/>
          <w:b/>
          <w:bCs w:val="0"/>
        </w:rPr>
      </w:pPr>
      <w:r w:rsidRPr="00485FE5">
        <w:t xml:space="preserve">In general, funder </w:t>
      </w:r>
      <w:r w:rsidR="008A2E67">
        <w:t>“</w:t>
      </w:r>
      <w:r w:rsidRPr="00485FE5">
        <w:t>fear</w:t>
      </w:r>
      <w:r w:rsidR="008A2E67">
        <w:t>”</w:t>
      </w:r>
      <w:r w:rsidRPr="00485FE5">
        <w:t xml:space="preserve"> with regard to establishing robust assumptions about providers’ costs to deliver a service is typically based on the assumption that a fee</w:t>
      </w:r>
      <w:r w:rsidR="00570353">
        <w:t>-</w:t>
      </w:r>
      <w:r w:rsidRPr="00485FE5">
        <w:t>for</w:t>
      </w:r>
      <w:r w:rsidR="00570353">
        <w:t>-</w:t>
      </w:r>
      <w:r w:rsidRPr="00485FE5">
        <w:t>service</w:t>
      </w:r>
      <w:r w:rsidR="00301C6B">
        <w:t>,</w:t>
      </w:r>
      <w:r w:rsidRPr="00485FE5">
        <w:t xml:space="preserve"> rather than an outcome-based reimbursement methodology</w:t>
      </w:r>
      <w:r w:rsidR="00301C6B">
        <w:t>,</w:t>
      </w:r>
      <w:r w:rsidRPr="00485FE5">
        <w:t xml:space="preserve"> will be used. In Section 5 of this </w:t>
      </w:r>
      <w:r w:rsidR="00A44BE5">
        <w:t>g</w:t>
      </w:r>
      <w:r w:rsidRPr="00485FE5">
        <w:t>uide, some of the approaches highlighted are designed to mitigate the fear (and likelihood) that setting reimbursement based on assuming a higher cost of service delivery will necessitate higher spending by the funder</w:t>
      </w:r>
      <w:r w:rsidR="005043F4">
        <w:t xml:space="preserve">. </w:t>
      </w:r>
      <w:r w:rsidRPr="00485FE5">
        <w:rPr>
          <w:b/>
        </w:rPr>
        <w:t>Higher spending is often driven by the presence of the wrong incentives in a flawed reimbursement model, not the cost of service delivery factored into the model.</w:t>
      </w:r>
      <w:r w:rsidRPr="00485FE5">
        <w:t xml:space="preserve"> If a funder adopts a different reimbursement model that incorporates an appropriate cost for best-practice service delivery, the cost-effectiveness that the funder needs can be achieved while providers are adequately reimbursed for the service they do deliver, allowing them to implement best practices which lead to desired outcomes.</w:t>
      </w:r>
    </w:p>
    <w:p w14:paraId="6817F65C" w14:textId="77777777" w:rsidR="00757407" w:rsidRPr="00BE4F46" w:rsidRDefault="00757407" w:rsidP="00B11115">
      <w:pPr>
        <w:pStyle w:val="Heading4"/>
      </w:pPr>
      <w:r w:rsidRPr="00BE4F46">
        <w:t>Principle #8</w:t>
      </w:r>
      <w:r w:rsidR="008C4BED" w:rsidRPr="00BE4F46">
        <w:t xml:space="preserve">: </w:t>
      </w:r>
      <w:r w:rsidRPr="00BE4F46">
        <w:t>Return to Desired Outcomes and Use Backward Reasoning to Arrive at the Reimbursement Methodology that is Best and Logical Approach to Achieving Desired Outcomes</w:t>
      </w:r>
      <w:r w:rsidR="00775100" w:rsidRPr="00BE4F46">
        <w:t>.</w:t>
      </w:r>
    </w:p>
    <w:p w14:paraId="7A531D35" w14:textId="77777777" w:rsidR="00A6776C" w:rsidRPr="00C44E63" w:rsidRDefault="00A6776C" w:rsidP="002476FD">
      <w:pPr>
        <w:pStyle w:val="NoSpacing"/>
      </w:pPr>
    </w:p>
    <w:p w14:paraId="619468C5" w14:textId="77777777" w:rsidR="00757407" w:rsidRPr="00FC14D7" w:rsidRDefault="00757407" w:rsidP="00972F68">
      <w:pPr>
        <w:pStyle w:val="Quote"/>
        <w:ind w:left="1440"/>
        <w:rPr>
          <w:sz w:val="21"/>
          <w:szCs w:val="21"/>
        </w:rPr>
      </w:pPr>
      <w:r w:rsidRPr="00FC14D7">
        <w:rPr>
          <w:sz w:val="21"/>
          <w:szCs w:val="21"/>
        </w:rPr>
        <w:t>“Stop getting the wrong things done.”</w:t>
      </w:r>
    </w:p>
    <w:p w14:paraId="15844AC6" w14:textId="77777777" w:rsidR="00757407" w:rsidRPr="00FC14D7" w:rsidRDefault="002D158F" w:rsidP="00972F68">
      <w:pPr>
        <w:pStyle w:val="Quote"/>
        <w:ind w:left="1440" w:firstLine="2520"/>
        <w:rPr>
          <w:sz w:val="21"/>
          <w:szCs w:val="21"/>
        </w:rPr>
      </w:pPr>
      <w:r>
        <w:rPr>
          <w:sz w:val="21"/>
          <w:szCs w:val="21"/>
        </w:rPr>
        <w:t xml:space="preserve">- </w:t>
      </w:r>
      <w:r w:rsidR="00F22F7C" w:rsidRPr="00FC14D7">
        <w:rPr>
          <w:sz w:val="21"/>
          <w:szCs w:val="21"/>
        </w:rPr>
        <w:t xml:space="preserve">Michael </w:t>
      </w:r>
      <w:r w:rsidR="00757407" w:rsidRPr="00FC14D7">
        <w:rPr>
          <w:sz w:val="21"/>
          <w:szCs w:val="21"/>
        </w:rPr>
        <w:t>Hyatt</w:t>
      </w:r>
    </w:p>
    <w:p w14:paraId="0F35556A" w14:textId="77777777" w:rsidR="002D158F" w:rsidRDefault="002D158F" w:rsidP="002476FD">
      <w:pPr>
        <w:pStyle w:val="NoSpacing"/>
        <w:rPr>
          <w:shd w:val="clear" w:color="auto" w:fill="FFFFFF"/>
        </w:rPr>
      </w:pPr>
    </w:p>
    <w:p w14:paraId="0C1A81ED" w14:textId="308A380E" w:rsidR="00757407" w:rsidRPr="00485FE5" w:rsidRDefault="00757407" w:rsidP="00B1367E">
      <w:pPr>
        <w:rPr>
          <w:shd w:val="clear" w:color="auto" w:fill="FFFFFF"/>
        </w:rPr>
      </w:pPr>
      <w:r w:rsidRPr="00485FE5">
        <w:rPr>
          <w:shd w:val="clear" w:color="auto" w:fill="FFFFFF"/>
        </w:rPr>
        <w:t xml:space="preserve">In Michael Hyatt’s book </w:t>
      </w:r>
      <w:r w:rsidRPr="00485FE5">
        <w:rPr>
          <w:i/>
          <w:shd w:val="clear" w:color="auto" w:fill="FFFFFF"/>
        </w:rPr>
        <w:t>Free to Focus</w:t>
      </w:r>
      <w:r w:rsidR="009C3174">
        <w:rPr>
          <w:i/>
          <w:shd w:val="clear" w:color="auto" w:fill="FFFFFF"/>
        </w:rPr>
        <w:t>,</w:t>
      </w:r>
      <w:r w:rsidRPr="00485FE5">
        <w:rPr>
          <w:rStyle w:val="FootnoteReference"/>
          <w:rFonts w:cstheme="minorHAnsi"/>
          <w:i/>
          <w:shd w:val="clear" w:color="auto" w:fill="FFFFFF"/>
        </w:rPr>
        <w:footnoteReference w:id="7"/>
      </w:r>
      <w:r w:rsidRPr="00485FE5">
        <w:rPr>
          <w:shd w:val="clear" w:color="auto" w:fill="FFFFFF"/>
        </w:rPr>
        <w:t xml:space="preserve"> he argues that productivity is not about </w:t>
      </w:r>
      <w:r w:rsidRPr="009C3174">
        <w:rPr>
          <w:shd w:val="clear" w:color="auto" w:fill="FFFFFF"/>
        </w:rPr>
        <w:t xml:space="preserve">doing </w:t>
      </w:r>
      <w:r w:rsidR="00E655E1">
        <w:rPr>
          <w:shd w:val="clear" w:color="auto" w:fill="FFFFFF"/>
        </w:rPr>
        <w:t xml:space="preserve">things </w:t>
      </w:r>
      <w:r w:rsidR="00F22F7C" w:rsidRPr="009C3174">
        <w:rPr>
          <w:shd w:val="clear" w:color="auto" w:fill="FFFFFF"/>
        </w:rPr>
        <w:t>faster</w:t>
      </w:r>
      <w:r w:rsidRPr="00485FE5">
        <w:rPr>
          <w:shd w:val="clear" w:color="auto" w:fill="FFFFFF"/>
        </w:rPr>
        <w:t xml:space="preserve">. Rather it’s about </w:t>
      </w:r>
      <w:r w:rsidRPr="00485FE5">
        <w:rPr>
          <w:b/>
          <w:i/>
          <w:shd w:val="clear" w:color="auto" w:fill="FFFFFF"/>
        </w:rPr>
        <w:t>achieving more by doing less as a result of focusing on getting the right things done</w:t>
      </w:r>
      <w:r w:rsidRPr="00485FE5">
        <w:rPr>
          <w:shd w:val="clear" w:color="auto" w:fill="FFFFFF"/>
        </w:rPr>
        <w:t xml:space="preserve">. For Hyatt, increasing productivity is largely about what someone is </w:t>
      </w:r>
      <w:r w:rsidRPr="00D85E0C">
        <w:rPr>
          <w:u w:val="single"/>
          <w:shd w:val="clear" w:color="auto" w:fill="FFFFFF"/>
        </w:rPr>
        <w:t>not</w:t>
      </w:r>
      <w:r w:rsidRPr="00485FE5">
        <w:rPr>
          <w:shd w:val="clear" w:color="auto" w:fill="FFFFFF"/>
        </w:rPr>
        <w:t xml:space="preserve"> doing. Many times, reimbursement structures in service systems for people with disabilities focus energy and effort on things that don’t facilitate the outcomes desired from services. Quite frankly, they focus effort (what people do) on engaging in activities and documenting time on these activities – not on the achievement of outcomes. In a milestone payment structure, they focus effort on the process milestone as an end in and of itself, not necessarily the ultimate outcome desired</w:t>
      </w:r>
      <w:r w:rsidR="005043F4">
        <w:rPr>
          <w:shd w:val="clear" w:color="auto" w:fill="FFFFFF"/>
        </w:rPr>
        <w:t xml:space="preserve">. </w:t>
      </w:r>
      <w:r w:rsidRPr="00485FE5">
        <w:rPr>
          <w:b/>
          <w:shd w:val="clear" w:color="auto" w:fill="FFFFFF"/>
        </w:rPr>
        <w:t xml:space="preserve">Staff delivering services and people receiving services may feel like they are always busy </w:t>
      </w:r>
      <w:r w:rsidRPr="00485FE5">
        <w:rPr>
          <w:b/>
          <w:i/>
          <w:shd w:val="clear" w:color="auto" w:fill="FFFFFF"/>
        </w:rPr>
        <w:t xml:space="preserve">doing </w:t>
      </w:r>
      <w:r w:rsidRPr="00485FE5">
        <w:rPr>
          <w:b/>
          <w:shd w:val="clear" w:color="auto" w:fill="FFFFFF"/>
        </w:rPr>
        <w:t>something</w:t>
      </w:r>
      <w:r w:rsidR="008A2E67">
        <w:rPr>
          <w:b/>
          <w:shd w:val="clear" w:color="auto" w:fill="FFFFFF"/>
        </w:rPr>
        <w:t>,</w:t>
      </w:r>
      <w:r w:rsidRPr="00485FE5">
        <w:rPr>
          <w:b/>
          <w:shd w:val="clear" w:color="auto" w:fill="FFFFFF"/>
        </w:rPr>
        <w:t xml:space="preserve"> but not busy </w:t>
      </w:r>
      <w:r w:rsidRPr="00485FE5">
        <w:rPr>
          <w:b/>
          <w:i/>
          <w:shd w:val="clear" w:color="auto" w:fill="FFFFFF"/>
        </w:rPr>
        <w:t>achieving</w:t>
      </w:r>
      <w:r w:rsidRPr="00485FE5">
        <w:rPr>
          <w:b/>
          <w:shd w:val="clear" w:color="auto" w:fill="FFFFFF"/>
        </w:rPr>
        <w:t xml:space="preserve"> something.</w:t>
      </w:r>
      <w:r w:rsidRPr="00485FE5">
        <w:rPr>
          <w:shd w:val="clear" w:color="auto" w:fill="FFFFFF"/>
        </w:rPr>
        <w:t xml:space="preserve"> </w:t>
      </w:r>
    </w:p>
    <w:p w14:paraId="6FF72056" w14:textId="03A8055E" w:rsidR="00757407" w:rsidRPr="00485FE5" w:rsidRDefault="00757407" w:rsidP="00B1367E">
      <w:r w:rsidRPr="00485FE5">
        <w:rPr>
          <w:shd w:val="clear" w:color="auto" w:fill="FFFFFF"/>
        </w:rPr>
        <w:t xml:space="preserve">Once many of the strategies discussed in the principles above are incorporated into a process of developing a reimbursement methodology and corresponding payment rates to advance </w:t>
      </w:r>
      <w:r w:rsidR="00F15631">
        <w:t xml:space="preserve">Competitive Integrated Employment and </w:t>
      </w:r>
      <w:r w:rsidRPr="00485FE5">
        <w:rPr>
          <w:shd w:val="clear" w:color="auto" w:fill="FFFFFF"/>
        </w:rPr>
        <w:t>Employment First, it</w:t>
      </w:r>
      <w:r w:rsidR="009C3174">
        <w:rPr>
          <w:shd w:val="clear" w:color="auto" w:fill="FFFFFF"/>
        </w:rPr>
        <w:t>’</w:t>
      </w:r>
      <w:r w:rsidRPr="00485FE5">
        <w:rPr>
          <w:shd w:val="clear" w:color="auto" w:fill="FFFFFF"/>
        </w:rPr>
        <w:t>s critical to return to Principle #</w:t>
      </w:r>
      <w:r w:rsidR="00F15631">
        <w:rPr>
          <w:shd w:val="clear" w:color="auto" w:fill="FFFFFF"/>
        </w:rPr>
        <w:t>1. That is,</w:t>
      </w:r>
      <w:r w:rsidR="006D7EE6">
        <w:rPr>
          <w:shd w:val="clear" w:color="auto" w:fill="FFFFFF"/>
        </w:rPr>
        <w:t>-</w:t>
      </w:r>
      <w:r w:rsidR="00F15631">
        <w:rPr>
          <w:shd w:val="clear" w:color="auto" w:fill="FFFFFF"/>
        </w:rPr>
        <w:t>w</w:t>
      </w:r>
      <w:r w:rsidRPr="00485FE5">
        <w:rPr>
          <w:shd w:val="clear" w:color="auto" w:fill="FFFFFF"/>
        </w:rPr>
        <w:t>hat are</w:t>
      </w:r>
      <w:r w:rsidRPr="00485FE5">
        <w:t xml:space="preserve"> the intended outcomes of the process that were established at the outset</w:t>
      </w:r>
      <w:r w:rsidR="008C4BED">
        <w:t xml:space="preserve">: </w:t>
      </w:r>
      <w:r w:rsidRPr="00485FE5">
        <w:t>what change(s) is desired, and how will we know we have been successful</w:t>
      </w:r>
      <w:r w:rsidR="0018798F">
        <w:t>;</w:t>
      </w:r>
      <w:r w:rsidRPr="00485FE5">
        <w:t xml:space="preserve"> </w:t>
      </w:r>
      <w:r w:rsidR="00F15631">
        <w:t xml:space="preserve">and </w:t>
      </w:r>
      <w:r w:rsidRPr="00485FE5">
        <w:t>how will we know that the reimbursement methodology and payment rates put in place have created the change(s) that is desired.</w:t>
      </w:r>
    </w:p>
    <w:p w14:paraId="76A068C4" w14:textId="77777777" w:rsidR="00757407" w:rsidRPr="00485FE5" w:rsidRDefault="00757407" w:rsidP="00B1367E">
      <w:pPr>
        <w:rPr>
          <w:rFonts w:cstheme="minorHAnsi"/>
        </w:rPr>
      </w:pPr>
      <w:r w:rsidRPr="00485FE5">
        <w:t>It’s essential that the process progresses by returning the focus to the specific outcomes that are desired and using backward reasoning to define the reimbursement methodology (i.e.</w:t>
      </w:r>
      <w:r w:rsidR="007746DA">
        <w:t>,</w:t>
      </w:r>
      <w:r w:rsidRPr="00485FE5">
        <w:t xml:space="preserve"> </w:t>
      </w:r>
      <w:r w:rsidRPr="00485FE5">
        <w:rPr>
          <w:u w:val="single"/>
        </w:rPr>
        <w:t>what</w:t>
      </w:r>
      <w:r w:rsidRPr="00485FE5">
        <w:t xml:space="preserve"> is paid for, </w:t>
      </w:r>
      <w:r w:rsidRPr="00485FE5">
        <w:rPr>
          <w:u w:val="single"/>
        </w:rPr>
        <w:t>how</w:t>
      </w:r>
      <w:r w:rsidRPr="00485FE5">
        <w:t xml:space="preserve"> it is paid for, and </w:t>
      </w:r>
      <w:r w:rsidRPr="00485FE5">
        <w:rPr>
          <w:u w:val="single"/>
        </w:rPr>
        <w:t>when</w:t>
      </w:r>
      <w:r w:rsidRPr="00485FE5">
        <w:t xml:space="preserve"> it is paid for) that quite frankly, aligns most with common sense and logic. </w:t>
      </w:r>
      <w:r w:rsidRPr="00485FE5">
        <w:lastRenderedPageBreak/>
        <w:t xml:space="preserve">Backward reasoning is a fancy term for simply working backward from a goal to define how to achieve the goal. </w:t>
      </w:r>
    </w:p>
    <w:p w14:paraId="02E02C34" w14:textId="77777777" w:rsidR="00757407" w:rsidRPr="00BE4F46" w:rsidRDefault="00757407" w:rsidP="00B11115">
      <w:pPr>
        <w:pStyle w:val="Heading4"/>
        <w:rPr>
          <w:rStyle w:val="Strong"/>
          <w:bCs/>
        </w:rPr>
      </w:pPr>
      <w:r w:rsidRPr="00BE4F46">
        <w:rPr>
          <w:rStyle w:val="Strong"/>
          <w:bCs/>
        </w:rPr>
        <w:t>Principle #9:</w:t>
      </w:r>
      <w:r w:rsidR="00AB27FD" w:rsidRPr="00BE4F46">
        <w:rPr>
          <w:rStyle w:val="Strong"/>
          <w:bCs/>
        </w:rPr>
        <w:t xml:space="preserve"> </w:t>
      </w:r>
      <w:r w:rsidRPr="00BE4F46">
        <w:rPr>
          <w:rStyle w:val="Strong"/>
          <w:bCs/>
        </w:rPr>
        <w:t>Adopt the Right Amount of Sophistication in the Reimbursement Model, Avoiding Too Much Complexity and Too Much Simplicity</w:t>
      </w:r>
      <w:r w:rsidR="00775100" w:rsidRPr="00BE4F46">
        <w:rPr>
          <w:rStyle w:val="Strong"/>
          <w:bCs/>
        </w:rPr>
        <w:t>.</w:t>
      </w:r>
    </w:p>
    <w:p w14:paraId="6D0C8A40" w14:textId="77777777" w:rsidR="00A73E64" w:rsidRPr="00A73E64" w:rsidRDefault="00A73E64" w:rsidP="002476FD">
      <w:pPr>
        <w:pStyle w:val="NoSpacing"/>
      </w:pPr>
    </w:p>
    <w:p w14:paraId="1F69CE94" w14:textId="415002F0" w:rsidR="0035488E" w:rsidRDefault="003940D6" w:rsidP="008A6473">
      <w:pPr>
        <w:pStyle w:val="Quote"/>
        <w:tabs>
          <w:tab w:val="left" w:pos="1530"/>
          <w:tab w:val="left" w:pos="1620"/>
          <w:tab w:val="left" w:pos="5400"/>
          <w:tab w:val="left" w:pos="6120"/>
          <w:tab w:val="left" w:pos="6480"/>
          <w:tab w:val="left" w:pos="6570"/>
        </w:tabs>
        <w:ind w:left="806" w:right="90" w:hanging="86"/>
        <w:rPr>
          <w:rStyle w:val="Emphasis"/>
          <w:rFonts w:ascii="Trebuchet MS" w:hAnsi="Trebuchet MS"/>
          <w:bCs w:val="0"/>
          <w:i/>
          <w:iCs/>
          <w:color w:val="984806" w:themeColor="accent6" w:themeShade="80"/>
          <w:spacing w:val="0"/>
          <w:sz w:val="21"/>
          <w:szCs w:val="21"/>
        </w:rPr>
      </w:pPr>
      <w:r w:rsidRPr="00862FDD">
        <w:rPr>
          <w:rStyle w:val="Emphasis"/>
          <w:bCs w:val="0"/>
          <w:i/>
          <w:iCs/>
          <w:color w:val="984806" w:themeColor="accent6" w:themeShade="80"/>
          <w:spacing w:val="0"/>
          <w:sz w:val="21"/>
          <w:szCs w:val="21"/>
        </w:rPr>
        <w:t xml:space="preserve">“Increasingly, people seem </w:t>
      </w:r>
      <w:r w:rsidR="00972F68" w:rsidRPr="00862FDD">
        <w:rPr>
          <w:rStyle w:val="Emphasis"/>
          <w:bCs w:val="0"/>
          <w:i/>
          <w:iCs/>
          <w:color w:val="984806" w:themeColor="accent6" w:themeShade="80"/>
          <w:spacing w:val="0"/>
          <w:sz w:val="21"/>
          <w:szCs w:val="21"/>
        </w:rPr>
        <w:t>to</w:t>
      </w:r>
      <w:r w:rsidR="00972F68">
        <w:rPr>
          <w:rStyle w:val="Emphasis"/>
          <w:bCs w:val="0"/>
          <w:i/>
          <w:iCs/>
          <w:color w:val="984806" w:themeColor="accent6" w:themeShade="80"/>
          <w:spacing w:val="0"/>
          <w:sz w:val="21"/>
          <w:szCs w:val="21"/>
        </w:rPr>
        <w:t xml:space="preserve"> misinterpret</w:t>
      </w:r>
      <w:r w:rsidR="00A7498F" w:rsidRPr="00862FDD">
        <w:rPr>
          <w:rStyle w:val="Emphasis"/>
          <w:bCs w:val="0"/>
          <w:i/>
          <w:iCs/>
          <w:color w:val="984806" w:themeColor="accent6" w:themeShade="80"/>
          <w:spacing w:val="0"/>
          <w:sz w:val="21"/>
          <w:szCs w:val="21"/>
        </w:rPr>
        <w:tab/>
      </w:r>
      <w:r w:rsidR="0035488E" w:rsidRPr="00862FDD">
        <w:rPr>
          <w:rStyle w:val="Emphasis"/>
          <w:bCs w:val="0"/>
          <w:i/>
          <w:iCs/>
          <w:color w:val="984806" w:themeColor="accent6" w:themeShade="80"/>
          <w:spacing w:val="0"/>
          <w:sz w:val="21"/>
          <w:szCs w:val="21"/>
        </w:rPr>
        <w:t xml:space="preserve">“For every complex problem, </w:t>
      </w:r>
      <w:r w:rsidR="00972F68" w:rsidRPr="00862FDD">
        <w:rPr>
          <w:rStyle w:val="Emphasis"/>
          <w:bCs w:val="0"/>
          <w:i/>
          <w:iCs/>
          <w:color w:val="984806" w:themeColor="accent6" w:themeShade="80"/>
          <w:spacing w:val="0"/>
          <w:sz w:val="21"/>
          <w:szCs w:val="21"/>
        </w:rPr>
        <w:t>there</w:t>
      </w:r>
      <w:r w:rsidR="00C70573">
        <w:rPr>
          <w:rStyle w:val="Emphasis"/>
          <w:bCs w:val="0"/>
          <w:i/>
          <w:iCs/>
          <w:color w:val="984806" w:themeColor="accent6" w:themeShade="80"/>
          <w:spacing w:val="0"/>
          <w:sz w:val="21"/>
          <w:szCs w:val="21"/>
        </w:rPr>
        <w:t xml:space="preserve"> is an</w:t>
      </w:r>
      <w:r w:rsidR="008A6473">
        <w:rPr>
          <w:rStyle w:val="Emphasis"/>
          <w:bCs w:val="0"/>
          <w:i/>
          <w:iCs/>
          <w:color w:val="984806" w:themeColor="accent6" w:themeShade="80"/>
          <w:spacing w:val="0"/>
          <w:sz w:val="21"/>
          <w:szCs w:val="21"/>
        </w:rPr>
        <w:br/>
      </w:r>
      <w:r w:rsidR="00EC6B2C">
        <w:rPr>
          <w:rStyle w:val="Emphasis"/>
          <w:bCs w:val="0"/>
          <w:i/>
          <w:iCs/>
          <w:color w:val="984806" w:themeColor="accent6" w:themeShade="80"/>
          <w:spacing w:val="0"/>
          <w:sz w:val="21"/>
          <w:szCs w:val="21"/>
        </w:rPr>
        <w:t>c</w:t>
      </w:r>
      <w:r w:rsidR="00A7498F" w:rsidRPr="00862FDD">
        <w:rPr>
          <w:rStyle w:val="Emphasis"/>
          <w:bCs w:val="0"/>
          <w:i/>
          <w:iCs/>
          <w:color w:val="984806" w:themeColor="accent6" w:themeShade="80"/>
          <w:spacing w:val="0"/>
          <w:sz w:val="21"/>
          <w:szCs w:val="21"/>
        </w:rPr>
        <w:t>omplexity</w:t>
      </w:r>
      <w:r w:rsidR="00972F68">
        <w:rPr>
          <w:rStyle w:val="Emphasis"/>
          <w:bCs w:val="0"/>
          <w:i/>
          <w:iCs/>
          <w:color w:val="984806" w:themeColor="accent6" w:themeShade="80"/>
          <w:spacing w:val="0"/>
          <w:sz w:val="21"/>
          <w:szCs w:val="21"/>
        </w:rPr>
        <w:t xml:space="preserve"> as </w:t>
      </w:r>
      <w:r w:rsidR="00972F68" w:rsidRPr="00862FDD">
        <w:rPr>
          <w:rStyle w:val="Emphasis"/>
          <w:bCs w:val="0"/>
          <w:i/>
          <w:iCs/>
          <w:color w:val="984806" w:themeColor="accent6" w:themeShade="80"/>
          <w:spacing w:val="0"/>
          <w:sz w:val="21"/>
          <w:szCs w:val="21"/>
        </w:rPr>
        <w:t>sophisticatio</w:t>
      </w:r>
      <w:r w:rsidR="00972F68">
        <w:rPr>
          <w:rStyle w:val="Emphasis"/>
          <w:bCs w:val="0"/>
          <w:i/>
          <w:iCs/>
          <w:color w:val="984806" w:themeColor="accent6" w:themeShade="80"/>
          <w:spacing w:val="0"/>
          <w:sz w:val="21"/>
          <w:szCs w:val="21"/>
        </w:rPr>
        <w:t>n.”</w:t>
      </w:r>
      <w:r w:rsidR="00602174" w:rsidRPr="00862FDD">
        <w:rPr>
          <w:rStyle w:val="Emphasis"/>
          <w:bCs w:val="0"/>
          <w:i/>
          <w:iCs/>
          <w:color w:val="984806" w:themeColor="accent6" w:themeShade="80"/>
          <w:spacing w:val="0"/>
          <w:sz w:val="21"/>
          <w:szCs w:val="21"/>
        </w:rPr>
        <w:tab/>
      </w:r>
      <w:r w:rsidR="00EC6B2C">
        <w:rPr>
          <w:rStyle w:val="Emphasis"/>
          <w:bCs w:val="0"/>
          <w:i/>
          <w:iCs/>
          <w:color w:val="984806" w:themeColor="accent6" w:themeShade="80"/>
          <w:spacing w:val="0"/>
          <w:sz w:val="21"/>
          <w:szCs w:val="21"/>
        </w:rPr>
        <w:t xml:space="preserve"> </w:t>
      </w:r>
      <w:r w:rsidR="008A6473">
        <w:rPr>
          <w:rStyle w:val="Emphasis"/>
          <w:bCs w:val="0"/>
          <w:i/>
          <w:iCs/>
          <w:color w:val="984806" w:themeColor="accent6" w:themeShade="80"/>
          <w:spacing w:val="0"/>
          <w:sz w:val="21"/>
          <w:szCs w:val="21"/>
        </w:rPr>
        <w:t xml:space="preserve"> </w:t>
      </w:r>
      <w:r w:rsidR="00602174" w:rsidRPr="00862FDD">
        <w:rPr>
          <w:rStyle w:val="Emphasis"/>
          <w:bCs w:val="0"/>
          <w:i/>
          <w:iCs/>
          <w:color w:val="984806" w:themeColor="accent6" w:themeShade="80"/>
          <w:spacing w:val="0"/>
          <w:sz w:val="21"/>
          <w:szCs w:val="21"/>
        </w:rPr>
        <w:t>answer</w:t>
      </w:r>
      <w:r w:rsidR="007C4508" w:rsidRPr="00862FDD">
        <w:rPr>
          <w:rStyle w:val="Emphasis"/>
          <w:bCs w:val="0"/>
          <w:i/>
          <w:iCs/>
          <w:color w:val="984806" w:themeColor="accent6" w:themeShade="80"/>
          <w:spacing w:val="0"/>
          <w:sz w:val="21"/>
          <w:szCs w:val="21"/>
        </w:rPr>
        <w:t xml:space="preserve"> that </w:t>
      </w:r>
      <w:r w:rsidR="00972F68">
        <w:rPr>
          <w:rStyle w:val="Emphasis"/>
          <w:bCs w:val="0"/>
          <w:i/>
          <w:iCs/>
          <w:color w:val="984806" w:themeColor="accent6" w:themeShade="80"/>
          <w:spacing w:val="0"/>
          <w:sz w:val="21"/>
          <w:szCs w:val="21"/>
        </w:rPr>
        <w:t>is clear, simple</w:t>
      </w:r>
      <w:r w:rsidR="00C70573">
        <w:rPr>
          <w:rStyle w:val="Emphasis"/>
          <w:bCs w:val="0"/>
          <w:i/>
          <w:iCs/>
          <w:color w:val="984806" w:themeColor="accent6" w:themeShade="80"/>
          <w:spacing w:val="0"/>
          <w:sz w:val="21"/>
          <w:szCs w:val="21"/>
        </w:rPr>
        <w:t>…and wrong.”</w:t>
      </w:r>
      <w:r w:rsidR="00260BAB">
        <w:rPr>
          <w:rStyle w:val="Emphasis"/>
          <w:bCs w:val="0"/>
          <w:i/>
          <w:iCs/>
          <w:color w:val="984806" w:themeColor="accent6" w:themeShade="80"/>
          <w:spacing w:val="0"/>
          <w:sz w:val="21"/>
          <w:szCs w:val="21"/>
        </w:rPr>
        <w:br/>
      </w:r>
      <w:r w:rsidR="00EC6B2C">
        <w:rPr>
          <w:rStyle w:val="Emphasis"/>
          <w:bCs w:val="0"/>
          <w:i/>
          <w:iCs/>
          <w:color w:val="984806" w:themeColor="accent6" w:themeShade="80"/>
          <w:spacing w:val="0"/>
          <w:sz w:val="21"/>
          <w:szCs w:val="21"/>
        </w:rPr>
        <w:tab/>
      </w:r>
      <w:r w:rsidR="00260BAB">
        <w:rPr>
          <w:rStyle w:val="Emphasis"/>
          <w:bCs w:val="0"/>
          <w:i/>
          <w:iCs/>
          <w:color w:val="984806" w:themeColor="accent6" w:themeShade="80"/>
          <w:spacing w:val="0"/>
          <w:sz w:val="21"/>
          <w:szCs w:val="21"/>
        </w:rPr>
        <w:t>-</w:t>
      </w:r>
      <w:r w:rsidR="0086565A">
        <w:rPr>
          <w:rStyle w:val="Emphasis"/>
          <w:bCs w:val="0"/>
          <w:i/>
          <w:iCs/>
          <w:color w:val="984806" w:themeColor="accent6" w:themeShade="80"/>
          <w:spacing w:val="0"/>
          <w:sz w:val="21"/>
          <w:szCs w:val="21"/>
        </w:rPr>
        <w:tab/>
      </w:r>
      <w:r w:rsidR="005919DB" w:rsidRPr="00862FDD">
        <w:rPr>
          <w:rStyle w:val="Emphasis"/>
          <w:bCs w:val="0"/>
          <w:i/>
          <w:iCs/>
          <w:color w:val="984806" w:themeColor="accent6" w:themeShade="80"/>
          <w:spacing w:val="0"/>
          <w:sz w:val="21"/>
          <w:szCs w:val="21"/>
        </w:rPr>
        <w:t>Niklaus Wirth</w:t>
      </w:r>
      <w:r w:rsidR="007C613C">
        <w:rPr>
          <w:rStyle w:val="Emphasis"/>
          <w:bCs w:val="0"/>
          <w:i/>
          <w:iCs/>
          <w:color w:val="984806" w:themeColor="accent6" w:themeShade="80"/>
          <w:spacing w:val="0"/>
          <w:sz w:val="21"/>
          <w:szCs w:val="21"/>
        </w:rPr>
        <w:t>,</w:t>
      </w:r>
      <w:r w:rsidR="00260BAB">
        <w:rPr>
          <w:rStyle w:val="Emphasis"/>
          <w:bCs w:val="0"/>
          <w:i/>
          <w:iCs/>
          <w:color w:val="984806" w:themeColor="accent6" w:themeShade="80"/>
          <w:spacing w:val="0"/>
          <w:sz w:val="21"/>
          <w:szCs w:val="21"/>
        </w:rPr>
        <w:tab/>
      </w:r>
      <w:r w:rsidR="00C70573">
        <w:rPr>
          <w:rStyle w:val="Emphasis"/>
          <w:bCs w:val="0"/>
          <w:i/>
          <w:iCs/>
          <w:color w:val="984806" w:themeColor="accent6" w:themeShade="80"/>
          <w:spacing w:val="0"/>
          <w:sz w:val="21"/>
          <w:szCs w:val="21"/>
        </w:rPr>
        <w:tab/>
      </w:r>
      <w:r w:rsidR="00C70573">
        <w:rPr>
          <w:rStyle w:val="Emphasis"/>
          <w:bCs w:val="0"/>
          <w:i/>
          <w:iCs/>
          <w:color w:val="984806" w:themeColor="accent6" w:themeShade="80"/>
          <w:spacing w:val="0"/>
          <w:sz w:val="21"/>
          <w:szCs w:val="21"/>
        </w:rPr>
        <w:tab/>
      </w:r>
      <w:r w:rsidR="00260BAB" w:rsidRPr="00862FDD">
        <w:rPr>
          <w:rStyle w:val="Emphasis"/>
          <w:bCs w:val="0"/>
          <w:i/>
          <w:iCs/>
          <w:color w:val="984806" w:themeColor="accent6" w:themeShade="80"/>
          <w:spacing w:val="0"/>
          <w:sz w:val="21"/>
          <w:szCs w:val="21"/>
        </w:rPr>
        <w:t>-</w:t>
      </w:r>
      <w:r w:rsidR="00F30BF3">
        <w:rPr>
          <w:rStyle w:val="Emphasis"/>
          <w:bCs w:val="0"/>
          <w:i/>
          <w:iCs/>
          <w:color w:val="984806" w:themeColor="accent6" w:themeShade="80"/>
          <w:spacing w:val="0"/>
          <w:sz w:val="21"/>
          <w:szCs w:val="21"/>
        </w:rPr>
        <w:tab/>
      </w:r>
      <w:r w:rsidR="00260BAB" w:rsidRPr="00862FDD">
        <w:rPr>
          <w:rStyle w:val="Emphasis"/>
          <w:bCs w:val="0"/>
          <w:i/>
          <w:iCs/>
          <w:color w:val="984806" w:themeColor="accent6" w:themeShade="80"/>
          <w:spacing w:val="0"/>
          <w:sz w:val="21"/>
          <w:szCs w:val="21"/>
        </w:rPr>
        <w:t>H. L. Mencken</w:t>
      </w:r>
      <w:r w:rsidR="00260BAB">
        <w:rPr>
          <w:rStyle w:val="Emphasis"/>
          <w:bCs w:val="0"/>
          <w:i/>
          <w:iCs/>
          <w:color w:val="984806" w:themeColor="accent6" w:themeShade="80"/>
          <w:spacing w:val="0"/>
          <w:sz w:val="21"/>
          <w:szCs w:val="21"/>
        </w:rPr>
        <w:t>,</w:t>
      </w:r>
      <w:r w:rsidR="00260BAB">
        <w:rPr>
          <w:rStyle w:val="Emphasis"/>
          <w:bCs w:val="0"/>
          <w:i/>
          <w:iCs/>
          <w:color w:val="984806" w:themeColor="accent6" w:themeShade="80"/>
          <w:spacing w:val="0"/>
          <w:sz w:val="21"/>
          <w:szCs w:val="21"/>
        </w:rPr>
        <w:br/>
      </w:r>
      <w:r w:rsidR="00C70573">
        <w:rPr>
          <w:rStyle w:val="Emphasis"/>
          <w:bCs w:val="0"/>
          <w:i/>
          <w:iCs/>
          <w:color w:val="984806" w:themeColor="accent6" w:themeShade="80"/>
          <w:spacing w:val="0"/>
          <w:sz w:val="21"/>
          <w:szCs w:val="21"/>
        </w:rPr>
        <w:tab/>
      </w:r>
      <w:r w:rsidR="0086565A">
        <w:rPr>
          <w:rStyle w:val="Emphasis"/>
          <w:bCs w:val="0"/>
          <w:i/>
          <w:iCs/>
          <w:color w:val="984806" w:themeColor="accent6" w:themeShade="80"/>
          <w:spacing w:val="0"/>
          <w:sz w:val="21"/>
          <w:szCs w:val="21"/>
        </w:rPr>
        <w:tab/>
      </w:r>
      <w:r w:rsidR="007C613C">
        <w:rPr>
          <w:rStyle w:val="Emphasis"/>
          <w:bCs w:val="0"/>
          <w:i/>
          <w:iCs/>
          <w:color w:val="984806" w:themeColor="accent6" w:themeShade="80"/>
          <w:spacing w:val="0"/>
          <w:sz w:val="21"/>
          <w:szCs w:val="21"/>
        </w:rPr>
        <w:t xml:space="preserve">Renowned </w:t>
      </w:r>
      <w:r w:rsidR="00260BAB">
        <w:rPr>
          <w:rStyle w:val="Emphasis"/>
          <w:bCs w:val="0"/>
          <w:i/>
          <w:iCs/>
          <w:color w:val="984806" w:themeColor="accent6" w:themeShade="80"/>
          <w:spacing w:val="0"/>
          <w:sz w:val="21"/>
          <w:szCs w:val="21"/>
        </w:rPr>
        <w:t>Swiss Computer Scientist</w:t>
      </w:r>
      <w:r w:rsidR="00260BAB">
        <w:rPr>
          <w:rStyle w:val="Emphasis"/>
          <w:bCs w:val="0"/>
          <w:i/>
          <w:iCs/>
          <w:color w:val="984806" w:themeColor="accent6" w:themeShade="80"/>
          <w:spacing w:val="0"/>
          <w:sz w:val="21"/>
          <w:szCs w:val="21"/>
        </w:rPr>
        <w:tab/>
      </w:r>
      <w:r w:rsidR="007C613C">
        <w:rPr>
          <w:rStyle w:val="Emphasis"/>
          <w:bCs w:val="0"/>
          <w:i/>
          <w:iCs/>
          <w:color w:val="984806" w:themeColor="accent6" w:themeShade="80"/>
          <w:spacing w:val="0"/>
          <w:sz w:val="21"/>
          <w:szCs w:val="21"/>
        </w:rPr>
        <w:tab/>
      </w:r>
      <w:r w:rsidR="00EC6B2C">
        <w:rPr>
          <w:rStyle w:val="Emphasis"/>
          <w:bCs w:val="0"/>
          <w:i/>
          <w:iCs/>
          <w:color w:val="984806" w:themeColor="accent6" w:themeShade="80"/>
          <w:spacing w:val="0"/>
          <w:sz w:val="21"/>
          <w:szCs w:val="21"/>
        </w:rPr>
        <w:tab/>
      </w:r>
      <w:r w:rsidR="00F30BF3">
        <w:rPr>
          <w:rStyle w:val="Emphasis"/>
          <w:bCs w:val="0"/>
          <w:i/>
          <w:iCs/>
          <w:color w:val="984806" w:themeColor="accent6" w:themeShade="80"/>
          <w:spacing w:val="0"/>
          <w:sz w:val="21"/>
          <w:szCs w:val="21"/>
        </w:rPr>
        <w:tab/>
      </w:r>
      <w:r w:rsidR="007C613C">
        <w:rPr>
          <w:rStyle w:val="Emphasis"/>
          <w:bCs w:val="0"/>
          <w:i/>
          <w:iCs/>
          <w:color w:val="984806" w:themeColor="accent6" w:themeShade="80"/>
          <w:spacing w:val="0"/>
          <w:sz w:val="21"/>
          <w:szCs w:val="21"/>
        </w:rPr>
        <w:t>American Political Journalist</w:t>
      </w:r>
    </w:p>
    <w:p w14:paraId="3926D297" w14:textId="77777777" w:rsidR="00C44E63" w:rsidRPr="00C44E63" w:rsidRDefault="00C44E63" w:rsidP="002476FD">
      <w:pPr>
        <w:pStyle w:val="NoSpacing"/>
      </w:pPr>
    </w:p>
    <w:p w14:paraId="2169C7FE" w14:textId="1FFCF869" w:rsidR="00757407" w:rsidRPr="00485FE5" w:rsidRDefault="00757407" w:rsidP="00B1367E">
      <w:pPr>
        <w:rPr>
          <w:b/>
        </w:rPr>
      </w:pPr>
      <w:r w:rsidRPr="00485FE5">
        <w:t>Across states, it seems clear that almost any reimbursement model feels complex and difficult to fully understand for those not familiar with it: particularly for those not paying or being paid in the model. The reality is that while it is challenging for all parties to understand and adjust to a new reimbursement model (regardless of whether it’s thought to be simpl</w:t>
      </w:r>
      <w:r w:rsidR="008A2E67">
        <w:t>e</w:t>
      </w:r>
      <w:r w:rsidRPr="00485FE5">
        <w:t xml:space="preserve"> or complex), after a period of time “in the model</w:t>
      </w:r>
      <w:r w:rsidR="00335E2C">
        <w:t>,</w:t>
      </w:r>
      <w:r w:rsidRPr="00485FE5">
        <w:t xml:space="preserve">” </w:t>
      </w:r>
      <w:r w:rsidR="00335E2C">
        <w:t xml:space="preserve">it </w:t>
      </w:r>
      <w:r w:rsidRPr="00485FE5">
        <w:t xml:space="preserve">becomes second nature for those involved. </w:t>
      </w:r>
      <w:r w:rsidRPr="00485FE5">
        <w:rPr>
          <w:b/>
        </w:rPr>
        <w:t>The inevitable challenges with transitioning to a new reimbursement model (the learning curve) should not lead to the development of models that prioritize simplicity over the achievement of fairness, effectiveness, and cost-effectiveness</w:t>
      </w:r>
      <w:r w:rsidR="005043F4">
        <w:rPr>
          <w:b/>
        </w:rPr>
        <w:t xml:space="preserve">. </w:t>
      </w:r>
    </w:p>
    <w:p w14:paraId="722A2CA5" w14:textId="77777777" w:rsidR="006012B4" w:rsidRPr="00F40F89" w:rsidRDefault="006012B4" w:rsidP="006012B4">
      <w:r w:rsidRPr="00F40F89">
        <w:rPr>
          <w:b/>
        </w:rPr>
        <w:t xml:space="preserve">Fairness: </w:t>
      </w:r>
      <w:r w:rsidRPr="00F40F89">
        <w:t>The concept of fairness is primarily about addressing risk adjustment in reimbursement models and payment structures in order to ensure providers who serve individuals with disabilities who have the highest challenges, or who are at the most challenging points in the process, are appropriately rewarded and compensated for doing this. In a system where we lack sufficient capacity, it is attractive and relatively easy to “cherry pick” from the crowd of people who need assistance to achieve competitive integrated employment, valued social roles in their communities</w:t>
      </w:r>
      <w:r w:rsidR="00394062">
        <w:t>,</w:t>
      </w:r>
      <w:r w:rsidRPr="00F40F89">
        <w:t xml:space="preserve"> and an ability to live where and with whom they wish – this latter goal made possible largely through achievement of the two former goals. When we focus reimbursement methodologies and payment structures on outcomes, building in this kind of risk adjustment is imperative. Often, simple reimbursement models fail to do this. In competitive integrated employment, we see payment rates that aren’t adjusted based on the level of challenge to serve the person, and that aren’t adjusted to reflect differences in the number of hours people supported may work, as two common examples. </w:t>
      </w:r>
    </w:p>
    <w:p w14:paraId="56FF99D2" w14:textId="1AE82B0B" w:rsidR="00757407" w:rsidRPr="00485FE5" w:rsidRDefault="00757407" w:rsidP="00B1367E">
      <w:r w:rsidRPr="00485FE5">
        <w:t xml:space="preserve">Risk adjustment is a basic principle in healthcare that </w:t>
      </w:r>
      <w:r w:rsidR="008A2E67">
        <w:t>“</w:t>
      </w:r>
      <w:r w:rsidRPr="00485FE5">
        <w:t>adjusts</w:t>
      </w:r>
      <w:r w:rsidR="008A2E67">
        <w:t>”</w:t>
      </w:r>
      <w:r w:rsidRPr="00485FE5">
        <w:t xml:space="preserve"> payments to insurers based on the assumption that individuals with more significant healthcare conditions will cost more to serve than the typical population that is served</w:t>
      </w:r>
      <w:r w:rsidR="005043F4">
        <w:t xml:space="preserve">. </w:t>
      </w:r>
      <w:r w:rsidRPr="00485FE5">
        <w:t>Since outcome-based reimbursement models (as opposed to fee-for-service) typically involve a risk-based component for providers of service, the primary message here is that an effective reimbursement model and payment structure must factor this into the design</w:t>
      </w:r>
      <w:r w:rsidR="005043F4">
        <w:t xml:space="preserve">. </w:t>
      </w:r>
    </w:p>
    <w:p w14:paraId="26BCEC13" w14:textId="60F3A7AA" w:rsidR="00757407" w:rsidRPr="00485FE5" w:rsidRDefault="00757407" w:rsidP="00B1367E">
      <w:r w:rsidRPr="00485FE5">
        <w:rPr>
          <w:b/>
        </w:rPr>
        <w:t>Effectiveness</w:t>
      </w:r>
      <w:r w:rsidR="008C4BED">
        <w:rPr>
          <w:b/>
        </w:rPr>
        <w:t xml:space="preserve">: </w:t>
      </w:r>
      <w:r w:rsidRPr="00485FE5">
        <w:t>The concept of effectiveness largely concerns the question of whether the reimbursement model and payment structure can produce the desired outcomes, which go beyond simply measuring whether more people are using and receiving the services</w:t>
      </w:r>
      <w:r w:rsidR="005043F4">
        <w:t xml:space="preserve">. </w:t>
      </w:r>
      <w:r w:rsidRPr="00485FE5">
        <w:t xml:space="preserve">Outcomes that matter in advancing </w:t>
      </w:r>
      <w:r w:rsidR="00172983">
        <w:t xml:space="preserve">Competitive Integrated Employment and </w:t>
      </w:r>
      <w:r w:rsidRPr="00485FE5">
        <w:t xml:space="preserve">Employment First often include one or more of the following: </w:t>
      </w:r>
    </w:p>
    <w:p w14:paraId="38B96620" w14:textId="77777777" w:rsidR="00757407" w:rsidRPr="00485FE5" w:rsidRDefault="00757407" w:rsidP="00AB27FD">
      <w:pPr>
        <w:pStyle w:val="ListBullet"/>
      </w:pPr>
      <w:r w:rsidRPr="00485FE5">
        <w:t>Are more people working?</w:t>
      </w:r>
    </w:p>
    <w:p w14:paraId="3B8FAF91" w14:textId="77777777" w:rsidR="00757407" w:rsidRPr="00485FE5" w:rsidRDefault="00757407" w:rsidP="00AB27FD">
      <w:pPr>
        <w:pStyle w:val="ListBullet"/>
      </w:pPr>
      <w:r w:rsidRPr="00485FE5">
        <w:t xml:space="preserve">Are people who have typically been working now working higher hours? </w:t>
      </w:r>
    </w:p>
    <w:p w14:paraId="124F34A1" w14:textId="77777777" w:rsidR="00757407" w:rsidRPr="00485FE5" w:rsidRDefault="00757407" w:rsidP="00AB27FD">
      <w:pPr>
        <w:pStyle w:val="ListBullet"/>
      </w:pPr>
      <w:r w:rsidRPr="00485FE5">
        <w:t xml:space="preserve">Are </w:t>
      </w:r>
      <w:r w:rsidR="008A382A">
        <w:t>fewer</w:t>
      </w:r>
      <w:r w:rsidR="008A382A" w:rsidRPr="00485FE5">
        <w:t xml:space="preserve"> </w:t>
      </w:r>
      <w:r w:rsidRPr="00485FE5">
        <w:t xml:space="preserve">people losing their jobs for preventable reasons? </w:t>
      </w:r>
    </w:p>
    <w:p w14:paraId="03A2CDFF" w14:textId="77777777" w:rsidR="00757407" w:rsidRPr="00485FE5" w:rsidRDefault="00757407" w:rsidP="00AB27FD">
      <w:pPr>
        <w:pStyle w:val="ListBullet"/>
      </w:pPr>
      <w:r w:rsidRPr="00485FE5">
        <w:lastRenderedPageBreak/>
        <w:t>Are people who are working able to work more independently as they hold their jobs for longer periods?</w:t>
      </w:r>
    </w:p>
    <w:p w14:paraId="17C56A62" w14:textId="77777777" w:rsidR="00757407" w:rsidRPr="00485FE5" w:rsidRDefault="00757407" w:rsidP="00AB27FD">
      <w:pPr>
        <w:pStyle w:val="ListBullet"/>
      </w:pPr>
      <w:r w:rsidRPr="00485FE5">
        <w:t>Are people who are working able to earn increasingly more as they hold their jobs for longer periods?</w:t>
      </w:r>
    </w:p>
    <w:p w14:paraId="0B8EF4AA" w14:textId="77777777" w:rsidR="00757407" w:rsidRPr="008A382A" w:rsidRDefault="00757407" w:rsidP="00AB27FD">
      <w:pPr>
        <w:pStyle w:val="ListBullet"/>
      </w:pPr>
      <w:r w:rsidRPr="008A382A">
        <w:t>Are more people, not yet working, making an informed choice about working?</w:t>
      </w:r>
    </w:p>
    <w:p w14:paraId="064CE70B" w14:textId="77777777" w:rsidR="00AB27FD" w:rsidRPr="008A382A" w:rsidRDefault="00757407" w:rsidP="00F7360C">
      <w:pPr>
        <w:pStyle w:val="ListBullet"/>
      </w:pPr>
      <w:r w:rsidRPr="008A382A">
        <w:t>Are more people, not yet working, choosing to establish a goal to seek work?</w:t>
      </w:r>
    </w:p>
    <w:p w14:paraId="4F4836D6" w14:textId="3C46D0A0" w:rsidR="00757407" w:rsidRPr="00485FE5" w:rsidRDefault="00757407" w:rsidP="00757407">
      <w:pPr>
        <w:pStyle w:val="ListParagraph"/>
        <w:ind w:left="0"/>
      </w:pPr>
      <w:r w:rsidRPr="00485FE5">
        <w:t xml:space="preserve">As value-based purchasing increasingly takes center stage, the importance of public investments leading to certain measurable and desirable outcomes is becoming paramount. </w:t>
      </w:r>
      <w:r w:rsidRPr="008B58B9">
        <w:t>No longer is a public investment</w:t>
      </w:r>
      <w:r w:rsidR="008B58B9" w:rsidRPr="008B58B9">
        <w:t xml:space="preserve"> considered a wise investment</w:t>
      </w:r>
      <w:r w:rsidRPr="008B58B9">
        <w:t xml:space="preserve"> </w:t>
      </w:r>
      <w:r w:rsidR="008B58B9">
        <w:t>when it</w:t>
      </w:r>
      <w:r w:rsidRPr="008B58B9">
        <w:t xml:space="preserve"> results in service delivery</w:t>
      </w:r>
      <w:r w:rsidR="00FC6560">
        <w:t>,</w:t>
      </w:r>
      <w:r w:rsidRPr="008B58B9">
        <w:t xml:space="preserve"> but does not also produce desired outcomes</w:t>
      </w:r>
      <w:r w:rsidR="005043F4">
        <w:t xml:space="preserve">. </w:t>
      </w:r>
      <w:r w:rsidRPr="00485FE5">
        <w:t>A new reimbursement methodology or payment structure that is too simple in its design often ends up leaving one or more incentives or disincentives to achieving the desired outcomes unaddressed, thus compromising the overall impact the new model ultimately has.</w:t>
      </w:r>
    </w:p>
    <w:p w14:paraId="206C7F2B" w14:textId="088CF360" w:rsidR="00757407" w:rsidRPr="00485FE5" w:rsidRDefault="00757407" w:rsidP="00757407">
      <w:pPr>
        <w:pStyle w:val="ListParagraph"/>
        <w:ind w:left="0"/>
      </w:pPr>
      <w:r w:rsidRPr="00485FE5">
        <w:rPr>
          <w:b/>
        </w:rPr>
        <w:t>Cost-Effectiveness</w:t>
      </w:r>
      <w:r w:rsidR="008C4BED">
        <w:rPr>
          <w:b/>
        </w:rPr>
        <w:t xml:space="preserve">: </w:t>
      </w:r>
      <w:r w:rsidRPr="00485FE5">
        <w:t>Warren Buffet once said: “</w:t>
      </w:r>
      <w:r w:rsidRPr="008A29C1">
        <w:rPr>
          <w:i/>
          <w:iCs/>
        </w:rPr>
        <w:t>Cost is what you pay</w:t>
      </w:r>
      <w:r w:rsidR="00237C2B" w:rsidRPr="008A29C1">
        <w:rPr>
          <w:i/>
          <w:iCs/>
        </w:rPr>
        <w:t>;</w:t>
      </w:r>
      <w:r w:rsidRPr="008A29C1">
        <w:rPr>
          <w:i/>
          <w:iCs/>
        </w:rPr>
        <w:t xml:space="preserve"> value is what you get</w:t>
      </w:r>
      <w:r w:rsidRPr="00485FE5">
        <w:t>.”</w:t>
      </w:r>
      <w:r w:rsidR="000E4CAB">
        <w:t xml:space="preserve"> </w:t>
      </w:r>
      <w:r w:rsidRPr="00485FE5">
        <w:t>This profound yet simple quotation reminds us of the critical difference between a service that is low-cost and a service that is truly cost-effective. When something is cost-effective, it is said to produce the highest value in relation to the investment made. This helps explain why something that is the most cost-effective may not always be the lowest cost option available. Instead, cost-effectiveness can only be determined by comparing the amount of the investment and the value that resulted from the investment, and then</w:t>
      </w:r>
      <w:r w:rsidR="00AC1F60">
        <w:t>—</w:t>
      </w:r>
      <w:r w:rsidRPr="00485FE5">
        <w:t>among options</w:t>
      </w:r>
      <w:r w:rsidR="00AC1F60">
        <w:t>—</w:t>
      </w:r>
      <w:r w:rsidRPr="00485FE5">
        <w:t>identifying the one that returned the greatest value proportionate to the investment. This isn’t to say that cost-effectiveness is therefore not relevant for systems or programs with limited resources</w:t>
      </w:r>
      <w:r w:rsidR="0037194D">
        <w:t xml:space="preserve">. </w:t>
      </w:r>
      <w:r w:rsidRPr="00485FE5">
        <w:t>On the contrary, measuring cost-effectiveness is critical to help systems and programs with limited resources understand which investments best maximize desired outcomes</w:t>
      </w:r>
      <w:r w:rsidR="008C4BED">
        <w:t xml:space="preserve">: </w:t>
      </w:r>
      <w:r w:rsidRPr="00485FE5">
        <w:t>in other words, which expenditure gets the “biggest bang for the buck</w:t>
      </w:r>
      <w:r w:rsidR="00344B9C">
        <w:t>.”</w:t>
      </w:r>
      <w:r w:rsidRPr="00485FE5">
        <w:t xml:space="preserve"> There is an assumption that a </w:t>
      </w:r>
      <w:r w:rsidR="0035488E">
        <w:t>larger</w:t>
      </w:r>
      <w:r w:rsidRPr="00485FE5">
        <w:t xml:space="preserve"> investment might be justified and made if the return on that investment is proportionately higher than what a </w:t>
      </w:r>
      <w:r w:rsidR="0035488E">
        <w:t xml:space="preserve">smaller </w:t>
      </w:r>
      <w:r w:rsidRPr="00485FE5">
        <w:t xml:space="preserve">investment would have produced. However, the critical focus on cost-effectiveness ensures that the principles of fairness and effectiveness discussed above are not considered in isolation. It further ensures that the measure of success for a new reimbursement methodology or payment model is not simply whether more money is being spent on certain types of services. </w:t>
      </w:r>
      <w:r w:rsidRPr="00C81096">
        <w:t>It’s critically important that changes in overall investments are not looked at in a simplistic way</w:t>
      </w:r>
      <w:r w:rsidR="00FC6560">
        <w:t>,</w:t>
      </w:r>
      <w:r w:rsidRPr="00C81096">
        <w:t xml:space="preserve"> but instead are understood in terms of changes in the average, per person costs, recognizing the value of growth in overall spending if it is proportionate with an increase in the number of people receiving the services</w:t>
      </w:r>
      <w:r w:rsidRPr="00485FE5">
        <w:t xml:space="preserve">. Additionally, changes in overall investments should consider </w:t>
      </w:r>
      <w:r w:rsidR="00B309A8">
        <w:t xml:space="preserve">the </w:t>
      </w:r>
      <w:r w:rsidRPr="00485FE5">
        <w:t>average cost per outcome (</w:t>
      </w:r>
      <w:r w:rsidR="00023280">
        <w:t xml:space="preserve">e.g., </w:t>
      </w:r>
      <w:r w:rsidRPr="00485FE5">
        <w:t xml:space="preserve">the outcome-based unit, such as an hour worked or a dollar earned). </w:t>
      </w:r>
    </w:p>
    <w:p w14:paraId="7D575CC6" w14:textId="77777777" w:rsidR="00757407" w:rsidRPr="00BE4F46" w:rsidRDefault="00757407" w:rsidP="00B11115">
      <w:pPr>
        <w:pStyle w:val="Heading4"/>
      </w:pPr>
      <w:r w:rsidRPr="00BE4F46">
        <w:t>Principle #10:</w:t>
      </w:r>
      <w:r w:rsidR="00AB27FD" w:rsidRPr="00BE4F46">
        <w:t xml:space="preserve"> </w:t>
      </w:r>
      <w:r w:rsidRPr="00BE4F46">
        <w:t xml:space="preserve">If the Effort is Worth Undertaking, It’s Worth Doing It Right </w:t>
      </w:r>
      <w:r w:rsidR="00952600" w:rsidRPr="00BE4F46">
        <w:t>R</w:t>
      </w:r>
      <w:r w:rsidRPr="00BE4F46">
        <w:t>ather than Knowingly Shortchanging the Process.</w:t>
      </w:r>
    </w:p>
    <w:p w14:paraId="1B8F1510" w14:textId="77777777" w:rsidR="00AB27FD" w:rsidRDefault="00AB27FD" w:rsidP="002476FD">
      <w:pPr>
        <w:pStyle w:val="NoSpacing"/>
      </w:pPr>
    </w:p>
    <w:p w14:paraId="5B27C779" w14:textId="77777777" w:rsidR="00757407" w:rsidRPr="00FC14D7" w:rsidRDefault="00757407" w:rsidP="00972F68">
      <w:pPr>
        <w:pStyle w:val="Quote"/>
        <w:ind w:left="1440"/>
        <w:rPr>
          <w:sz w:val="21"/>
          <w:szCs w:val="21"/>
        </w:rPr>
      </w:pPr>
      <w:r w:rsidRPr="00FC14D7">
        <w:rPr>
          <w:sz w:val="21"/>
          <w:szCs w:val="21"/>
        </w:rPr>
        <w:t>“Details matter. It’s worth waiting to get it right.”</w:t>
      </w:r>
    </w:p>
    <w:p w14:paraId="201C63CC" w14:textId="77777777" w:rsidR="00757407" w:rsidRPr="00FC14D7" w:rsidRDefault="007B77C5" w:rsidP="00972F68">
      <w:pPr>
        <w:pStyle w:val="Quote"/>
        <w:ind w:left="1440" w:firstLine="3780"/>
        <w:rPr>
          <w:sz w:val="21"/>
          <w:szCs w:val="21"/>
        </w:rPr>
      </w:pPr>
      <w:r>
        <w:rPr>
          <w:sz w:val="21"/>
          <w:szCs w:val="21"/>
        </w:rPr>
        <w:t xml:space="preserve">- </w:t>
      </w:r>
      <w:r w:rsidR="00757407" w:rsidRPr="00FC14D7">
        <w:rPr>
          <w:sz w:val="21"/>
          <w:szCs w:val="21"/>
        </w:rPr>
        <w:t>Steve Jobs</w:t>
      </w:r>
    </w:p>
    <w:p w14:paraId="7C2D3FBB" w14:textId="77777777" w:rsidR="007B77C5" w:rsidRDefault="007B77C5" w:rsidP="002476FD">
      <w:pPr>
        <w:pStyle w:val="NoSpacing"/>
      </w:pPr>
    </w:p>
    <w:p w14:paraId="6EF2D2BB" w14:textId="69C26DBD" w:rsidR="00757407" w:rsidRPr="00485FE5" w:rsidRDefault="00757407" w:rsidP="00B1367E">
      <w:r w:rsidRPr="00485FE5">
        <w:t>Sometimes, in the process of devising a new reimbursement methodology and payment structure, the work involved in “getting it right” can seem like too much effort or something that requires too much time</w:t>
      </w:r>
      <w:r w:rsidR="005043F4">
        <w:t xml:space="preserve">. </w:t>
      </w:r>
      <w:r w:rsidRPr="00485FE5">
        <w:t xml:space="preserve">Leaders or others involved may lack the “staying power” to plow through the very challenging aspects of defining a better reimbursement methodology or payment structure, especially working to </w:t>
      </w:r>
      <w:r w:rsidRPr="00485FE5">
        <w:lastRenderedPageBreak/>
        <w:t xml:space="preserve">achieve consensus with stakeholders. Sometimes, there may be a reluctance to do the billing/claims systems and information technology work necessary to implement a better reimbursement methodology or payment structure. Other times, there may be a reluctance to do anything that may require seeking the approval of the federal government or state </w:t>
      </w:r>
      <w:r w:rsidR="00913BBA" w:rsidRPr="00485FE5">
        <w:t>legislature or</w:t>
      </w:r>
      <w:r w:rsidRPr="00485FE5">
        <w:t xml:space="preserve"> promulgating new administrative rule or code changes to advance Employment First through a new reimbursement methodology or payment structure</w:t>
      </w:r>
      <w:r w:rsidR="00023280">
        <w:t>.</w:t>
      </w:r>
    </w:p>
    <w:p w14:paraId="1C8BC320" w14:textId="77777777" w:rsidR="00757407" w:rsidRPr="00485FE5" w:rsidRDefault="00757407" w:rsidP="00B1367E">
      <w:r w:rsidRPr="00485FE5">
        <w:t>A few strategies that can be built into the process to “get change right” include:</w:t>
      </w:r>
    </w:p>
    <w:p w14:paraId="38C9549A" w14:textId="77777777" w:rsidR="00757407" w:rsidRPr="00485FE5" w:rsidRDefault="00757407" w:rsidP="00AB27FD">
      <w:pPr>
        <w:pStyle w:val="ListBullet"/>
      </w:pPr>
      <w:r w:rsidRPr="00485FE5">
        <w:t>Piloting all or a portion of the changes proposed with willing providers who are interested in seeing the impact of a different reimbursement methodology and payment structure on the way they deliver services and their costs of doing business.</w:t>
      </w:r>
    </w:p>
    <w:p w14:paraId="1EBF77B5" w14:textId="77777777" w:rsidR="00757407" w:rsidRPr="00485FE5" w:rsidRDefault="00757407" w:rsidP="00AB27FD">
      <w:pPr>
        <w:pStyle w:val="ListBullet"/>
      </w:pPr>
      <w:r w:rsidRPr="00485FE5">
        <w:t xml:space="preserve">Allowing a </w:t>
      </w:r>
      <w:r w:rsidR="00BD1A65">
        <w:t>length</w:t>
      </w:r>
      <w:r w:rsidR="00BD1A65" w:rsidRPr="00485FE5">
        <w:t xml:space="preserve"> </w:t>
      </w:r>
      <w:r w:rsidRPr="00485FE5">
        <w:t>of time where providers experience “side-by-side billing” which allows them to continue delivering services while being able to compare their reimbursements under both the current and proposed reimbursement structures.</w:t>
      </w:r>
    </w:p>
    <w:p w14:paraId="3260137A" w14:textId="77777777" w:rsidR="00757407" w:rsidRPr="00485FE5" w:rsidRDefault="00757407" w:rsidP="00AB27FD">
      <w:pPr>
        <w:pStyle w:val="ListBullet"/>
      </w:pPr>
      <w:r w:rsidRPr="00485FE5">
        <w:t>Facilitating key parts of the process to occur simultaneously in order to move the entire process along more expeditiously without shortchanging any critical part of the process.</w:t>
      </w:r>
    </w:p>
    <w:p w14:paraId="2AD7F60E" w14:textId="77777777" w:rsidR="00757407" w:rsidRPr="00485FE5" w:rsidRDefault="00757407" w:rsidP="00AB27FD">
      <w:pPr>
        <w:pStyle w:val="ListBullet"/>
      </w:pPr>
      <w:r w:rsidRPr="00485FE5">
        <w:t>Having leaders and facilitators of the process empowered to identify when more time is needed for certain parts of the process in order to protect the integrity of the overall process (</w:t>
      </w:r>
      <w:r w:rsidR="00023280">
        <w:t xml:space="preserve">e.g., </w:t>
      </w:r>
      <w:r w:rsidRPr="00485FE5">
        <w:t>more time for stakeholder consultation; more time for billing systems changes, etc.).</w:t>
      </w:r>
    </w:p>
    <w:p w14:paraId="3A073C8C" w14:textId="0919BAA2" w:rsidR="00865F84" w:rsidRPr="00814FFA" w:rsidRDefault="00757407" w:rsidP="00814FFA">
      <w:pPr>
        <w:pStyle w:val="ListBullet"/>
      </w:pPr>
      <w:r w:rsidRPr="00485FE5">
        <w:t xml:space="preserve">Devising short-term, temporary </w:t>
      </w:r>
      <w:r w:rsidR="00FC6560">
        <w:t>“</w:t>
      </w:r>
      <w:r w:rsidRPr="00485FE5">
        <w:t>workarounds</w:t>
      </w:r>
      <w:r w:rsidR="00FC6560">
        <w:t>”</w:t>
      </w:r>
      <w:r w:rsidRPr="00485FE5">
        <w:t xml:space="preserve"> for certain aspects of the changes being made in reimbursement methodologies and payment structures, so that the bulk of the changes can be put in place while some elements that require longer-term policy, structure</w:t>
      </w:r>
      <w:r w:rsidR="003E23F1">
        <w:t>,</w:t>
      </w:r>
      <w:r w:rsidRPr="00485FE5">
        <w:t xml:space="preserve"> or funding changes can still be worked on without putting the entire new initiative on hold.</w:t>
      </w:r>
    </w:p>
    <w:p w14:paraId="23548DB3" w14:textId="37F7FD4E" w:rsidR="004D4C63" w:rsidRPr="00272921" w:rsidRDefault="004D4C63" w:rsidP="00B11115">
      <w:pPr>
        <w:pStyle w:val="Heading1"/>
      </w:pPr>
      <w:bookmarkStart w:id="14" w:name="_Toc70944167"/>
      <w:r w:rsidRPr="00272921">
        <w:t xml:space="preserve">If Cost Neutrality is Essential: </w:t>
      </w:r>
      <w:r w:rsidR="00BD6134" w:rsidRPr="00272921">
        <w:t>S</w:t>
      </w:r>
      <w:r w:rsidRPr="00272921">
        <w:t>trategies for Rebalancing Existing Funding</w:t>
      </w:r>
      <w:bookmarkEnd w:id="14"/>
    </w:p>
    <w:p w14:paraId="7DCCC113" w14:textId="5A06CF0E" w:rsidR="004D4C63" w:rsidRPr="00043C33" w:rsidRDefault="004D4C63" w:rsidP="00B1367E">
      <w:r w:rsidRPr="00043C33">
        <w:t>Some programs, but certainly not m</w:t>
      </w:r>
      <w:r w:rsidR="003803DE">
        <w:t>a</w:t>
      </w:r>
      <w:r w:rsidRPr="00043C33">
        <w:t>ny, have new funding allocated to assist with advancing Employment First. Most states face the challenge of addressing funding for Employment First without new and additional dollars available. In these situations, funding realignment typically involves rebalancing of existing funding for employment and day services</w:t>
      </w:r>
      <w:r w:rsidR="005043F4">
        <w:t xml:space="preserve">. </w:t>
      </w:r>
    </w:p>
    <w:p w14:paraId="3317E6D2" w14:textId="2CE42EC4" w:rsidR="004D4C63" w:rsidRPr="00043C33" w:rsidRDefault="004D4C63" w:rsidP="00B1367E">
      <w:r w:rsidRPr="00043C33">
        <w:t>Rebalancing primarily involves adjusting reimbursement rates for the various employment and day services to align financial incentives with optimal, preferred</w:t>
      </w:r>
      <w:r w:rsidR="002247B2">
        <w:t>,</w:t>
      </w:r>
      <w:r w:rsidRPr="00043C33">
        <w:t xml:space="preserve"> and priority outcomes</w:t>
      </w:r>
      <w:r w:rsidR="005043F4">
        <w:t xml:space="preserve">. </w:t>
      </w:r>
      <w:r w:rsidRPr="00043C33">
        <w:t xml:space="preserve">In an Employment First state or program, these outcomes are competitive integrated employment outcomes. Traditionally, services that have not resulted in or directly supported competitive integrated employment outcomes </w:t>
      </w:r>
      <w:r w:rsidR="003803DE">
        <w:t>were</w:t>
      </w:r>
      <w:r w:rsidRPr="00043C33">
        <w:t xml:space="preserve"> the most highly utilized. In some cases, this </w:t>
      </w:r>
      <w:r w:rsidR="003803DE">
        <w:t>was</w:t>
      </w:r>
      <w:r w:rsidRPr="00043C33">
        <w:t xml:space="preserve"> because reimbursement rates for services that lead to or directly support competitive integrated employment </w:t>
      </w:r>
      <w:r w:rsidR="003803DE">
        <w:t>were</w:t>
      </w:r>
      <w:r w:rsidRPr="00043C33">
        <w:t xml:space="preserve"> not sufficient to drive strong provider interest in delivering these services. This is not always because rates for integrated employment services are too low. Sometimes, the rates for other services (i.e.</w:t>
      </w:r>
      <w:r w:rsidR="007346E1">
        <w:t>,</w:t>
      </w:r>
      <w:r w:rsidRPr="00043C33">
        <w:t xml:space="preserve"> facility-based and non-work services) </w:t>
      </w:r>
      <w:r w:rsidR="003803DE">
        <w:t>are</w:t>
      </w:r>
      <w:r w:rsidRPr="00043C33">
        <w:t xml:space="preserve"> more generous than they appear, causing providers to want to remain invested in providing these services as the norm</w:t>
      </w:r>
      <w:r w:rsidR="005043F4">
        <w:t xml:space="preserve">. </w:t>
      </w:r>
    </w:p>
    <w:p w14:paraId="36FED5F0" w14:textId="77777777" w:rsidR="004D4C63" w:rsidRPr="00043C33" w:rsidRDefault="004D4C63" w:rsidP="00B1367E">
      <w:r w:rsidRPr="00043C33">
        <w:t xml:space="preserve">In a cost neutral environment, incentivizing day and employment service providers to adopt a greater focus on the provision of services that lead to and directly support competitive integrated employment outcomes requires careful rebalancing of available resources. The process requires review (and collection if necessary) of data on the typical cost of providing each service. The cost will vary based </w:t>
      </w:r>
      <w:r w:rsidRPr="00043C33">
        <w:lastRenderedPageBreak/>
        <w:t>on the locality, staffing ratios required, whether transportation to/from the service is included in the rate, and other factors</w:t>
      </w:r>
      <w:r w:rsidR="005043F4">
        <w:t xml:space="preserve">. </w:t>
      </w:r>
    </w:p>
    <w:p w14:paraId="6962353F" w14:textId="77777777" w:rsidR="004D4C63" w:rsidRPr="00043C33" w:rsidRDefault="007677E2" w:rsidP="00C51E73">
      <w:r w:rsidRPr="007677E2">
        <w:t>With data collection from service providers, d</w:t>
      </w:r>
      <w:r w:rsidR="004D4C63" w:rsidRPr="007677E2">
        <w:t xml:space="preserve">ata analysis can identify where certain existing reimbursement rates may be higher </w:t>
      </w:r>
      <w:r w:rsidR="000E76FF" w:rsidRPr="007677E2">
        <w:t>or</w:t>
      </w:r>
      <w:r w:rsidR="004D4C63" w:rsidRPr="007677E2">
        <w:t xml:space="preserve"> lower than necessary</w:t>
      </w:r>
      <w:r w:rsidRPr="007677E2">
        <w:t xml:space="preserve">. </w:t>
      </w:r>
      <w:r w:rsidR="004D4C63" w:rsidRPr="00043C33">
        <w:t>This process allows the state or funding entity to adjust reimbursement rates to more appropriate levels</w:t>
      </w:r>
      <w:r w:rsidR="005043F4">
        <w:t xml:space="preserve">. </w:t>
      </w:r>
      <w:r w:rsidR="004D4C63" w:rsidRPr="00043C33">
        <w:t xml:space="preserve">Savings from any rates adjusted down are used to increase rates for other services. </w:t>
      </w:r>
      <w:r w:rsidR="004D4C63" w:rsidRPr="00452AEC">
        <w:t>These other services would receive a rate increase based on data analysis</w:t>
      </w:r>
      <w:r w:rsidR="00216FCE" w:rsidRPr="00452AEC">
        <w:t>,</w:t>
      </w:r>
      <w:r w:rsidR="004D4C63" w:rsidRPr="00452AEC">
        <w:t xml:space="preserve"> which shows the rates for these other services are currently inadequate or are not set at a level to create the desired incentive for providers to increase their willingness and capacity to provide these services.</w:t>
      </w:r>
    </w:p>
    <w:p w14:paraId="77A1A2A7" w14:textId="77777777" w:rsidR="004D4C63" w:rsidRPr="006A2BD9" w:rsidRDefault="004D4C63" w:rsidP="00B11115">
      <w:pPr>
        <w:pStyle w:val="Heading2"/>
      </w:pPr>
      <w:bookmarkStart w:id="15" w:name="_Toc70944168"/>
      <w:r w:rsidRPr="006A2BD9">
        <w:t>C</w:t>
      </w:r>
      <w:r w:rsidR="00BD6134" w:rsidRPr="006A2BD9">
        <w:t>ase Example: Iowa</w:t>
      </w:r>
      <w:bookmarkEnd w:id="15"/>
    </w:p>
    <w:p w14:paraId="0EE9C8AC" w14:textId="77777777" w:rsidR="004D4C63" w:rsidRPr="00043C33" w:rsidRDefault="004D4C63" w:rsidP="00C51E73">
      <w:r w:rsidRPr="00043C33">
        <w:t xml:space="preserve">In Iowa, rates for facility-based prevocational services that required a minimum 1:15 staffing ratio </w:t>
      </w:r>
      <w:r w:rsidR="00807892">
        <w:t xml:space="preserve">(1 staff person for every 15 individuals receiving services) </w:t>
      </w:r>
      <w:r w:rsidRPr="00043C33">
        <w:t xml:space="preserve">were deemed too high in relation to the cost to provide the service at this </w:t>
      </w:r>
      <w:r w:rsidR="00A12CD3">
        <w:t xml:space="preserve">minimum </w:t>
      </w:r>
      <w:r w:rsidRPr="00043C33">
        <w:t>staffing ratio. This conclusion was further verified by comparing Iowa’s facility-based prevocational service rates to the rates paid by other states with similar or identical minimum staffing ratios</w:t>
      </w:r>
      <w:r w:rsidR="00023280">
        <w:t>.</w:t>
      </w:r>
      <w:r w:rsidR="00A150B6">
        <w:t xml:space="preserve"> </w:t>
      </w:r>
      <w:r w:rsidRPr="00043C33">
        <w:t>When facility-based prevocational service rates were reduced accordingly, the savings were reinvested in:</w:t>
      </w:r>
    </w:p>
    <w:p w14:paraId="39C42675" w14:textId="77777777" w:rsidR="00E2641B" w:rsidRDefault="004D4C63" w:rsidP="007202B3">
      <w:pPr>
        <w:pStyle w:val="ListNumber"/>
        <w:spacing w:after="240"/>
      </w:pPr>
      <w:r w:rsidRPr="00FC2180">
        <w:t>Ability to fund a time-limited, 1:1, community-based prevocational service authorization for a career exploration and planning process for each person receiving prevocational services to enable each person to make an informed choice about their desire to obtain competitive integrated employment, and if interest is confirmed, to develop</w:t>
      </w:r>
      <w:r w:rsidR="00FC2180">
        <w:t xml:space="preserve"> an</w:t>
      </w:r>
      <w:r w:rsidRPr="00FC2180">
        <w:t xml:space="preserve"> initial plan to achieve competitive integrated employment</w:t>
      </w:r>
      <w:r w:rsidR="005043F4" w:rsidRPr="00FC2180">
        <w:t>.</w:t>
      </w:r>
      <w:r w:rsidR="005043F4">
        <w:t xml:space="preserve"> </w:t>
      </w:r>
      <w:r w:rsidRPr="00BC321D">
        <w:t>Maximum authorization = 34 hours in a 90-day period</w:t>
      </w:r>
      <w:r w:rsidR="005043F4">
        <w:t xml:space="preserve">. </w:t>
      </w:r>
      <w:r w:rsidRPr="00BC321D">
        <w:t xml:space="preserve">Exploration process included the following expectations and time/cost assumptions: </w:t>
      </w:r>
    </w:p>
    <w:tbl>
      <w:tblPr>
        <w:tblStyle w:val="TableGrid"/>
        <w:tblW w:w="8640" w:type="dxa"/>
        <w:jc w:val="center"/>
        <w:tblBorders>
          <w:top w:val="none" w:sz="0" w:space="0" w:color="auto"/>
          <w:left w:val="none" w:sz="0" w:space="0" w:color="auto"/>
          <w:bottom w:val="single" w:sz="2" w:space="0" w:color="D9D9D9" w:themeColor="background1" w:themeShade="D9"/>
          <w:right w:val="none" w:sz="0" w:space="0" w:color="auto"/>
          <w:insideH w:val="none" w:sz="0" w:space="0" w:color="auto"/>
          <w:insideV w:val="none" w:sz="0" w:space="0" w:color="auto"/>
        </w:tblBorders>
        <w:tblLook w:val="0460" w:firstRow="1" w:lastRow="1" w:firstColumn="0" w:lastColumn="0" w:noHBand="0" w:noVBand="1"/>
      </w:tblPr>
      <w:tblGrid>
        <w:gridCol w:w="6120"/>
        <w:gridCol w:w="2520"/>
      </w:tblGrid>
      <w:tr w:rsidR="00C51E73" w:rsidRPr="00311DE1" w14:paraId="0A907CAD" w14:textId="77777777" w:rsidTr="008E216E">
        <w:trPr>
          <w:trHeight w:val="110"/>
          <w:jc w:val="center"/>
        </w:trPr>
        <w:tc>
          <w:tcPr>
            <w:tcW w:w="6120" w:type="dxa"/>
            <w:shd w:val="clear" w:color="auto" w:fill="215868" w:themeFill="accent5" w:themeFillShade="80"/>
            <w:vAlign w:val="center"/>
          </w:tcPr>
          <w:p w14:paraId="7AF0A675" w14:textId="77777777" w:rsidR="003B7846" w:rsidRPr="00311DE1" w:rsidRDefault="00CE08BE" w:rsidP="00022B8D">
            <w:pPr>
              <w:spacing w:before="40" w:after="40" w:line="240" w:lineRule="auto"/>
              <w:rPr>
                <w:rStyle w:val="TableText"/>
                <w:rFonts w:ascii="Optima" w:eastAsiaTheme="minorHAnsi" w:hAnsi="Optima" w:cs="Times New Roman"/>
                <w:b/>
                <w:bCs/>
                <w:color w:val="FFFFFF" w:themeColor="background1"/>
                <w:sz w:val="19"/>
                <w:szCs w:val="19"/>
              </w:rPr>
            </w:pPr>
            <w:r w:rsidRPr="00311DE1">
              <w:rPr>
                <w:rStyle w:val="TableText"/>
                <w:rFonts w:ascii="Optima" w:eastAsiaTheme="minorHAnsi" w:hAnsi="Optima"/>
                <w:b/>
                <w:bCs/>
                <w:color w:val="FFFFFF" w:themeColor="background1"/>
                <w:sz w:val="19"/>
                <w:szCs w:val="19"/>
              </w:rPr>
              <w:t>Informed Choice Expectations</w:t>
            </w:r>
          </w:p>
        </w:tc>
        <w:tc>
          <w:tcPr>
            <w:tcW w:w="2520" w:type="dxa"/>
            <w:shd w:val="clear" w:color="auto" w:fill="215868" w:themeFill="accent5" w:themeFillShade="80"/>
            <w:vAlign w:val="center"/>
          </w:tcPr>
          <w:p w14:paraId="7D2EE191" w14:textId="77777777" w:rsidR="003B7846" w:rsidRPr="00311DE1" w:rsidRDefault="00CE08BE" w:rsidP="007202B3">
            <w:pPr>
              <w:spacing w:before="40" w:after="40" w:line="240" w:lineRule="auto"/>
              <w:jc w:val="center"/>
              <w:rPr>
                <w:rStyle w:val="TableText"/>
                <w:rFonts w:ascii="Optima" w:eastAsiaTheme="minorHAnsi" w:hAnsi="Optima"/>
                <w:b/>
                <w:bCs/>
                <w:color w:val="FFFFFF" w:themeColor="background1"/>
                <w:sz w:val="19"/>
                <w:szCs w:val="19"/>
              </w:rPr>
            </w:pPr>
            <w:r w:rsidRPr="00311DE1">
              <w:rPr>
                <w:rStyle w:val="TableText"/>
                <w:rFonts w:ascii="Optima" w:eastAsiaTheme="minorHAnsi" w:hAnsi="Optima"/>
                <w:b/>
                <w:bCs/>
                <w:color w:val="FFFFFF" w:themeColor="background1"/>
                <w:sz w:val="19"/>
                <w:szCs w:val="19"/>
              </w:rPr>
              <w:t xml:space="preserve">Estimated </w:t>
            </w:r>
            <w:r w:rsidR="00FC3046" w:rsidRPr="00311DE1">
              <w:rPr>
                <w:rStyle w:val="TableText"/>
                <w:rFonts w:ascii="Optima" w:eastAsiaTheme="minorHAnsi" w:hAnsi="Optima"/>
                <w:b/>
                <w:bCs/>
                <w:color w:val="FFFFFF" w:themeColor="background1"/>
                <w:sz w:val="19"/>
                <w:szCs w:val="19"/>
              </w:rPr>
              <w:t>Hours</w:t>
            </w:r>
          </w:p>
        </w:tc>
      </w:tr>
      <w:tr w:rsidR="00C51E73" w:rsidRPr="006944A4" w14:paraId="0474D1DE" w14:textId="77777777" w:rsidTr="008E216E">
        <w:trPr>
          <w:jc w:val="center"/>
        </w:trPr>
        <w:tc>
          <w:tcPr>
            <w:tcW w:w="6120" w:type="dxa"/>
            <w:vAlign w:val="center"/>
          </w:tcPr>
          <w:p w14:paraId="640BBC35" w14:textId="77777777" w:rsidR="003B7846" w:rsidRPr="006944A4" w:rsidRDefault="003B7846" w:rsidP="00C51E73">
            <w:pPr>
              <w:spacing w:before="40" w:after="40" w:line="240" w:lineRule="auto"/>
              <w:rPr>
                <w:rStyle w:val="TableText"/>
                <w:rFonts w:ascii="Optima" w:eastAsiaTheme="minorHAnsi"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Initial meeting with family/guardian to explain career exploration service, purpose, how it will be provided, and find out their</w:t>
            </w:r>
            <w:r w:rsidR="00EC3649" w:rsidRPr="006944A4">
              <w:rPr>
                <w:rStyle w:val="TableText"/>
                <w:rFonts w:ascii="Optima" w:eastAsiaTheme="minorHAnsi" w:hAnsi="Optima"/>
                <w:color w:val="262626" w:themeColor="text1" w:themeTint="D9"/>
                <w:sz w:val="19"/>
                <w:szCs w:val="19"/>
              </w:rPr>
              <w:t xml:space="preserve"> </w:t>
            </w:r>
            <w:r w:rsidRPr="006944A4">
              <w:rPr>
                <w:rStyle w:val="TableText"/>
                <w:rFonts w:ascii="Optima" w:eastAsiaTheme="minorHAnsi" w:hAnsi="Optima"/>
                <w:color w:val="262626" w:themeColor="text1" w:themeTint="D9"/>
                <w:sz w:val="19"/>
                <w:szCs w:val="19"/>
              </w:rPr>
              <w:t>questions</w:t>
            </w:r>
            <w:r w:rsidR="00755C68">
              <w:rPr>
                <w:rStyle w:val="TableText"/>
                <w:rFonts w:ascii="Optima" w:eastAsiaTheme="minorHAnsi" w:hAnsi="Optima"/>
                <w:color w:val="262626" w:themeColor="text1" w:themeTint="D9"/>
                <w:sz w:val="19"/>
                <w:szCs w:val="19"/>
              </w:rPr>
              <w:t xml:space="preserve"> </w:t>
            </w:r>
            <w:r w:rsidRPr="006944A4">
              <w:rPr>
                <w:rStyle w:val="TableText"/>
                <w:rFonts w:ascii="Optima" w:eastAsiaTheme="minorHAnsi" w:hAnsi="Optima"/>
                <w:color w:val="262626" w:themeColor="text1" w:themeTint="D9"/>
                <w:sz w:val="19"/>
                <w:szCs w:val="19"/>
              </w:rPr>
              <w:t>/</w:t>
            </w:r>
            <w:r w:rsidR="00EC3649" w:rsidRPr="006944A4">
              <w:rPr>
                <w:rStyle w:val="TableText"/>
                <w:rFonts w:ascii="Optima" w:eastAsiaTheme="minorHAnsi" w:hAnsi="Optima"/>
                <w:color w:val="262626" w:themeColor="text1" w:themeTint="D9"/>
                <w:sz w:val="19"/>
                <w:szCs w:val="19"/>
              </w:rPr>
              <w:t xml:space="preserve"> </w:t>
            </w:r>
            <w:r w:rsidRPr="006944A4">
              <w:rPr>
                <w:rStyle w:val="TableText"/>
                <w:rFonts w:ascii="Optima" w:eastAsiaTheme="minorHAnsi" w:hAnsi="Optima"/>
                <w:color w:val="262626" w:themeColor="text1" w:themeTint="D9"/>
                <w:sz w:val="19"/>
                <w:szCs w:val="19"/>
              </w:rPr>
              <w:t>concerns</w:t>
            </w:r>
            <w:r w:rsidR="00755C68">
              <w:rPr>
                <w:rStyle w:val="TableText"/>
                <w:rFonts w:ascii="Optima" w:eastAsiaTheme="minorHAnsi" w:hAnsi="Optima"/>
                <w:color w:val="262626" w:themeColor="text1" w:themeTint="D9"/>
                <w:sz w:val="19"/>
                <w:szCs w:val="19"/>
              </w:rPr>
              <w:t xml:space="preserve"> </w:t>
            </w:r>
            <w:r w:rsidRPr="006944A4">
              <w:rPr>
                <w:rStyle w:val="TableText"/>
                <w:rFonts w:ascii="Optima" w:eastAsiaTheme="minorHAnsi" w:hAnsi="Optima"/>
                <w:color w:val="262626" w:themeColor="text1" w:themeTint="D9"/>
                <w:sz w:val="19"/>
                <w:szCs w:val="19"/>
              </w:rPr>
              <w:t>/</w:t>
            </w:r>
            <w:r w:rsidR="00EC3649" w:rsidRPr="006944A4">
              <w:rPr>
                <w:rStyle w:val="TableText"/>
                <w:rFonts w:ascii="Optima" w:eastAsiaTheme="minorHAnsi" w:hAnsi="Optima"/>
                <w:color w:val="262626" w:themeColor="text1" w:themeTint="D9"/>
                <w:sz w:val="19"/>
                <w:szCs w:val="19"/>
              </w:rPr>
              <w:t xml:space="preserve"> </w:t>
            </w:r>
            <w:r w:rsidRPr="006944A4">
              <w:rPr>
                <w:rStyle w:val="TableText"/>
                <w:rFonts w:ascii="Optima" w:eastAsiaTheme="minorHAnsi" w:hAnsi="Optima"/>
                <w:color w:val="262626" w:themeColor="text1" w:themeTint="D9"/>
                <w:sz w:val="19"/>
                <w:szCs w:val="19"/>
              </w:rPr>
              <w:t>hopes. [Include in the annual plan meeting]</w:t>
            </w:r>
          </w:p>
        </w:tc>
        <w:tc>
          <w:tcPr>
            <w:tcW w:w="2520" w:type="dxa"/>
            <w:vAlign w:val="center"/>
          </w:tcPr>
          <w:p w14:paraId="31402269" w14:textId="77777777" w:rsidR="003B7846" w:rsidRPr="006944A4" w:rsidRDefault="001702CB" w:rsidP="00C51E73">
            <w:pPr>
              <w:spacing w:before="40" w:after="40" w:line="240" w:lineRule="auto"/>
              <w:jc w:val="center"/>
              <w:rPr>
                <w:rFonts w:ascii="Optima"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1 hour for the provider who will already be attending the annual plan meeting</w:t>
            </w:r>
          </w:p>
        </w:tc>
      </w:tr>
      <w:tr w:rsidR="00C51E73" w:rsidRPr="006944A4" w14:paraId="36D0DA03" w14:textId="77777777" w:rsidTr="008E216E">
        <w:trPr>
          <w:jc w:val="center"/>
        </w:trPr>
        <w:tc>
          <w:tcPr>
            <w:tcW w:w="6120" w:type="dxa"/>
            <w:shd w:val="clear" w:color="auto" w:fill="EEECE1" w:themeFill="background2"/>
            <w:vAlign w:val="center"/>
          </w:tcPr>
          <w:p w14:paraId="10A3DC36" w14:textId="77777777" w:rsidR="003B7846" w:rsidRPr="006944A4" w:rsidRDefault="003B7846" w:rsidP="00C51E73">
            <w:pPr>
              <w:spacing w:before="40" w:after="40" w:line="240" w:lineRule="auto"/>
              <w:rPr>
                <w:rStyle w:val="TableText"/>
                <w:rFonts w:ascii="Optima" w:eastAsiaTheme="minorHAnsi"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 xml:space="preserve">Orientation to </w:t>
            </w:r>
            <w:r w:rsidR="00F655C6">
              <w:rPr>
                <w:rStyle w:val="TableText"/>
                <w:rFonts w:ascii="Optima" w:eastAsiaTheme="minorHAnsi" w:hAnsi="Optima"/>
                <w:color w:val="262626" w:themeColor="text1" w:themeTint="D9"/>
                <w:sz w:val="19"/>
                <w:szCs w:val="19"/>
              </w:rPr>
              <w:t>Supported Employment</w:t>
            </w:r>
            <w:r w:rsidRPr="006944A4">
              <w:rPr>
                <w:rStyle w:val="TableText"/>
                <w:rFonts w:ascii="Optima" w:eastAsiaTheme="minorHAnsi" w:hAnsi="Optima"/>
                <w:color w:val="262626" w:themeColor="text1" w:themeTint="D9"/>
                <w:sz w:val="19"/>
                <w:szCs w:val="19"/>
              </w:rPr>
              <w:t xml:space="preserve"> and how it works (including VR services) and basic benefits education (meeting with family</w:t>
            </w:r>
            <w:r w:rsidR="00755C68">
              <w:rPr>
                <w:rStyle w:val="TableText"/>
                <w:rFonts w:ascii="Optima" w:eastAsiaTheme="minorHAnsi" w:hAnsi="Optima"/>
                <w:color w:val="262626" w:themeColor="text1" w:themeTint="D9"/>
                <w:sz w:val="19"/>
                <w:szCs w:val="19"/>
              </w:rPr>
              <w:t xml:space="preserve"> </w:t>
            </w:r>
            <w:r w:rsidRPr="006944A4">
              <w:rPr>
                <w:rStyle w:val="TableText"/>
                <w:rFonts w:ascii="Optima" w:eastAsiaTheme="minorHAnsi" w:hAnsi="Optima"/>
                <w:color w:val="262626" w:themeColor="text1" w:themeTint="D9"/>
                <w:sz w:val="19"/>
                <w:szCs w:val="19"/>
              </w:rPr>
              <w:t>/</w:t>
            </w:r>
            <w:r w:rsidR="00755C68">
              <w:rPr>
                <w:rStyle w:val="TableText"/>
                <w:rFonts w:ascii="Optima" w:eastAsiaTheme="minorHAnsi" w:hAnsi="Optima"/>
                <w:color w:val="262626" w:themeColor="text1" w:themeTint="D9"/>
                <w:sz w:val="19"/>
                <w:szCs w:val="19"/>
              </w:rPr>
              <w:t xml:space="preserve"> </w:t>
            </w:r>
            <w:r w:rsidRPr="006944A4">
              <w:rPr>
                <w:rStyle w:val="TableText"/>
                <w:rFonts w:ascii="Optima" w:eastAsiaTheme="minorHAnsi" w:hAnsi="Optima"/>
                <w:color w:val="262626" w:themeColor="text1" w:themeTint="D9"/>
                <w:sz w:val="19"/>
                <w:szCs w:val="19"/>
              </w:rPr>
              <w:t>guardian and individual</w:t>
            </w:r>
          </w:p>
        </w:tc>
        <w:tc>
          <w:tcPr>
            <w:tcW w:w="2520" w:type="dxa"/>
            <w:shd w:val="clear" w:color="auto" w:fill="EEECE1" w:themeFill="background2"/>
            <w:vAlign w:val="center"/>
          </w:tcPr>
          <w:p w14:paraId="7943BDAF" w14:textId="77777777" w:rsidR="003B7846" w:rsidRPr="006944A4" w:rsidRDefault="001702CB" w:rsidP="00C51E73">
            <w:pPr>
              <w:spacing w:before="40" w:after="40" w:line="240" w:lineRule="auto"/>
              <w:jc w:val="center"/>
              <w:rPr>
                <w:rFonts w:ascii="Optima"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2.5 hours</w:t>
            </w:r>
          </w:p>
        </w:tc>
      </w:tr>
      <w:tr w:rsidR="00C51E73" w:rsidRPr="006944A4" w14:paraId="321E4D8C" w14:textId="77777777" w:rsidTr="008E216E">
        <w:trPr>
          <w:jc w:val="center"/>
        </w:trPr>
        <w:tc>
          <w:tcPr>
            <w:tcW w:w="6120" w:type="dxa"/>
            <w:vAlign w:val="center"/>
          </w:tcPr>
          <w:p w14:paraId="05486D40" w14:textId="77777777" w:rsidR="003B7846" w:rsidRPr="006944A4" w:rsidRDefault="003B7846" w:rsidP="00C51E73">
            <w:pPr>
              <w:spacing w:before="40" w:after="40" w:line="240" w:lineRule="auto"/>
              <w:rPr>
                <w:rStyle w:val="TableText"/>
                <w:rFonts w:ascii="Optima" w:eastAsiaTheme="minorHAnsi"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 xml:space="preserve">Career Exploration including "abridged" Discovery process </w:t>
            </w:r>
            <w:r w:rsidRPr="006944A4">
              <w:rPr>
                <w:rStyle w:val="TableText"/>
                <w:rFonts w:ascii="Optima" w:eastAsiaTheme="minorHAnsi" w:hAnsi="Optima"/>
                <w:b/>
                <w:bCs/>
                <w:color w:val="262626" w:themeColor="text1" w:themeTint="D9"/>
                <w:sz w:val="19"/>
                <w:szCs w:val="19"/>
              </w:rPr>
              <w:t>(8 hours)</w:t>
            </w:r>
            <w:r w:rsidRPr="006944A4">
              <w:rPr>
                <w:rStyle w:val="TableText"/>
                <w:rFonts w:ascii="Optima" w:eastAsiaTheme="minorHAnsi" w:hAnsi="Optima"/>
                <w:color w:val="262626" w:themeColor="text1" w:themeTint="D9"/>
                <w:sz w:val="19"/>
                <w:szCs w:val="19"/>
              </w:rPr>
              <w:t xml:space="preserve"> that informs focus for 3 to 5 business tours, informational interviews, job shadows which involve set-up, prepping person</w:t>
            </w:r>
            <w:r w:rsidR="00926484">
              <w:rPr>
                <w:rStyle w:val="TableText"/>
                <w:rFonts w:ascii="Optima" w:eastAsiaTheme="minorHAnsi" w:hAnsi="Optima"/>
                <w:color w:val="262626" w:themeColor="text1" w:themeTint="D9"/>
                <w:sz w:val="19"/>
                <w:szCs w:val="19"/>
              </w:rPr>
              <w:t>,</w:t>
            </w:r>
            <w:r w:rsidRPr="006944A4">
              <w:rPr>
                <w:rStyle w:val="TableText"/>
                <w:rFonts w:ascii="Optima" w:eastAsiaTheme="minorHAnsi" w:hAnsi="Optima"/>
                <w:color w:val="262626" w:themeColor="text1" w:themeTint="D9"/>
                <w:sz w:val="19"/>
                <w:szCs w:val="19"/>
              </w:rPr>
              <w:t xml:space="preserve"> and debriefing with person after the experiences</w:t>
            </w:r>
          </w:p>
        </w:tc>
        <w:tc>
          <w:tcPr>
            <w:tcW w:w="2520" w:type="dxa"/>
            <w:vAlign w:val="center"/>
          </w:tcPr>
          <w:p w14:paraId="4693E0A7" w14:textId="77777777" w:rsidR="003B7846" w:rsidRPr="006944A4" w:rsidRDefault="001702CB" w:rsidP="00C51E73">
            <w:pPr>
              <w:spacing w:before="40" w:after="40" w:line="240" w:lineRule="auto"/>
              <w:jc w:val="center"/>
              <w:rPr>
                <w:rFonts w:ascii="Optima"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16 hours</w:t>
            </w:r>
          </w:p>
        </w:tc>
      </w:tr>
      <w:tr w:rsidR="00C51E73" w:rsidRPr="006944A4" w14:paraId="742E916B" w14:textId="77777777" w:rsidTr="008E216E">
        <w:trPr>
          <w:jc w:val="center"/>
        </w:trPr>
        <w:tc>
          <w:tcPr>
            <w:tcW w:w="6120" w:type="dxa"/>
            <w:shd w:val="clear" w:color="auto" w:fill="EEECE1" w:themeFill="background2"/>
            <w:vAlign w:val="center"/>
          </w:tcPr>
          <w:p w14:paraId="4F91B665" w14:textId="77777777" w:rsidR="003B7846" w:rsidRPr="006944A4" w:rsidRDefault="003B7846" w:rsidP="00C51E73">
            <w:pPr>
              <w:spacing w:before="40" w:after="40" w:line="240" w:lineRule="auto"/>
              <w:rPr>
                <w:rStyle w:val="TableText"/>
                <w:rFonts w:ascii="Optima" w:eastAsiaTheme="minorHAnsi"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Meeting with family/guardian and individual to provide re-education or additional education on competitive integrated employment and Individual Supported Employment services (including use of reasonable accommodations and assistive technology), VR, and basic benefits education</w:t>
            </w:r>
          </w:p>
        </w:tc>
        <w:tc>
          <w:tcPr>
            <w:tcW w:w="2520" w:type="dxa"/>
            <w:shd w:val="clear" w:color="auto" w:fill="EEECE1" w:themeFill="background2"/>
            <w:vAlign w:val="center"/>
          </w:tcPr>
          <w:p w14:paraId="240F25EC" w14:textId="77777777" w:rsidR="003B7846" w:rsidRPr="006944A4" w:rsidRDefault="001702CB" w:rsidP="00C51E73">
            <w:pPr>
              <w:spacing w:before="40" w:after="40" w:line="240" w:lineRule="auto"/>
              <w:jc w:val="center"/>
              <w:rPr>
                <w:rFonts w:ascii="Optima"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2.5 hours</w:t>
            </w:r>
          </w:p>
        </w:tc>
      </w:tr>
      <w:tr w:rsidR="00C51E73" w:rsidRPr="006944A4" w14:paraId="68D86FAF" w14:textId="77777777" w:rsidTr="008E216E">
        <w:trPr>
          <w:jc w:val="center"/>
        </w:trPr>
        <w:tc>
          <w:tcPr>
            <w:tcW w:w="6120" w:type="dxa"/>
            <w:vAlign w:val="center"/>
          </w:tcPr>
          <w:p w14:paraId="398DA909" w14:textId="77777777" w:rsidR="003B7846" w:rsidRPr="006944A4" w:rsidRDefault="003B7846" w:rsidP="00C51E73">
            <w:pPr>
              <w:spacing w:before="40" w:after="40" w:line="240" w:lineRule="auto"/>
              <w:rPr>
                <w:rStyle w:val="TableText"/>
                <w:rFonts w:ascii="Optima" w:eastAsiaTheme="minorHAnsi"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 xml:space="preserve">Written report: Either report on service process/outcomes (if no interest in CIE) or initial plan to achieve </w:t>
            </w:r>
            <w:r w:rsidR="00C51E73">
              <w:rPr>
                <w:rStyle w:val="TableText"/>
                <w:rFonts w:ascii="Optima" w:eastAsiaTheme="minorHAnsi" w:hAnsi="Optima"/>
                <w:color w:val="262626" w:themeColor="text1" w:themeTint="D9"/>
                <w:sz w:val="19"/>
                <w:szCs w:val="19"/>
              </w:rPr>
              <w:t>CIE</w:t>
            </w:r>
            <w:r w:rsidRPr="006944A4">
              <w:rPr>
                <w:rStyle w:val="TableText"/>
                <w:rFonts w:ascii="Optima" w:eastAsiaTheme="minorHAnsi" w:hAnsi="Optima"/>
                <w:color w:val="262626" w:themeColor="text1" w:themeTint="D9"/>
                <w:sz w:val="19"/>
                <w:szCs w:val="19"/>
              </w:rPr>
              <w:t xml:space="preserve"> (if interest in CIE confirmed)</w:t>
            </w:r>
          </w:p>
        </w:tc>
        <w:tc>
          <w:tcPr>
            <w:tcW w:w="2520" w:type="dxa"/>
            <w:vAlign w:val="center"/>
          </w:tcPr>
          <w:p w14:paraId="0A9A9F28" w14:textId="77777777" w:rsidR="003B7846" w:rsidRPr="006944A4" w:rsidRDefault="001702CB" w:rsidP="00C51E73">
            <w:pPr>
              <w:spacing w:before="40" w:after="40" w:line="240" w:lineRule="auto"/>
              <w:jc w:val="center"/>
              <w:rPr>
                <w:rFonts w:ascii="Optima" w:hAnsi="Optima"/>
                <w:color w:val="262626" w:themeColor="text1" w:themeTint="D9"/>
                <w:sz w:val="19"/>
                <w:szCs w:val="19"/>
              </w:rPr>
            </w:pPr>
            <w:r w:rsidRPr="006944A4">
              <w:rPr>
                <w:rStyle w:val="TableText"/>
                <w:rFonts w:ascii="Optima" w:eastAsiaTheme="minorHAnsi" w:hAnsi="Optima"/>
                <w:color w:val="262626" w:themeColor="text1" w:themeTint="D9"/>
                <w:sz w:val="19"/>
                <w:szCs w:val="19"/>
              </w:rPr>
              <w:t>4 hours</w:t>
            </w:r>
          </w:p>
        </w:tc>
      </w:tr>
      <w:tr w:rsidR="00C51E73" w:rsidRPr="006944A4" w14:paraId="1C4CD63F" w14:textId="77777777" w:rsidTr="008E216E">
        <w:trPr>
          <w:trHeight w:val="110"/>
          <w:jc w:val="center"/>
        </w:trPr>
        <w:tc>
          <w:tcPr>
            <w:tcW w:w="6120" w:type="dxa"/>
            <w:shd w:val="clear" w:color="auto" w:fill="EEECE1" w:themeFill="background2"/>
            <w:vAlign w:val="center"/>
          </w:tcPr>
          <w:p w14:paraId="52418894" w14:textId="77777777" w:rsidR="003B7846" w:rsidRPr="006944A4" w:rsidRDefault="003B7846" w:rsidP="009F2029">
            <w:pPr>
              <w:spacing w:before="40" w:after="40" w:line="240" w:lineRule="auto"/>
              <w:jc w:val="right"/>
              <w:rPr>
                <w:rStyle w:val="TableText"/>
                <w:rFonts w:ascii="Optima" w:eastAsiaTheme="minorHAnsi" w:hAnsi="Optima"/>
                <w:b/>
                <w:bCs/>
                <w:color w:val="262626" w:themeColor="text1" w:themeTint="D9"/>
                <w:sz w:val="19"/>
                <w:szCs w:val="19"/>
              </w:rPr>
            </w:pPr>
            <w:r w:rsidRPr="006944A4">
              <w:rPr>
                <w:rStyle w:val="TableText"/>
                <w:rFonts w:ascii="Optima" w:eastAsiaTheme="minorHAnsi" w:hAnsi="Optima"/>
                <w:b/>
                <w:bCs/>
                <w:color w:val="262626" w:themeColor="text1" w:themeTint="D9"/>
                <w:sz w:val="19"/>
                <w:szCs w:val="19"/>
              </w:rPr>
              <w:t xml:space="preserve">TOTAL </w:t>
            </w:r>
          </w:p>
        </w:tc>
        <w:tc>
          <w:tcPr>
            <w:tcW w:w="2520" w:type="dxa"/>
            <w:shd w:val="clear" w:color="auto" w:fill="EEECE1" w:themeFill="background2"/>
            <w:vAlign w:val="center"/>
          </w:tcPr>
          <w:p w14:paraId="37218735" w14:textId="77777777" w:rsidR="003B7846" w:rsidRPr="006944A4" w:rsidRDefault="001702CB" w:rsidP="009F2029">
            <w:pPr>
              <w:spacing w:before="40" w:after="40" w:line="240" w:lineRule="auto"/>
              <w:jc w:val="center"/>
              <w:rPr>
                <w:rFonts w:ascii="Optima" w:hAnsi="Optima"/>
                <w:b/>
                <w:bCs/>
                <w:color w:val="262626" w:themeColor="text1" w:themeTint="D9"/>
                <w:sz w:val="19"/>
                <w:szCs w:val="19"/>
              </w:rPr>
            </w:pPr>
            <w:r w:rsidRPr="006944A4">
              <w:rPr>
                <w:rStyle w:val="TableText"/>
                <w:rFonts w:ascii="Optima" w:eastAsiaTheme="minorHAnsi" w:hAnsi="Optima"/>
                <w:b/>
                <w:bCs/>
                <w:color w:val="262626" w:themeColor="text1" w:themeTint="D9"/>
                <w:sz w:val="19"/>
                <w:szCs w:val="19"/>
              </w:rPr>
              <w:t>34 hours of 1:1</w:t>
            </w:r>
            <w:r w:rsidR="0000063A" w:rsidRPr="006944A4">
              <w:rPr>
                <w:rStyle w:val="TableText"/>
                <w:rFonts w:ascii="Optima" w:eastAsiaTheme="minorHAnsi" w:hAnsi="Optima"/>
                <w:b/>
                <w:bCs/>
                <w:color w:val="262626" w:themeColor="text1" w:themeTint="D9"/>
                <w:sz w:val="19"/>
                <w:szCs w:val="19"/>
              </w:rPr>
              <w:br/>
            </w:r>
            <w:r w:rsidRPr="006944A4">
              <w:rPr>
                <w:rStyle w:val="TableText"/>
                <w:rFonts w:ascii="Optima" w:eastAsiaTheme="minorHAnsi" w:hAnsi="Optima"/>
                <w:b/>
                <w:bCs/>
                <w:color w:val="262626" w:themeColor="text1" w:themeTint="D9"/>
                <w:sz w:val="19"/>
                <w:szCs w:val="19"/>
              </w:rPr>
              <w:t>Prevocational Service</w:t>
            </w:r>
          </w:p>
        </w:tc>
      </w:tr>
    </w:tbl>
    <w:p w14:paraId="4AC3E822" w14:textId="10296652" w:rsidR="004D4C63" w:rsidRPr="009135A2" w:rsidRDefault="004D4C63" w:rsidP="00F05DFF">
      <w:pPr>
        <w:pStyle w:val="Citations"/>
      </w:pPr>
      <w:r w:rsidRPr="009135A2">
        <w:rPr>
          <w:rStyle w:val="EndnoteTextChar"/>
          <w:sz w:val="17"/>
          <w:szCs w:val="17"/>
        </w:rPr>
        <w:t>Note</w:t>
      </w:r>
      <w:r w:rsidR="008C4BED" w:rsidRPr="009135A2">
        <w:rPr>
          <w:rStyle w:val="EndnoteTextChar"/>
          <w:sz w:val="17"/>
          <w:szCs w:val="17"/>
        </w:rPr>
        <w:t xml:space="preserve">: </w:t>
      </w:r>
      <w:r w:rsidRPr="009135A2">
        <w:rPr>
          <w:rStyle w:val="EndnoteTextChar"/>
          <w:sz w:val="17"/>
          <w:szCs w:val="17"/>
        </w:rPr>
        <w:t xml:space="preserve">This is 34 hours of prevocational services that would have otherwise been authorized </w:t>
      </w:r>
      <w:r w:rsidR="00F05DFF">
        <w:rPr>
          <w:rStyle w:val="EndnoteTextChar"/>
          <w:sz w:val="17"/>
          <w:szCs w:val="17"/>
        </w:rPr>
        <w:br/>
      </w:r>
      <w:r w:rsidRPr="009135A2">
        <w:rPr>
          <w:rStyle w:val="EndnoteTextChar"/>
          <w:sz w:val="17"/>
          <w:szCs w:val="17"/>
        </w:rPr>
        <w:t xml:space="preserve">during the </w:t>
      </w:r>
      <w:r w:rsidR="00E2641B">
        <w:rPr>
          <w:rStyle w:val="EndnoteTextChar"/>
          <w:sz w:val="17"/>
          <w:szCs w:val="17"/>
        </w:rPr>
        <w:t xml:space="preserve">same </w:t>
      </w:r>
      <w:r w:rsidRPr="009135A2">
        <w:rPr>
          <w:rStyle w:val="EndnoteTextChar"/>
          <w:sz w:val="17"/>
          <w:szCs w:val="17"/>
        </w:rPr>
        <w:t>timeframe at</w:t>
      </w:r>
      <w:r w:rsidR="005E0708">
        <w:rPr>
          <w:rStyle w:val="EndnoteTextChar"/>
          <w:sz w:val="17"/>
          <w:szCs w:val="17"/>
        </w:rPr>
        <w:t xml:space="preserve"> a</w:t>
      </w:r>
      <w:r w:rsidRPr="009135A2">
        <w:rPr>
          <w:rStyle w:val="EndnoteTextChar"/>
          <w:sz w:val="17"/>
          <w:szCs w:val="17"/>
        </w:rPr>
        <w:t xml:space="preserve"> normal rate</w:t>
      </w:r>
      <w:r w:rsidR="00023280" w:rsidRPr="009135A2">
        <w:rPr>
          <w:rStyle w:val="EndnoteTextChar"/>
          <w:sz w:val="17"/>
          <w:szCs w:val="17"/>
        </w:rPr>
        <w:t>.</w:t>
      </w:r>
      <w:r w:rsidR="00A150B6" w:rsidRPr="009135A2">
        <w:rPr>
          <w:rStyle w:val="EndnoteTextChar"/>
          <w:sz w:val="17"/>
          <w:szCs w:val="17"/>
        </w:rPr>
        <w:t xml:space="preserve"> </w:t>
      </w:r>
      <w:r w:rsidRPr="009135A2">
        <w:rPr>
          <w:rStyle w:val="EndnoteTextChar"/>
          <w:sz w:val="17"/>
          <w:szCs w:val="17"/>
        </w:rPr>
        <w:t>These hours are authorized at</w:t>
      </w:r>
      <w:r w:rsidR="0064296F" w:rsidRPr="009135A2">
        <w:rPr>
          <w:rStyle w:val="EndnoteTextChar"/>
          <w:sz w:val="17"/>
          <w:szCs w:val="17"/>
        </w:rPr>
        <w:t xml:space="preserve"> a</w:t>
      </w:r>
      <w:r w:rsidRPr="009135A2">
        <w:rPr>
          <w:rStyle w:val="EndnoteTextChar"/>
          <w:sz w:val="17"/>
          <w:szCs w:val="17"/>
        </w:rPr>
        <w:t xml:space="preserve"> 1:1 rate</w:t>
      </w:r>
      <w:r w:rsidR="00F05DFF">
        <w:rPr>
          <w:rStyle w:val="EndnoteTextChar"/>
          <w:sz w:val="17"/>
          <w:szCs w:val="17"/>
        </w:rPr>
        <w:br/>
      </w:r>
      <w:r w:rsidRPr="009135A2">
        <w:rPr>
          <w:rStyle w:val="EndnoteTextChar"/>
          <w:sz w:val="17"/>
          <w:szCs w:val="17"/>
        </w:rPr>
        <w:t xml:space="preserve"> to allow completion of the above</w:t>
      </w:r>
      <w:r w:rsidR="00E2641B">
        <w:rPr>
          <w:rStyle w:val="EndnoteTextChar"/>
          <w:sz w:val="17"/>
          <w:szCs w:val="17"/>
        </w:rPr>
        <w:t xml:space="preserve">, time-limited </w:t>
      </w:r>
      <w:r w:rsidRPr="009135A2">
        <w:rPr>
          <w:rStyle w:val="EndnoteTextChar"/>
          <w:sz w:val="17"/>
          <w:szCs w:val="17"/>
        </w:rPr>
        <w:t>Career Exploration</w:t>
      </w:r>
      <w:r w:rsidR="00F05DFF">
        <w:rPr>
          <w:rStyle w:val="EndnoteTextChar"/>
          <w:sz w:val="17"/>
          <w:szCs w:val="17"/>
        </w:rPr>
        <w:t xml:space="preserve"> </w:t>
      </w:r>
      <w:r w:rsidRPr="009135A2">
        <w:rPr>
          <w:rStyle w:val="EndnoteTextChar"/>
          <w:sz w:val="17"/>
          <w:szCs w:val="17"/>
        </w:rPr>
        <w:t>/</w:t>
      </w:r>
      <w:r w:rsidR="00F05DFF">
        <w:rPr>
          <w:rStyle w:val="EndnoteTextChar"/>
          <w:sz w:val="17"/>
          <w:szCs w:val="17"/>
        </w:rPr>
        <w:t xml:space="preserve"> </w:t>
      </w:r>
      <w:r w:rsidRPr="009135A2">
        <w:rPr>
          <w:rStyle w:val="EndnoteTextChar"/>
          <w:sz w:val="17"/>
          <w:szCs w:val="17"/>
        </w:rPr>
        <w:t>Planning process</w:t>
      </w:r>
      <w:r w:rsidR="00023280" w:rsidRPr="009135A2">
        <w:t>.</w:t>
      </w:r>
    </w:p>
    <w:p w14:paraId="58AD317F" w14:textId="77777777" w:rsidR="00D802CA" w:rsidRPr="00BC321D" w:rsidRDefault="00D802CA" w:rsidP="002476FD">
      <w:pPr>
        <w:pStyle w:val="NoSpacing"/>
      </w:pPr>
    </w:p>
    <w:p w14:paraId="0750CA7A" w14:textId="77777777" w:rsidR="004D4C63" w:rsidRPr="002773E8" w:rsidRDefault="004D4C63" w:rsidP="009F2029">
      <w:pPr>
        <w:pStyle w:val="ListBullet"/>
        <w:spacing w:before="0"/>
        <w:ind w:left="1080"/>
        <w:rPr>
          <w:i/>
        </w:rPr>
      </w:pPr>
      <w:r w:rsidRPr="00BC321D">
        <w:t>Cost difference</w:t>
      </w:r>
      <w:r w:rsidR="008C4BED">
        <w:t xml:space="preserve">: </w:t>
      </w:r>
      <w:r w:rsidRPr="00BC321D">
        <w:t>Calculate the net cost by taking the 1:1 rate multiplied by 34 and subtracting the regular prevocational service rate multiplied by 34</w:t>
      </w:r>
      <w:r w:rsidR="00023280">
        <w:t>.</w:t>
      </w:r>
    </w:p>
    <w:p w14:paraId="41746F08" w14:textId="77777777" w:rsidR="004D4C63" w:rsidRPr="00BC321D" w:rsidRDefault="004D4C63" w:rsidP="009F2029">
      <w:pPr>
        <w:pStyle w:val="ListParagraph"/>
        <w:tabs>
          <w:tab w:val="left" w:pos="2520"/>
        </w:tabs>
        <w:spacing w:before="60" w:after="60"/>
        <w:ind w:left="1080"/>
        <w:rPr>
          <w:i/>
          <w:szCs w:val="22"/>
        </w:rPr>
      </w:pPr>
      <w:r w:rsidRPr="00BC321D">
        <w:rPr>
          <w:i/>
          <w:szCs w:val="22"/>
        </w:rPr>
        <w:t>Iowa Example</w:t>
      </w:r>
      <w:r w:rsidR="008C4BED">
        <w:rPr>
          <w:i/>
          <w:szCs w:val="22"/>
        </w:rPr>
        <w:t>:</w:t>
      </w:r>
      <w:r w:rsidR="002773E8">
        <w:rPr>
          <w:i/>
          <w:szCs w:val="22"/>
        </w:rPr>
        <w:tab/>
      </w:r>
      <w:r w:rsidRPr="00BC321D">
        <w:rPr>
          <w:i/>
          <w:szCs w:val="22"/>
        </w:rPr>
        <w:t>Net one-time cost difference per person = $961.</w:t>
      </w:r>
      <w:r w:rsidR="00C67472">
        <w:rPr>
          <w:i/>
          <w:szCs w:val="22"/>
        </w:rPr>
        <w:t>18</w:t>
      </w:r>
    </w:p>
    <w:p w14:paraId="2AD44F0A" w14:textId="77777777" w:rsidR="004D4C63" w:rsidRPr="00BC321D" w:rsidRDefault="00C67472" w:rsidP="00C51E73">
      <w:pPr>
        <w:spacing w:before="60" w:after="0"/>
        <w:ind w:left="2520"/>
      </w:pPr>
      <w:r>
        <w:t>(</w:t>
      </w:r>
      <w:r w:rsidR="004D4C63" w:rsidRPr="00BC321D">
        <w:t>$38.27 X 34 Hours = $1,301.18</w:t>
      </w:r>
      <w:r>
        <w:t>) – (</w:t>
      </w:r>
      <w:r w:rsidR="004D4C63" w:rsidRPr="00BC321D">
        <w:t>$10</w:t>
      </w:r>
      <w:r>
        <w:t>.00</w:t>
      </w:r>
      <w:r w:rsidR="004D4C63" w:rsidRPr="00BC321D">
        <w:t xml:space="preserve"> X 34 Hours =</w:t>
      </w:r>
      <w:r>
        <w:t xml:space="preserve"> </w:t>
      </w:r>
      <w:r w:rsidR="004D4C63" w:rsidRPr="00BC321D">
        <w:t>$340</w:t>
      </w:r>
      <w:r>
        <w:t xml:space="preserve">.00) = </w:t>
      </w:r>
      <w:r w:rsidR="00BF3D5E">
        <w:t>$</w:t>
      </w:r>
      <w:r>
        <w:t>961.18</w:t>
      </w:r>
    </w:p>
    <w:p w14:paraId="2DE8F0E6" w14:textId="77777777" w:rsidR="00965C01" w:rsidRPr="00043C33" w:rsidRDefault="00965C01" w:rsidP="00C1290E">
      <w:pPr>
        <w:pStyle w:val="ListNumber"/>
      </w:pPr>
      <w:r w:rsidRPr="00043C33">
        <w:t>Enhanced Job Development and Job Coaching rates for individualized Supported Employment services enabling people to obtain and maintain competitive integrated employment, established based on cost reporting from providers and new (increased) education/training requirements put in place for staff providing Job Development and Job Coaching service</w:t>
      </w:r>
      <w:r>
        <w:t>s. T</w:t>
      </w:r>
      <w:r w:rsidRPr="00043C33">
        <w:t>he fee-for-service billable hour rates were set at $66.13 for Job Developer and $45.16</w:t>
      </w:r>
      <w:r>
        <w:t xml:space="preserve"> for Job Coach</w:t>
      </w:r>
      <w:r w:rsidRPr="00043C33">
        <w:t>.</w:t>
      </w:r>
    </w:p>
    <w:p w14:paraId="5C6E7F38" w14:textId="77777777" w:rsidR="00965C01" w:rsidRPr="00043C33" w:rsidRDefault="00965C01" w:rsidP="002643D0">
      <w:pPr>
        <w:pStyle w:val="ListBullet"/>
        <w:ind w:left="1080"/>
      </w:pPr>
      <w:r w:rsidRPr="00043C33">
        <w:t>Job Development service limited to one initial 40</w:t>
      </w:r>
      <w:r>
        <w:t>-</w:t>
      </w:r>
      <w:r w:rsidRPr="00043C33">
        <w:t xml:space="preserve">hour authorization with one extended authorization (if needed) of </w:t>
      </w:r>
      <w:r>
        <w:t xml:space="preserve">an </w:t>
      </w:r>
      <w:r w:rsidRPr="00043C33">
        <w:t xml:space="preserve">additional 20 hours. </w:t>
      </w:r>
      <w:r w:rsidR="00C51E73">
        <w:t>Sixty (</w:t>
      </w:r>
      <w:r w:rsidRPr="00043C33">
        <w:t>60</w:t>
      </w:r>
      <w:r w:rsidR="00C51E73">
        <w:t>)</w:t>
      </w:r>
      <w:r>
        <w:t xml:space="preserve"> </w:t>
      </w:r>
      <w:r w:rsidRPr="00043C33">
        <w:t xml:space="preserve">hours </w:t>
      </w:r>
      <w:r>
        <w:t xml:space="preserve">set as </w:t>
      </w:r>
      <w:r w:rsidRPr="00043C33">
        <w:t>maximum total hours per year per waiver participant.</w:t>
      </w:r>
    </w:p>
    <w:p w14:paraId="1613751E" w14:textId="77777777" w:rsidR="00965C01" w:rsidRPr="00043C33" w:rsidRDefault="00965C01" w:rsidP="002643D0">
      <w:pPr>
        <w:pStyle w:val="ListBullet"/>
        <w:ind w:left="1080"/>
      </w:pPr>
      <w:r w:rsidRPr="00043C33">
        <w:t xml:space="preserve">Job Coaching service authorized through </w:t>
      </w:r>
      <w:r>
        <w:t xml:space="preserve">the </w:t>
      </w:r>
      <w:r w:rsidRPr="00043C33">
        <w:t xml:space="preserve">monthly unit with five authorization levels based on </w:t>
      </w:r>
      <w:r w:rsidR="00691877">
        <w:t xml:space="preserve">the </w:t>
      </w:r>
      <w:r w:rsidRPr="00043C33">
        <w:t xml:space="preserve">range of hours of job coaching </w:t>
      </w:r>
      <w:r>
        <w:t xml:space="preserve">as </w:t>
      </w:r>
      <w:r w:rsidRPr="00043C33">
        <w:t>needed:</w:t>
      </w:r>
    </w:p>
    <w:p w14:paraId="0380B759" w14:textId="77777777" w:rsidR="00965C01" w:rsidRPr="00043C33" w:rsidRDefault="00965C01" w:rsidP="002643D0">
      <w:pPr>
        <w:pStyle w:val="ListBullet"/>
        <w:tabs>
          <w:tab w:val="right" w:pos="6390"/>
        </w:tabs>
        <w:ind w:left="1440"/>
      </w:pPr>
      <w:r w:rsidRPr="00043C33">
        <w:t>Tier 1 = Minimum 1 contact/month</w:t>
      </w:r>
      <w:r w:rsidR="00B85F69">
        <w:tab/>
      </w:r>
      <w:r w:rsidRPr="00043C33">
        <w:t>$67.67</w:t>
      </w:r>
    </w:p>
    <w:p w14:paraId="7C0694B0" w14:textId="77777777" w:rsidR="00965C01" w:rsidRPr="00043C33" w:rsidRDefault="00965C01" w:rsidP="002643D0">
      <w:pPr>
        <w:pStyle w:val="ListBullet"/>
        <w:tabs>
          <w:tab w:val="right" w:pos="6390"/>
        </w:tabs>
        <w:ind w:left="1440"/>
      </w:pPr>
      <w:r w:rsidRPr="00043C33">
        <w:t>Tier 2 = 2-8 hours/month</w:t>
      </w:r>
      <w:r w:rsidRPr="00043C33">
        <w:tab/>
        <w:t>$361.58</w:t>
      </w:r>
    </w:p>
    <w:p w14:paraId="23832F75" w14:textId="77777777" w:rsidR="00965C01" w:rsidRPr="00043C33" w:rsidRDefault="00965C01" w:rsidP="002643D0">
      <w:pPr>
        <w:pStyle w:val="ListBullet"/>
        <w:tabs>
          <w:tab w:val="right" w:pos="6390"/>
        </w:tabs>
        <w:ind w:left="1440"/>
      </w:pPr>
      <w:r w:rsidRPr="00043C33">
        <w:t>Tier 3 = 9-16 hours/month</w:t>
      </w:r>
      <w:r w:rsidRPr="00043C33">
        <w:tab/>
        <w:t>$722.15</w:t>
      </w:r>
    </w:p>
    <w:p w14:paraId="7AC0575E" w14:textId="77777777" w:rsidR="00965C01" w:rsidRPr="00043C33" w:rsidRDefault="00965C01" w:rsidP="002643D0">
      <w:pPr>
        <w:pStyle w:val="ListBullet"/>
        <w:tabs>
          <w:tab w:val="right" w:pos="6390"/>
        </w:tabs>
        <w:ind w:left="1440"/>
      </w:pPr>
      <w:r w:rsidRPr="00043C33">
        <w:t>Tier 4 = 17-25 hours/month</w:t>
      </w:r>
      <w:r w:rsidRPr="00043C33">
        <w:tab/>
        <w:t xml:space="preserve">$1,129.18 </w:t>
      </w:r>
    </w:p>
    <w:p w14:paraId="3FE4B65F" w14:textId="032645C7" w:rsidR="00965C01" w:rsidRPr="00043C33" w:rsidRDefault="00965C01" w:rsidP="002643D0">
      <w:pPr>
        <w:pStyle w:val="ListBullet"/>
        <w:tabs>
          <w:tab w:val="right" w:pos="6390"/>
        </w:tabs>
        <w:ind w:left="1440"/>
      </w:pPr>
      <w:r w:rsidRPr="00043C33">
        <w:t>Tier 5 = 26 or more hours per month</w:t>
      </w:r>
      <w:r w:rsidR="00B85F69">
        <w:tab/>
      </w:r>
      <w:r w:rsidRPr="00043C33">
        <w:t>$45.16</w:t>
      </w:r>
      <w:r w:rsidR="00BE46E5">
        <w:t>/h</w:t>
      </w:r>
      <w:r w:rsidR="00F05DFF">
        <w:t>ou</w:t>
      </w:r>
      <w:r w:rsidR="00BE46E5">
        <w:t>r</w:t>
      </w:r>
    </w:p>
    <w:p w14:paraId="443532DA" w14:textId="77777777" w:rsidR="00965C01" w:rsidRPr="00043C33" w:rsidRDefault="00965C01" w:rsidP="007A3A30">
      <w:pPr>
        <w:ind w:left="720"/>
      </w:pPr>
      <w:r w:rsidRPr="00043C33">
        <w:t>Job Coaching must be reauthorized every 90 days</w:t>
      </w:r>
      <w:r w:rsidR="006677B7">
        <w:t xml:space="preserve">. </w:t>
      </w:r>
      <w:r w:rsidRPr="00043C33">
        <w:t xml:space="preserve">The intent of the model is that providers will transition people from higher tiers to lower tiers over time. </w:t>
      </w:r>
    </w:p>
    <w:p w14:paraId="47ECB4F4" w14:textId="77777777" w:rsidR="00965C01" w:rsidRPr="005B56D6" w:rsidRDefault="00965C01" w:rsidP="00EF1B20">
      <w:pPr>
        <w:ind w:left="360"/>
      </w:pPr>
      <w:r w:rsidRPr="00043C33">
        <w:t xml:space="preserve">Iowa Medicaid reports they are currently in </w:t>
      </w:r>
      <w:r>
        <w:t xml:space="preserve">the </w:t>
      </w:r>
      <w:r w:rsidRPr="00043C33">
        <w:t>process of doing data analysis to determine the rate and frequency at which people are moving through the tiers.</w:t>
      </w:r>
      <w:r>
        <w:t xml:space="preserve"> Tier 1 was included to encourage providers to maintain contact, because it is easier and less costly to help people keep their jobs and prevent adverse outcomes (e.g.</w:t>
      </w:r>
      <w:r w:rsidR="00EB5064">
        <w:t>,</w:t>
      </w:r>
      <w:r>
        <w:t xml:space="preserve"> losing hours, losing jobs, leaving jobs for fear of losing benefits) than to have to reopen a case and start over with job development after a job loss that could have been avoided. </w:t>
      </w:r>
    </w:p>
    <w:p w14:paraId="5EE6D3B9" w14:textId="77777777" w:rsidR="00965C01" w:rsidRPr="00043C33" w:rsidRDefault="00965C01" w:rsidP="00BE46E5">
      <w:pPr>
        <w:pStyle w:val="ListBullet"/>
        <w:ind w:left="1080"/>
      </w:pPr>
      <w:r w:rsidRPr="00043C33">
        <w:t xml:space="preserve">Total maximum monthly cost per individual for all </w:t>
      </w:r>
      <w:r w:rsidR="00F655C6">
        <w:t>Supported Employment</w:t>
      </w:r>
      <w:r w:rsidRPr="00043C33">
        <w:t xml:space="preserve"> services set at $3,059.29 per month</w:t>
      </w:r>
      <w:r w:rsidR="00850771">
        <w:t>.</w:t>
      </w:r>
    </w:p>
    <w:p w14:paraId="58554D4D" w14:textId="77777777" w:rsidR="004D4C63" w:rsidRPr="00BC321D" w:rsidRDefault="004D4C63" w:rsidP="00022B8D">
      <w:pPr>
        <w:pStyle w:val="ListParagraph"/>
        <w:ind w:left="360"/>
        <w:rPr>
          <w:szCs w:val="22"/>
        </w:rPr>
      </w:pPr>
      <w:r w:rsidRPr="00BC321D">
        <w:rPr>
          <w:szCs w:val="22"/>
        </w:rPr>
        <w:t xml:space="preserve">In addition to these changes, Iowa Medicaid also rebalanced rates for Small Group Supported Employment. Iowa Medicaid recognized that one flat reimbursement rate per </w:t>
      </w:r>
      <w:r w:rsidR="00EA04FB">
        <w:rPr>
          <w:szCs w:val="22"/>
        </w:rPr>
        <w:t>15-minute</w:t>
      </w:r>
      <w:r w:rsidRPr="00BC321D">
        <w:rPr>
          <w:szCs w:val="22"/>
        </w:rPr>
        <w:t xml:space="preserve"> unit for any group, from as small as two to as large as eight, created a likely financial incentive for providers to develop larger groups. Therefore, Iowa Medicaid created tiered rates based on group size in order to eliminate any financial incentive for providers to develop and expand the number of larger groups as compared to smaller groups</w:t>
      </w:r>
      <w:r w:rsidR="008C4BED">
        <w:rPr>
          <w:szCs w:val="22"/>
        </w:rPr>
        <w:t xml:space="preserve">: </w:t>
      </w:r>
    </w:p>
    <w:p w14:paraId="5B836ECB" w14:textId="77777777" w:rsidR="004D4C63" w:rsidRPr="00BC321D" w:rsidRDefault="004D4C63" w:rsidP="000B61B8">
      <w:pPr>
        <w:pStyle w:val="ListBullet"/>
        <w:ind w:left="1440"/>
      </w:pPr>
      <w:r w:rsidRPr="00BC321D">
        <w:t xml:space="preserve">Tier 1 – Groups of 2-4 = $2.84 per member per </w:t>
      </w:r>
      <w:r w:rsidR="00EA04FB">
        <w:t>15-minute</w:t>
      </w:r>
      <w:r w:rsidRPr="00BC321D">
        <w:t xml:space="preserve"> unit</w:t>
      </w:r>
    </w:p>
    <w:p w14:paraId="5C3E4A32" w14:textId="77777777" w:rsidR="004D4C63" w:rsidRPr="00BC321D" w:rsidRDefault="004D4C63" w:rsidP="00B32719">
      <w:pPr>
        <w:pStyle w:val="ListBullet"/>
        <w:ind w:left="1440"/>
      </w:pPr>
      <w:r w:rsidRPr="00BC321D">
        <w:t xml:space="preserve">Tier 2 - Groups of 5-6 = $1.77 per member per </w:t>
      </w:r>
      <w:r w:rsidR="00EA04FB">
        <w:t>15-minute</w:t>
      </w:r>
      <w:r w:rsidRPr="00BC321D">
        <w:t xml:space="preserve"> unit</w:t>
      </w:r>
    </w:p>
    <w:p w14:paraId="5CB141F2" w14:textId="77777777" w:rsidR="004D4C63" w:rsidRPr="00F7360C" w:rsidRDefault="004D4C63" w:rsidP="00B32719">
      <w:pPr>
        <w:pStyle w:val="ListBullet"/>
        <w:ind w:left="1440"/>
        <w:rPr>
          <w:szCs w:val="22"/>
        </w:rPr>
      </w:pPr>
      <w:r w:rsidRPr="00BC321D">
        <w:t xml:space="preserve">Tier 3 - Groups of 7-8 = $1.26 per member per </w:t>
      </w:r>
      <w:r w:rsidR="00EA04FB">
        <w:t>15-minute</w:t>
      </w:r>
      <w:r w:rsidRPr="00BC321D">
        <w:t xml:space="preserve"> unit</w:t>
      </w:r>
    </w:p>
    <w:p w14:paraId="173BBC54" w14:textId="77777777" w:rsidR="006972A3" w:rsidRPr="00E56C54" w:rsidRDefault="004D4C63" w:rsidP="00022B8D">
      <w:pPr>
        <w:pStyle w:val="ListParagraph"/>
        <w:ind w:left="360"/>
        <w:rPr>
          <w:szCs w:val="22"/>
        </w:rPr>
      </w:pPr>
      <w:r w:rsidRPr="00BC321D">
        <w:rPr>
          <w:szCs w:val="22"/>
        </w:rPr>
        <w:lastRenderedPageBreak/>
        <w:t xml:space="preserve">The overall impact of the cost-neutral rebalancing done in Iowa, </w:t>
      </w:r>
      <w:r w:rsidRPr="005362D2">
        <w:rPr>
          <w:szCs w:val="22"/>
        </w:rPr>
        <w:t xml:space="preserve">implemented </w:t>
      </w:r>
      <w:r w:rsidR="00CE50D9">
        <w:rPr>
          <w:szCs w:val="22"/>
        </w:rPr>
        <w:t xml:space="preserve">in </w:t>
      </w:r>
      <w:r w:rsidRPr="005362D2">
        <w:rPr>
          <w:szCs w:val="22"/>
        </w:rPr>
        <w:t>May 2016</w:t>
      </w:r>
      <w:r w:rsidR="00EB5064">
        <w:rPr>
          <w:szCs w:val="22"/>
        </w:rPr>
        <w:t>,</w:t>
      </w:r>
      <w:r w:rsidRPr="00BC321D">
        <w:rPr>
          <w:szCs w:val="22"/>
        </w:rPr>
        <w:t xml:space="preserve"> is illustrated by the figure below that shows the portion of overall employment service expenditures that </w:t>
      </w:r>
      <w:r w:rsidRPr="00AC36C0">
        <w:rPr>
          <w:szCs w:val="22"/>
        </w:rPr>
        <w:t>were spent on community employment (Individual and Small Group SE) went from 29% in 2015 to 60% in 2018</w:t>
      </w:r>
      <w:r w:rsidR="00023280" w:rsidRPr="00AC36C0">
        <w:rPr>
          <w:szCs w:val="22"/>
        </w:rPr>
        <w:t>.</w:t>
      </w:r>
    </w:p>
    <w:p w14:paraId="69B4AD11" w14:textId="77777777" w:rsidR="004D4C63" w:rsidRPr="0091097A" w:rsidRDefault="00DA1F0B" w:rsidP="00022B8D">
      <w:pPr>
        <w:pStyle w:val="ListParagraph"/>
        <w:spacing w:before="0" w:after="0" w:line="240" w:lineRule="auto"/>
        <w:ind w:left="0"/>
        <w:jc w:val="center"/>
        <w:rPr>
          <w:szCs w:val="22"/>
        </w:rPr>
      </w:pPr>
      <w:r>
        <w:rPr>
          <w:noProof/>
        </w:rPr>
        <w:drawing>
          <wp:inline distT="0" distB="0" distL="0" distR="0" wp14:anchorId="3809C776" wp14:editId="6148F0FA">
            <wp:extent cx="5016500" cy="2838450"/>
            <wp:effectExtent l="0" t="0" r="0" b="0"/>
            <wp:docPr id="9" name="Chart 9" descr="Chart showing knock-on effects of if less service need to be provided.">
              <a:extLst xmlns:a="http://schemas.openxmlformats.org/drawingml/2006/main">
                <a:ext uri="{FF2B5EF4-FFF2-40B4-BE49-F238E27FC236}">
                  <a16:creationId xmlns:a16="http://schemas.microsoft.com/office/drawing/2014/main" id="{D81A4392-6EAB-4FFC-BE82-6465DF65A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6382AF" w14:textId="77777777" w:rsidR="0019275D" w:rsidRDefault="0019275D" w:rsidP="00022B8D">
      <w:pPr>
        <w:pStyle w:val="NoSpacing"/>
      </w:pPr>
    </w:p>
    <w:p w14:paraId="32943DA1" w14:textId="1E4F0AF1" w:rsidR="00305196" w:rsidRDefault="004D4C63" w:rsidP="00022B8D">
      <w:pPr>
        <w:rPr>
          <w:noProof/>
        </w:rPr>
      </w:pPr>
      <w:r w:rsidRPr="003A1D07">
        <w:t xml:space="preserve">Prior to the change, data from 2015 shows </w:t>
      </w:r>
      <w:r w:rsidRPr="00043C33">
        <w:t xml:space="preserve">the number of individuals funded by Medicaid working in community employment as 2,409 (Individual and Small Group). By 2018, the data chart below shows that </w:t>
      </w:r>
      <w:r w:rsidR="00C85DAA">
        <w:t>this</w:t>
      </w:r>
      <w:r w:rsidR="00F718A5">
        <w:t xml:space="preserve"> </w:t>
      </w:r>
      <w:r w:rsidRPr="00043C33">
        <w:t>number had increased to 4,720.</w:t>
      </w:r>
      <w:r w:rsidR="00814FFA" w:rsidRPr="00814FFA">
        <w:rPr>
          <w:noProof/>
        </w:rPr>
        <w:t xml:space="preserve"> </w:t>
      </w:r>
    </w:p>
    <w:p w14:paraId="32CDDAC8" w14:textId="77777777" w:rsidR="0019275D" w:rsidRDefault="0019275D" w:rsidP="00022B8D">
      <w:pPr>
        <w:pStyle w:val="NoSpacing"/>
        <w:rPr>
          <w:noProof/>
        </w:rPr>
      </w:pPr>
    </w:p>
    <w:p w14:paraId="1D5F12B8" w14:textId="77777777" w:rsidR="004D4C63" w:rsidRDefault="00814FFA" w:rsidP="00022B8D">
      <w:pPr>
        <w:spacing w:before="0" w:after="0" w:line="240" w:lineRule="auto"/>
        <w:jc w:val="center"/>
      </w:pPr>
      <w:r w:rsidRPr="00A4736D">
        <w:rPr>
          <w:noProof/>
        </w:rPr>
        <w:drawing>
          <wp:inline distT="0" distB="0" distL="0" distR="0" wp14:anchorId="2C52AC16" wp14:editId="465185C1">
            <wp:extent cx="4861367" cy="2835797"/>
            <wp:effectExtent l="0" t="0" r="3175" b="0"/>
            <wp:docPr id="1" name="Chart 1" descr="Figure illustrating persons receiving Community and Facility-Based Employment Services.">
              <a:extLst xmlns:a="http://schemas.openxmlformats.org/drawingml/2006/main">
                <a:ext uri="{FF2B5EF4-FFF2-40B4-BE49-F238E27FC236}">
                  <a16:creationId xmlns:a16="http://schemas.microsoft.com/office/drawing/2014/main" id="{4CE68F30-20AF-4515-8065-484AB42B9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5DD869" w14:textId="77777777" w:rsidR="004D4C63" w:rsidRPr="00043C33" w:rsidRDefault="004D4C63" w:rsidP="002476FD">
      <w:pPr>
        <w:pStyle w:val="NoSpacing"/>
      </w:pPr>
    </w:p>
    <w:p w14:paraId="22441D7F" w14:textId="77777777" w:rsidR="004D4C63" w:rsidRPr="006A2BD9" w:rsidRDefault="004D4C63" w:rsidP="00B11115">
      <w:pPr>
        <w:pStyle w:val="Heading2"/>
      </w:pPr>
      <w:bookmarkStart w:id="16" w:name="_Toc70944169"/>
      <w:r w:rsidRPr="006A2BD9">
        <w:lastRenderedPageBreak/>
        <w:t>C</w:t>
      </w:r>
      <w:r w:rsidR="00BD6134" w:rsidRPr="006A2BD9">
        <w:t>ase Example: Oakland County, Michigan</w:t>
      </w:r>
      <w:bookmarkEnd w:id="16"/>
    </w:p>
    <w:p w14:paraId="2A2C5373" w14:textId="77777777" w:rsidR="00661017" w:rsidRPr="00043C33" w:rsidRDefault="00661017" w:rsidP="00B1367E">
      <w:r>
        <w:t xml:space="preserve">In Michigan, Oakland </w:t>
      </w:r>
      <w:r w:rsidRPr="00043C33">
        <w:t>Community Health Network</w:t>
      </w:r>
      <w:r w:rsidR="00AA762A">
        <w:t xml:space="preserve"> (OCHN)</w:t>
      </w:r>
      <w:r w:rsidRPr="00043C33">
        <w:t xml:space="preserve">, the managed care entity responsible for contracting for day and employment services for people with </w:t>
      </w:r>
      <w:r>
        <w:t>intellectual and developmental disabilities (</w:t>
      </w:r>
      <w:r w:rsidRPr="00043C33">
        <w:t>IDD</w:t>
      </w:r>
      <w:r>
        <w:t>)</w:t>
      </w:r>
      <w:r w:rsidRPr="00043C33">
        <w:t xml:space="preserve">, collected cost data from providers of Skill Building (prevocational) and Supported Employment services to determine appropriate rates that incentivized services to support competitive integrated employment and community-based Skill Building services. The result of </w:t>
      </w:r>
      <w:r w:rsidR="00AA762A">
        <w:t xml:space="preserve">the </w:t>
      </w:r>
      <w:r>
        <w:t>cost data</w:t>
      </w:r>
      <w:r w:rsidR="00AA762A">
        <w:t xml:space="preserve"> analysis</w:t>
      </w:r>
      <w:r>
        <w:t xml:space="preserve"> enabled O</w:t>
      </w:r>
      <w:r w:rsidRPr="00043C33">
        <w:t>CHN to establish new rates based on comprehensive rate models for Facility and Community-Based Skill Building, Individual Supported Employment</w:t>
      </w:r>
      <w:r w:rsidR="00AA762A">
        <w:t>,</w:t>
      </w:r>
      <w:r w:rsidRPr="00043C33">
        <w:t xml:space="preserve"> and Small Group Supporte</w:t>
      </w:r>
      <w:r>
        <w:t>d Employment. OC</w:t>
      </w:r>
      <w:r w:rsidRPr="00043C33">
        <w:t>HN was able to reduce the rate for facility-based Skill Building to only cover the calculated cost to provide the service. They reinvested the savings to establish:</w:t>
      </w:r>
    </w:p>
    <w:p w14:paraId="018A331B" w14:textId="77777777" w:rsidR="005158CA" w:rsidRPr="00043C33" w:rsidRDefault="005158CA" w:rsidP="00A4736D">
      <w:pPr>
        <w:pStyle w:val="ListBullet"/>
      </w:pPr>
      <w:r w:rsidRPr="00043C33">
        <w:t>An enhanced reimbursement structure for individual Job Coaching (built on $38.61 as the calculated hourly cost) to support competitive integrated employment as the priority outcome.</w:t>
      </w:r>
    </w:p>
    <w:p w14:paraId="2DD73B7F" w14:textId="77777777" w:rsidR="001E6CD2" w:rsidRDefault="00B15165" w:rsidP="005D37C6">
      <w:pPr>
        <w:pStyle w:val="ListBullet"/>
        <w:spacing w:after="120"/>
      </w:pPr>
      <w:r>
        <w:t>An o</w:t>
      </w:r>
      <w:r w:rsidR="005158CA" w:rsidRPr="00043C33">
        <w:t xml:space="preserve">ption for providers to provide Skill Building services </w:t>
      </w:r>
      <w:r w:rsidR="005158CA" w:rsidRPr="00043C33">
        <w:rPr>
          <w:u w:val="single"/>
        </w:rPr>
        <w:t>in the community</w:t>
      </w:r>
      <w:r w:rsidR="005158CA" w:rsidRPr="00043C33">
        <w:t xml:space="preserve">, consistent with best practices and HCBS Settings Rule expectations. This involved setting differential rates for </w:t>
      </w:r>
      <w:r w:rsidR="005158CA">
        <w:t>C</w:t>
      </w:r>
      <w:r w:rsidR="005158CA" w:rsidRPr="00043C33">
        <w:t>ommunity-</w:t>
      </w:r>
      <w:r w:rsidR="005158CA">
        <w:t>B</w:t>
      </w:r>
      <w:r w:rsidR="005158CA" w:rsidRPr="00043C33">
        <w:t>ased Skill Building as compared to Facility-Based Skill Building. While Facility-Based Skill Building moved to one flat rate, tiered Community-Based Skill Building rates were created based on staffing ratios to encourage smaller group service models and to incentivize the provision of Skill Building in the community rather than in a facility:</w:t>
      </w:r>
    </w:p>
    <w:p w14:paraId="351242D1" w14:textId="6360253B" w:rsidR="001E6CD2" w:rsidRDefault="001E6CD2">
      <w:pPr>
        <w:spacing w:before="0" w:after="0" w:line="240" w:lineRule="auto"/>
      </w:pPr>
    </w:p>
    <w:tbl>
      <w:tblPr>
        <w:tblW w:w="4860" w:type="dxa"/>
        <w:jc w:val="center"/>
        <w:tblLayout w:type="fixed"/>
        <w:tblLook w:val="0420" w:firstRow="1" w:lastRow="0" w:firstColumn="0" w:lastColumn="0" w:noHBand="0" w:noVBand="1"/>
        <w:tblCaption w:val="Community-Based Skill Building"/>
        <w:tblDescription w:val="Comparison of Community-Based Skill Building group size vs rate."/>
      </w:tblPr>
      <w:tblGrid>
        <w:gridCol w:w="2340"/>
        <w:gridCol w:w="900"/>
        <w:gridCol w:w="1620"/>
      </w:tblGrid>
      <w:tr w:rsidR="00B00253" w:rsidRPr="00206515" w14:paraId="7CCA4B64" w14:textId="77777777" w:rsidTr="00F05DFF">
        <w:trPr>
          <w:trHeight w:val="374"/>
          <w:tblHeader/>
          <w:jc w:val="center"/>
        </w:trPr>
        <w:tc>
          <w:tcPr>
            <w:tcW w:w="2340" w:type="dxa"/>
            <w:shd w:val="clear" w:color="auto" w:fill="403152" w:themeFill="accent4" w:themeFillShade="80"/>
            <w:noWrap/>
            <w:vAlign w:val="center"/>
            <w:hideMark/>
          </w:tcPr>
          <w:p w14:paraId="27AE9FC6" w14:textId="77777777" w:rsidR="00B00253" w:rsidRPr="00206515" w:rsidRDefault="00B00253" w:rsidP="00B00253">
            <w:pPr>
              <w:spacing w:before="60" w:after="60" w:line="240" w:lineRule="auto"/>
              <w:jc w:val="center"/>
              <w:rPr>
                <w:rFonts w:ascii="Optima" w:hAnsi="Optima"/>
                <w:b/>
                <w:bCs/>
                <w:color w:val="FFFFFF" w:themeColor="background1"/>
                <w:sz w:val="19"/>
                <w:szCs w:val="19"/>
              </w:rPr>
            </w:pPr>
            <w:r w:rsidRPr="00C74E35">
              <w:rPr>
                <w:rFonts w:ascii="Optima" w:hAnsi="Optima"/>
                <w:b/>
                <w:bCs/>
                <w:color w:val="FFFFFF" w:themeColor="background1"/>
                <w:sz w:val="19"/>
                <w:szCs w:val="19"/>
              </w:rPr>
              <w:t>Group Size</w:t>
            </w:r>
          </w:p>
        </w:tc>
        <w:tc>
          <w:tcPr>
            <w:tcW w:w="2520" w:type="dxa"/>
            <w:gridSpan w:val="2"/>
            <w:shd w:val="clear" w:color="auto" w:fill="403152" w:themeFill="accent4" w:themeFillShade="80"/>
            <w:vAlign w:val="center"/>
          </w:tcPr>
          <w:p w14:paraId="713441B9" w14:textId="77777777" w:rsidR="00B00253" w:rsidRPr="00206515" w:rsidRDefault="00B00253" w:rsidP="00311DE1">
            <w:pPr>
              <w:spacing w:before="60" w:after="60" w:line="240" w:lineRule="auto"/>
              <w:jc w:val="center"/>
              <w:rPr>
                <w:rFonts w:ascii="Optima" w:hAnsi="Optima"/>
                <w:b/>
                <w:bCs/>
                <w:color w:val="FFFFFF" w:themeColor="background1"/>
                <w:sz w:val="19"/>
                <w:szCs w:val="19"/>
              </w:rPr>
            </w:pPr>
            <w:r w:rsidRPr="00C74E35">
              <w:rPr>
                <w:rFonts w:ascii="Optima" w:hAnsi="Optima"/>
                <w:b/>
                <w:bCs/>
                <w:color w:val="FFFFFF" w:themeColor="background1"/>
                <w:sz w:val="19"/>
                <w:szCs w:val="19"/>
              </w:rPr>
              <w:t>Rate ($)</w:t>
            </w:r>
          </w:p>
        </w:tc>
      </w:tr>
      <w:tr w:rsidR="00742D59" w:rsidRPr="0004323D" w14:paraId="7F114C7A" w14:textId="77777777" w:rsidTr="00F05DFF">
        <w:trPr>
          <w:trHeight w:val="374"/>
          <w:tblHeader/>
          <w:jc w:val="center"/>
        </w:trPr>
        <w:tc>
          <w:tcPr>
            <w:tcW w:w="2340" w:type="dxa"/>
            <w:shd w:val="clear" w:color="auto" w:fill="E5DFEC" w:themeFill="accent4" w:themeFillTint="33"/>
            <w:noWrap/>
            <w:vAlign w:val="center"/>
            <w:hideMark/>
          </w:tcPr>
          <w:p w14:paraId="7CAA9213" w14:textId="77777777" w:rsidR="00742D59" w:rsidRPr="0004323D" w:rsidRDefault="00742D59" w:rsidP="00742D59">
            <w:pPr>
              <w:spacing w:before="60" w:after="60" w:line="240" w:lineRule="auto"/>
              <w:jc w:val="center"/>
              <w:rPr>
                <w:rFonts w:ascii="Optima" w:hAnsi="Optima"/>
                <w:color w:val="262626" w:themeColor="text1" w:themeTint="D9"/>
                <w:sz w:val="19"/>
                <w:szCs w:val="19"/>
              </w:rPr>
            </w:pPr>
            <w:r w:rsidRPr="0004323D">
              <w:rPr>
                <w:rFonts w:ascii="Optima" w:hAnsi="Optima"/>
                <w:color w:val="262626" w:themeColor="text1" w:themeTint="D9"/>
                <w:sz w:val="19"/>
                <w:szCs w:val="19"/>
              </w:rPr>
              <w:t>1:2 Ratio</w:t>
            </w:r>
          </w:p>
        </w:tc>
        <w:tc>
          <w:tcPr>
            <w:tcW w:w="900" w:type="dxa"/>
            <w:shd w:val="clear" w:color="auto" w:fill="E5DFEC" w:themeFill="accent4" w:themeFillTint="33"/>
            <w:noWrap/>
            <w:vAlign w:val="center"/>
            <w:hideMark/>
          </w:tcPr>
          <w:p w14:paraId="36B2F071" w14:textId="77777777" w:rsidR="00742D59" w:rsidRPr="0004323D" w:rsidRDefault="00742D59" w:rsidP="00311DE1">
            <w:pPr>
              <w:spacing w:before="60" w:after="60" w:line="240" w:lineRule="auto"/>
              <w:jc w:val="right"/>
              <w:rPr>
                <w:rFonts w:ascii="Optima" w:hAnsi="Optima"/>
                <w:color w:val="262626" w:themeColor="text1" w:themeTint="D9"/>
                <w:sz w:val="19"/>
                <w:szCs w:val="19"/>
              </w:rPr>
            </w:pPr>
            <w:r w:rsidRPr="0004323D">
              <w:rPr>
                <w:rFonts w:ascii="Optima" w:hAnsi="Optima"/>
                <w:color w:val="262626" w:themeColor="text1" w:themeTint="D9"/>
                <w:sz w:val="19"/>
                <w:szCs w:val="19"/>
              </w:rPr>
              <w:t>$4.42</w:t>
            </w:r>
          </w:p>
        </w:tc>
        <w:tc>
          <w:tcPr>
            <w:tcW w:w="1620" w:type="dxa"/>
            <w:shd w:val="clear" w:color="auto" w:fill="E5DFEC" w:themeFill="accent4" w:themeFillTint="33"/>
            <w:noWrap/>
            <w:vAlign w:val="center"/>
            <w:hideMark/>
          </w:tcPr>
          <w:p w14:paraId="09BEFD8A" w14:textId="77777777" w:rsidR="00742D59" w:rsidRPr="0004323D" w:rsidRDefault="00742D59" w:rsidP="00311DE1">
            <w:pPr>
              <w:spacing w:before="60" w:after="60" w:line="240" w:lineRule="auto"/>
              <w:rPr>
                <w:rFonts w:ascii="Optima" w:hAnsi="Optima"/>
                <w:color w:val="262626" w:themeColor="text1" w:themeTint="D9"/>
                <w:sz w:val="19"/>
                <w:szCs w:val="19"/>
              </w:rPr>
            </w:pPr>
            <w:r w:rsidRPr="0004323D">
              <w:rPr>
                <w:rFonts w:ascii="Optima" w:hAnsi="Optima"/>
                <w:color w:val="262626" w:themeColor="text1" w:themeTint="D9"/>
                <w:sz w:val="19"/>
                <w:szCs w:val="19"/>
              </w:rPr>
              <w:t>per 15 min unit</w:t>
            </w:r>
          </w:p>
        </w:tc>
      </w:tr>
      <w:tr w:rsidR="00742D59" w:rsidRPr="0004323D" w14:paraId="27F26E2D" w14:textId="77777777" w:rsidTr="00F05DFF">
        <w:trPr>
          <w:trHeight w:val="374"/>
          <w:tblHeader/>
          <w:jc w:val="center"/>
        </w:trPr>
        <w:tc>
          <w:tcPr>
            <w:tcW w:w="2340" w:type="dxa"/>
            <w:shd w:val="clear" w:color="auto" w:fill="auto"/>
            <w:noWrap/>
            <w:vAlign w:val="center"/>
            <w:hideMark/>
          </w:tcPr>
          <w:p w14:paraId="55AFF11C" w14:textId="77777777" w:rsidR="00742D59" w:rsidRPr="0004323D" w:rsidRDefault="00742D59" w:rsidP="00742D59">
            <w:pPr>
              <w:spacing w:before="60" w:after="60" w:line="240" w:lineRule="auto"/>
              <w:jc w:val="center"/>
              <w:rPr>
                <w:rFonts w:ascii="Optima" w:hAnsi="Optima"/>
                <w:color w:val="262626" w:themeColor="text1" w:themeTint="D9"/>
                <w:sz w:val="19"/>
                <w:szCs w:val="19"/>
              </w:rPr>
            </w:pPr>
            <w:r w:rsidRPr="0004323D">
              <w:rPr>
                <w:rFonts w:ascii="Optima" w:hAnsi="Optima"/>
                <w:color w:val="262626" w:themeColor="text1" w:themeTint="D9"/>
                <w:sz w:val="19"/>
                <w:szCs w:val="19"/>
              </w:rPr>
              <w:t>1:3-4 Ratio</w:t>
            </w:r>
          </w:p>
        </w:tc>
        <w:tc>
          <w:tcPr>
            <w:tcW w:w="900" w:type="dxa"/>
            <w:shd w:val="clear" w:color="auto" w:fill="auto"/>
            <w:noWrap/>
            <w:vAlign w:val="center"/>
            <w:hideMark/>
          </w:tcPr>
          <w:p w14:paraId="59C1A4B3" w14:textId="77777777" w:rsidR="00742D59" w:rsidRPr="0004323D" w:rsidRDefault="00742D59" w:rsidP="00311DE1">
            <w:pPr>
              <w:spacing w:before="60" w:after="60" w:line="240" w:lineRule="auto"/>
              <w:jc w:val="right"/>
              <w:rPr>
                <w:rFonts w:ascii="Optima" w:hAnsi="Optima"/>
                <w:color w:val="262626" w:themeColor="text1" w:themeTint="D9"/>
                <w:sz w:val="19"/>
                <w:szCs w:val="19"/>
              </w:rPr>
            </w:pPr>
            <w:r w:rsidRPr="0004323D">
              <w:rPr>
                <w:rFonts w:ascii="Optima" w:hAnsi="Optima"/>
                <w:color w:val="262626" w:themeColor="text1" w:themeTint="D9"/>
                <w:sz w:val="19"/>
                <w:szCs w:val="19"/>
              </w:rPr>
              <w:t>$2.71</w:t>
            </w:r>
          </w:p>
        </w:tc>
        <w:tc>
          <w:tcPr>
            <w:tcW w:w="1620" w:type="dxa"/>
            <w:shd w:val="clear" w:color="auto" w:fill="auto"/>
            <w:noWrap/>
            <w:vAlign w:val="center"/>
            <w:hideMark/>
          </w:tcPr>
          <w:p w14:paraId="74D84595" w14:textId="77777777" w:rsidR="00742D59" w:rsidRPr="0004323D" w:rsidRDefault="00742D59" w:rsidP="00311DE1">
            <w:pPr>
              <w:spacing w:before="60" w:after="60" w:line="240" w:lineRule="auto"/>
              <w:rPr>
                <w:rFonts w:ascii="Optima" w:hAnsi="Optima"/>
                <w:color w:val="262626" w:themeColor="text1" w:themeTint="D9"/>
                <w:sz w:val="19"/>
                <w:szCs w:val="19"/>
              </w:rPr>
            </w:pPr>
            <w:r w:rsidRPr="0004323D">
              <w:rPr>
                <w:rFonts w:ascii="Optima" w:hAnsi="Optima"/>
                <w:color w:val="262626" w:themeColor="text1" w:themeTint="D9"/>
                <w:sz w:val="19"/>
                <w:szCs w:val="19"/>
              </w:rPr>
              <w:t>per 15 min unit</w:t>
            </w:r>
          </w:p>
        </w:tc>
      </w:tr>
      <w:tr w:rsidR="00742D59" w:rsidRPr="0004323D" w14:paraId="228DD1D7" w14:textId="77777777" w:rsidTr="00F05DFF">
        <w:trPr>
          <w:trHeight w:val="374"/>
          <w:tblHeader/>
          <w:jc w:val="center"/>
        </w:trPr>
        <w:tc>
          <w:tcPr>
            <w:tcW w:w="2340" w:type="dxa"/>
            <w:shd w:val="clear" w:color="auto" w:fill="E5DFEC" w:themeFill="accent4" w:themeFillTint="33"/>
            <w:noWrap/>
            <w:vAlign w:val="center"/>
            <w:hideMark/>
          </w:tcPr>
          <w:p w14:paraId="1A79705E" w14:textId="77777777" w:rsidR="00742D59" w:rsidRPr="0004323D" w:rsidRDefault="00742D59" w:rsidP="00742D59">
            <w:pPr>
              <w:spacing w:before="60" w:after="60" w:line="240" w:lineRule="auto"/>
              <w:jc w:val="center"/>
              <w:rPr>
                <w:rFonts w:ascii="Optima" w:hAnsi="Optima"/>
                <w:color w:val="262626" w:themeColor="text1" w:themeTint="D9"/>
                <w:sz w:val="19"/>
                <w:szCs w:val="19"/>
              </w:rPr>
            </w:pPr>
            <w:r w:rsidRPr="0004323D">
              <w:rPr>
                <w:rFonts w:ascii="Optima" w:hAnsi="Optima"/>
                <w:color w:val="262626" w:themeColor="text1" w:themeTint="D9"/>
                <w:sz w:val="19"/>
                <w:szCs w:val="19"/>
              </w:rPr>
              <w:t>1:5-6 Ratio</w:t>
            </w:r>
          </w:p>
        </w:tc>
        <w:tc>
          <w:tcPr>
            <w:tcW w:w="900" w:type="dxa"/>
            <w:shd w:val="clear" w:color="auto" w:fill="E5DFEC" w:themeFill="accent4" w:themeFillTint="33"/>
            <w:noWrap/>
            <w:vAlign w:val="center"/>
            <w:hideMark/>
          </w:tcPr>
          <w:p w14:paraId="3FD88C95" w14:textId="77777777" w:rsidR="00742D59" w:rsidRPr="0004323D" w:rsidRDefault="00742D59" w:rsidP="00311DE1">
            <w:pPr>
              <w:spacing w:before="60" w:after="60" w:line="240" w:lineRule="auto"/>
              <w:jc w:val="right"/>
              <w:rPr>
                <w:rFonts w:ascii="Optima" w:hAnsi="Optima"/>
                <w:color w:val="262626" w:themeColor="text1" w:themeTint="D9"/>
                <w:sz w:val="19"/>
                <w:szCs w:val="19"/>
              </w:rPr>
            </w:pPr>
            <w:r w:rsidRPr="0004323D">
              <w:rPr>
                <w:rFonts w:ascii="Optima" w:hAnsi="Optima"/>
                <w:color w:val="262626" w:themeColor="text1" w:themeTint="D9"/>
                <w:sz w:val="19"/>
                <w:szCs w:val="19"/>
              </w:rPr>
              <w:t>$1.97</w:t>
            </w:r>
          </w:p>
        </w:tc>
        <w:tc>
          <w:tcPr>
            <w:tcW w:w="1620" w:type="dxa"/>
            <w:shd w:val="clear" w:color="auto" w:fill="E5DFEC" w:themeFill="accent4" w:themeFillTint="33"/>
            <w:noWrap/>
            <w:vAlign w:val="center"/>
            <w:hideMark/>
          </w:tcPr>
          <w:p w14:paraId="71960013" w14:textId="77777777" w:rsidR="00742D59" w:rsidRPr="0004323D" w:rsidRDefault="00742D59" w:rsidP="00311DE1">
            <w:pPr>
              <w:spacing w:before="60" w:after="60" w:line="240" w:lineRule="auto"/>
              <w:rPr>
                <w:rFonts w:ascii="Optima" w:hAnsi="Optima"/>
                <w:color w:val="262626" w:themeColor="text1" w:themeTint="D9"/>
                <w:sz w:val="19"/>
                <w:szCs w:val="19"/>
              </w:rPr>
            </w:pPr>
            <w:r w:rsidRPr="0004323D">
              <w:rPr>
                <w:rFonts w:ascii="Optima" w:hAnsi="Optima"/>
                <w:color w:val="262626" w:themeColor="text1" w:themeTint="D9"/>
                <w:sz w:val="19"/>
                <w:szCs w:val="19"/>
              </w:rPr>
              <w:t>per 15 min unit</w:t>
            </w:r>
          </w:p>
        </w:tc>
      </w:tr>
    </w:tbl>
    <w:p w14:paraId="35B7DF2D" w14:textId="496C1F7F" w:rsidR="00AF5791" w:rsidRDefault="00AF5791" w:rsidP="00A27C3F">
      <w:pPr>
        <w:pStyle w:val="EndnoteText"/>
        <w:jc w:val="center"/>
      </w:pPr>
      <w:r w:rsidRPr="00AF5791">
        <w:t>Note</w:t>
      </w:r>
      <w:r w:rsidR="00D10210">
        <w:t xml:space="preserve">: </w:t>
      </w:r>
      <w:r w:rsidRPr="00AF5791">
        <w:t>Above rates</w:t>
      </w:r>
      <w:r w:rsidR="008915A7">
        <w:t xml:space="preserve"> are</w:t>
      </w:r>
      <w:r w:rsidRPr="00AF5791">
        <w:t xml:space="preserve"> based on the calculated cost of $33.72 for a </w:t>
      </w:r>
      <w:r w:rsidR="00C15BE8">
        <w:t>c</w:t>
      </w:r>
      <w:r w:rsidRPr="00AF5791">
        <w:t>ommunity</w:t>
      </w:r>
      <w:r w:rsidR="00C15BE8">
        <w:t xml:space="preserve">-based </w:t>
      </w:r>
      <w:r w:rsidRPr="00AF5791">
        <w:t>Skill Builder</w:t>
      </w:r>
      <w:r w:rsidR="00CB21ED">
        <w:t xml:space="preserve"> </w:t>
      </w:r>
      <w:r w:rsidR="00CB21ED">
        <w:br/>
      </w:r>
      <w:r w:rsidRPr="00AF5791">
        <w:t>service hour plus add-ons for administration that are adjusted incrementally based on group size.</w:t>
      </w:r>
    </w:p>
    <w:p w14:paraId="69F9926B" w14:textId="77777777" w:rsidR="00C51E73" w:rsidRPr="00AF5791" w:rsidRDefault="00C51E73" w:rsidP="00D42701">
      <w:pPr>
        <w:pStyle w:val="EndnoteText"/>
      </w:pPr>
    </w:p>
    <w:p w14:paraId="2673013E" w14:textId="77777777" w:rsidR="004D4C63" w:rsidRPr="006A2BD9" w:rsidRDefault="004D4C63" w:rsidP="00B11115">
      <w:pPr>
        <w:pStyle w:val="Heading2"/>
      </w:pPr>
      <w:bookmarkStart w:id="17" w:name="_Toc70944170"/>
      <w:r w:rsidRPr="006A2BD9">
        <w:t>C</w:t>
      </w:r>
      <w:r w:rsidR="00F56DEB" w:rsidRPr="006A2BD9">
        <w:t>ase Example: Tennessee</w:t>
      </w:r>
      <w:bookmarkEnd w:id="17"/>
    </w:p>
    <w:p w14:paraId="2503705B" w14:textId="3D8BB915" w:rsidR="00AF5791" w:rsidRPr="00AF5791" w:rsidRDefault="00AF5791" w:rsidP="00B1367E">
      <w:r w:rsidRPr="00AF5791">
        <w:t>Sometimes, it may also be the case that data analysis reveals staffing ratios for certain types of employment and day services that are more intensive than they need to be and what is typical nationally. The lower than necessary minimum staffing ratios result in the need for higher than necessary reimbursement rates because providers have increased costs associated with lower minimum staffing ratios. In these situations, provider costs to deliver the service can be reduced to allow for a corresponding reduction in reimbursement rates by establishing revised minimum staffing ratios that are still sufficient to meet the need but are higher than previously required ratios. This change can create savings that a state can then use to ensure adequate and/or incentivized rates for services that lead to or support competitive integrated employment.</w:t>
      </w:r>
    </w:p>
    <w:p w14:paraId="58571D00" w14:textId="09765C33" w:rsidR="00C36CF5" w:rsidRDefault="00AF5791" w:rsidP="00311DE1">
      <w:r w:rsidRPr="00AF5791">
        <w:t xml:space="preserve">In Tennessee, 1915c waiver staffing ratios for facility-based Day Services were recognized to be lower (more intensive) than what is typical nationally and what was deemed necessary based on individuals’ measured acuity, particularly for individuals in the lower acuity groups who were still participating in facility-based Day Services. </w:t>
      </w:r>
      <w:r w:rsidR="003803DE">
        <w:t>(</w:t>
      </w:r>
      <w:r w:rsidRPr="00AF5791">
        <w:rPr>
          <w:i/>
        </w:rPr>
        <w:t xml:space="preserve">Note: acuity refers to </w:t>
      </w:r>
      <w:r w:rsidR="00EA70CB">
        <w:rPr>
          <w:i/>
        </w:rPr>
        <w:t xml:space="preserve">the </w:t>
      </w:r>
      <w:r w:rsidRPr="00AF5791">
        <w:rPr>
          <w:i/>
        </w:rPr>
        <w:t>level of disability and corresponding intensity of supports needed</w:t>
      </w:r>
      <w:r w:rsidRPr="00AF5791">
        <w:t>.</w:t>
      </w:r>
      <w:r w:rsidR="003803DE">
        <w:t>)</w:t>
      </w:r>
      <w:r w:rsidRPr="00AF5791">
        <w:t xml:space="preserve"> Tennessee had a rate structure that established five acuity levels for facility-based Day Services with a different day rate for each level based on the expectation of lower (more intensive) staffing support being provided to people with higher acuity as compared to those with lower </w:t>
      </w:r>
      <w:r w:rsidRPr="00AF5791">
        <w:lastRenderedPageBreak/>
        <w:t>acuity. Tennessee chose to preserve the existing expectations for staffing intensity for those at the two highest acuity levels (Level</w:t>
      </w:r>
      <w:r w:rsidR="002D0BC2">
        <w:t>s</w:t>
      </w:r>
      <w:r w:rsidRPr="00AF5791">
        <w:t xml:space="preserve"> 4 and 6) and establish higher (less intensive) minimum staffing ratios for those with lower assessed acuity</w:t>
      </w:r>
      <w:r w:rsidR="006677B7">
        <w:t xml:space="preserve">. </w:t>
      </w:r>
    </w:p>
    <w:p w14:paraId="1CBBCB80" w14:textId="77777777" w:rsidR="00C36CF5" w:rsidRDefault="00C36CF5" w:rsidP="00C36CF5">
      <w:pPr>
        <w:pStyle w:val="NoSpacing"/>
      </w:pPr>
    </w:p>
    <w:tbl>
      <w:tblPr>
        <w:tblStyle w:val="EconSysBandedTable"/>
        <w:tblW w:w="0" w:type="auto"/>
        <w:jc w:val="center"/>
        <w:tblInd w:w="0" w:type="dxa"/>
        <w:tblLook w:val="0420" w:firstRow="1" w:lastRow="0" w:firstColumn="0" w:lastColumn="0" w:noHBand="0" w:noVBand="1"/>
      </w:tblPr>
      <w:tblGrid>
        <w:gridCol w:w="1685"/>
        <w:gridCol w:w="2113"/>
        <w:gridCol w:w="1884"/>
        <w:gridCol w:w="1959"/>
        <w:gridCol w:w="1719"/>
      </w:tblGrid>
      <w:tr w:rsidR="009F39CE" w:rsidRPr="009F39CE" w14:paraId="7CC2075C" w14:textId="77777777" w:rsidTr="00F05DFF">
        <w:trPr>
          <w:cnfStyle w:val="100000000000" w:firstRow="1" w:lastRow="0" w:firstColumn="0" w:lastColumn="0" w:oddVBand="0" w:evenVBand="0" w:oddHBand="0" w:evenHBand="0" w:firstRowFirstColumn="0" w:firstRowLastColumn="0" w:lastRowFirstColumn="0" w:lastRowLastColumn="0"/>
          <w:trHeight w:val="479"/>
          <w:jc w:val="center"/>
        </w:trPr>
        <w:tc>
          <w:tcPr>
            <w:tcW w:w="1686" w:type="dxa"/>
            <w:shd w:val="clear" w:color="auto" w:fill="215868" w:themeFill="accent5" w:themeFillShade="80"/>
            <w:vAlign w:val="center"/>
          </w:tcPr>
          <w:p w14:paraId="0909E2B7" w14:textId="77777777" w:rsidR="004D4C63" w:rsidRPr="009F39CE" w:rsidRDefault="004D4C63" w:rsidP="00320BA5">
            <w:pPr>
              <w:spacing w:before="60" w:after="60" w:line="240" w:lineRule="auto"/>
              <w:contextualSpacing w:val="0"/>
              <w:jc w:val="center"/>
              <w:rPr>
                <w:rFonts w:ascii="Optima" w:hAnsi="Optima"/>
                <w:color w:val="FFFFFF" w:themeColor="background1"/>
                <w:sz w:val="19"/>
                <w:szCs w:val="19"/>
              </w:rPr>
            </w:pPr>
            <w:r w:rsidRPr="009F39CE">
              <w:rPr>
                <w:rFonts w:ascii="Optima" w:hAnsi="Optima"/>
                <w:color w:val="FFFFFF" w:themeColor="background1"/>
                <w:sz w:val="19"/>
                <w:szCs w:val="19"/>
              </w:rPr>
              <w:t>Assessed Acuity Level</w:t>
            </w:r>
          </w:p>
        </w:tc>
        <w:tc>
          <w:tcPr>
            <w:tcW w:w="0" w:type="auto"/>
            <w:shd w:val="clear" w:color="auto" w:fill="215868" w:themeFill="accent5" w:themeFillShade="80"/>
            <w:vAlign w:val="center"/>
          </w:tcPr>
          <w:p w14:paraId="5B4B4C63" w14:textId="77777777" w:rsidR="004D4C63" w:rsidRPr="009F39CE" w:rsidRDefault="004D4C63" w:rsidP="00320BA5">
            <w:pPr>
              <w:spacing w:before="60" w:after="60" w:line="240" w:lineRule="auto"/>
              <w:contextualSpacing w:val="0"/>
              <w:jc w:val="center"/>
              <w:rPr>
                <w:rFonts w:ascii="Optima" w:hAnsi="Optima"/>
                <w:color w:val="FFFFFF" w:themeColor="background1"/>
                <w:sz w:val="19"/>
                <w:szCs w:val="19"/>
              </w:rPr>
            </w:pPr>
            <w:r w:rsidRPr="009F39CE">
              <w:rPr>
                <w:rFonts w:ascii="Optima" w:hAnsi="Optima"/>
                <w:color w:val="FFFFFF" w:themeColor="background1"/>
                <w:sz w:val="19"/>
                <w:szCs w:val="19"/>
              </w:rPr>
              <w:t>Existing Minimum Staffing Ratio</w:t>
            </w:r>
          </w:p>
        </w:tc>
        <w:tc>
          <w:tcPr>
            <w:tcW w:w="0" w:type="auto"/>
            <w:shd w:val="clear" w:color="auto" w:fill="215868" w:themeFill="accent5" w:themeFillShade="80"/>
            <w:vAlign w:val="center"/>
          </w:tcPr>
          <w:p w14:paraId="72BE5DDC" w14:textId="77777777" w:rsidR="004D4C63" w:rsidRPr="009F39CE" w:rsidRDefault="004D4C63" w:rsidP="00320BA5">
            <w:pPr>
              <w:spacing w:before="60" w:after="60" w:line="240" w:lineRule="auto"/>
              <w:contextualSpacing w:val="0"/>
              <w:jc w:val="center"/>
              <w:rPr>
                <w:rFonts w:ascii="Optima" w:hAnsi="Optima"/>
                <w:color w:val="FFFFFF" w:themeColor="background1"/>
                <w:sz w:val="19"/>
                <w:szCs w:val="19"/>
              </w:rPr>
            </w:pPr>
            <w:r w:rsidRPr="009F39CE">
              <w:rPr>
                <w:rFonts w:ascii="Optima" w:hAnsi="Optima"/>
                <w:color w:val="FFFFFF" w:themeColor="background1"/>
                <w:sz w:val="19"/>
                <w:szCs w:val="19"/>
              </w:rPr>
              <w:t>Existing 15-Minute Unit Rate</w:t>
            </w:r>
          </w:p>
        </w:tc>
        <w:tc>
          <w:tcPr>
            <w:tcW w:w="0" w:type="auto"/>
            <w:shd w:val="clear" w:color="auto" w:fill="215868" w:themeFill="accent5" w:themeFillShade="80"/>
            <w:vAlign w:val="center"/>
          </w:tcPr>
          <w:p w14:paraId="0C23B058" w14:textId="77777777" w:rsidR="004D4C63" w:rsidRPr="009F39CE" w:rsidRDefault="004D4C63" w:rsidP="00320BA5">
            <w:pPr>
              <w:spacing w:before="60" w:after="60" w:line="240" w:lineRule="auto"/>
              <w:contextualSpacing w:val="0"/>
              <w:jc w:val="center"/>
              <w:rPr>
                <w:rFonts w:ascii="Optima" w:hAnsi="Optima"/>
                <w:color w:val="FFFFFF" w:themeColor="background1"/>
                <w:sz w:val="19"/>
                <w:szCs w:val="19"/>
              </w:rPr>
            </w:pPr>
            <w:r w:rsidRPr="009F39CE">
              <w:rPr>
                <w:rFonts w:ascii="Optima" w:hAnsi="Optima"/>
                <w:color w:val="FFFFFF" w:themeColor="background1"/>
                <w:sz w:val="19"/>
                <w:szCs w:val="19"/>
              </w:rPr>
              <w:t>New Minimum Staffing Ratio</w:t>
            </w:r>
          </w:p>
        </w:tc>
        <w:tc>
          <w:tcPr>
            <w:tcW w:w="0" w:type="auto"/>
            <w:shd w:val="clear" w:color="auto" w:fill="215868" w:themeFill="accent5" w:themeFillShade="80"/>
            <w:vAlign w:val="center"/>
          </w:tcPr>
          <w:p w14:paraId="5030D757" w14:textId="77777777" w:rsidR="004D4C63" w:rsidRPr="009F39CE" w:rsidRDefault="004D4C63" w:rsidP="00320BA5">
            <w:pPr>
              <w:spacing w:before="60" w:after="60" w:line="240" w:lineRule="auto"/>
              <w:contextualSpacing w:val="0"/>
              <w:jc w:val="center"/>
              <w:rPr>
                <w:rFonts w:ascii="Optima" w:hAnsi="Optima"/>
                <w:color w:val="FFFFFF" w:themeColor="background1"/>
                <w:sz w:val="19"/>
                <w:szCs w:val="19"/>
              </w:rPr>
            </w:pPr>
            <w:r w:rsidRPr="009F39CE">
              <w:rPr>
                <w:rFonts w:ascii="Optima" w:hAnsi="Optima"/>
                <w:color w:val="FFFFFF" w:themeColor="background1"/>
                <w:sz w:val="19"/>
                <w:szCs w:val="19"/>
              </w:rPr>
              <w:t>New 15-Minute Unit Rate</w:t>
            </w:r>
          </w:p>
        </w:tc>
      </w:tr>
      <w:tr w:rsidR="009F39CE" w:rsidRPr="009F39CE" w14:paraId="40048B00" w14:textId="77777777" w:rsidTr="0041569C">
        <w:trPr>
          <w:cnfStyle w:val="000000100000" w:firstRow="0" w:lastRow="0" w:firstColumn="0" w:lastColumn="0" w:oddVBand="0" w:evenVBand="0" w:oddHBand="1" w:evenHBand="0" w:firstRowFirstColumn="0" w:firstRowLastColumn="0" w:lastRowFirstColumn="0" w:lastRowLastColumn="0"/>
          <w:trHeight w:val="374"/>
          <w:jc w:val="center"/>
        </w:trPr>
        <w:tc>
          <w:tcPr>
            <w:tcW w:w="1686" w:type="dxa"/>
            <w:shd w:val="clear" w:color="auto" w:fill="DAEEF3" w:themeFill="accent5" w:themeFillTint="33"/>
            <w:vAlign w:val="center"/>
          </w:tcPr>
          <w:p w14:paraId="3AA13DB2"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Level 1</w:t>
            </w:r>
          </w:p>
        </w:tc>
        <w:tc>
          <w:tcPr>
            <w:tcW w:w="0" w:type="auto"/>
            <w:shd w:val="clear" w:color="auto" w:fill="DAEEF3" w:themeFill="accent5" w:themeFillTint="33"/>
            <w:vAlign w:val="center"/>
          </w:tcPr>
          <w:p w14:paraId="56C8B772"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1:8</w:t>
            </w:r>
          </w:p>
        </w:tc>
        <w:tc>
          <w:tcPr>
            <w:tcW w:w="0" w:type="auto"/>
            <w:shd w:val="clear" w:color="auto" w:fill="DAEEF3" w:themeFill="accent5" w:themeFillTint="33"/>
            <w:vAlign w:val="center"/>
          </w:tcPr>
          <w:p w14:paraId="6D326BD3"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$1.31</w:t>
            </w:r>
          </w:p>
        </w:tc>
        <w:tc>
          <w:tcPr>
            <w:tcW w:w="0" w:type="auto"/>
            <w:shd w:val="clear" w:color="auto" w:fill="DAEEF3" w:themeFill="accent5" w:themeFillTint="33"/>
            <w:vAlign w:val="center"/>
          </w:tcPr>
          <w:p w14:paraId="425F6E92"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1:10</w:t>
            </w:r>
          </w:p>
        </w:tc>
        <w:tc>
          <w:tcPr>
            <w:tcW w:w="0" w:type="auto"/>
            <w:shd w:val="clear" w:color="auto" w:fill="DAEEF3" w:themeFill="accent5" w:themeFillTint="33"/>
            <w:vAlign w:val="center"/>
          </w:tcPr>
          <w:p w14:paraId="6221A6B0"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$1.04</w:t>
            </w:r>
          </w:p>
        </w:tc>
      </w:tr>
      <w:tr w:rsidR="009F39CE" w:rsidRPr="009F39CE" w14:paraId="657B010F" w14:textId="77777777" w:rsidTr="0041569C">
        <w:trPr>
          <w:cnfStyle w:val="000000010000" w:firstRow="0" w:lastRow="0" w:firstColumn="0" w:lastColumn="0" w:oddVBand="0" w:evenVBand="0" w:oddHBand="0" w:evenHBand="1" w:firstRowFirstColumn="0" w:firstRowLastColumn="0" w:lastRowFirstColumn="0" w:lastRowLastColumn="0"/>
          <w:trHeight w:val="374"/>
          <w:jc w:val="center"/>
        </w:trPr>
        <w:tc>
          <w:tcPr>
            <w:tcW w:w="1686" w:type="dxa"/>
            <w:tcBorders>
              <w:bottom w:val="none" w:sz="0" w:space="0" w:color="auto"/>
            </w:tcBorders>
            <w:vAlign w:val="center"/>
          </w:tcPr>
          <w:p w14:paraId="09554968"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Level 2</w:t>
            </w:r>
          </w:p>
        </w:tc>
        <w:tc>
          <w:tcPr>
            <w:tcW w:w="0" w:type="auto"/>
            <w:tcBorders>
              <w:bottom w:val="none" w:sz="0" w:space="0" w:color="auto"/>
            </w:tcBorders>
            <w:vAlign w:val="center"/>
          </w:tcPr>
          <w:p w14:paraId="27EDDC6C"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1:6</w:t>
            </w:r>
          </w:p>
        </w:tc>
        <w:tc>
          <w:tcPr>
            <w:tcW w:w="0" w:type="auto"/>
            <w:tcBorders>
              <w:bottom w:val="none" w:sz="0" w:space="0" w:color="auto"/>
            </w:tcBorders>
            <w:vAlign w:val="center"/>
          </w:tcPr>
          <w:p w14:paraId="6B2DD334"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$1.65</w:t>
            </w:r>
          </w:p>
        </w:tc>
        <w:tc>
          <w:tcPr>
            <w:tcW w:w="0" w:type="auto"/>
            <w:tcBorders>
              <w:bottom w:val="none" w:sz="0" w:space="0" w:color="auto"/>
            </w:tcBorders>
            <w:vAlign w:val="center"/>
          </w:tcPr>
          <w:p w14:paraId="580C6607"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1:8</w:t>
            </w:r>
          </w:p>
        </w:tc>
        <w:tc>
          <w:tcPr>
            <w:tcW w:w="0" w:type="auto"/>
            <w:tcBorders>
              <w:bottom w:val="none" w:sz="0" w:space="0" w:color="auto"/>
            </w:tcBorders>
            <w:vAlign w:val="center"/>
          </w:tcPr>
          <w:p w14:paraId="6EB3095C"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$1.30</w:t>
            </w:r>
          </w:p>
        </w:tc>
      </w:tr>
      <w:tr w:rsidR="009F39CE" w:rsidRPr="009F39CE" w14:paraId="2340899F" w14:textId="77777777" w:rsidTr="0041569C">
        <w:trPr>
          <w:cnfStyle w:val="000000100000" w:firstRow="0" w:lastRow="0" w:firstColumn="0" w:lastColumn="0" w:oddVBand="0" w:evenVBand="0" w:oddHBand="1" w:evenHBand="0" w:firstRowFirstColumn="0" w:firstRowLastColumn="0" w:lastRowFirstColumn="0" w:lastRowLastColumn="0"/>
          <w:trHeight w:val="374"/>
          <w:jc w:val="center"/>
        </w:trPr>
        <w:tc>
          <w:tcPr>
            <w:tcW w:w="1686" w:type="dxa"/>
            <w:shd w:val="clear" w:color="auto" w:fill="DAEEF3" w:themeFill="accent5" w:themeFillTint="33"/>
            <w:vAlign w:val="center"/>
          </w:tcPr>
          <w:p w14:paraId="3AE4995B"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Level 3</w:t>
            </w:r>
          </w:p>
        </w:tc>
        <w:tc>
          <w:tcPr>
            <w:tcW w:w="0" w:type="auto"/>
            <w:shd w:val="clear" w:color="auto" w:fill="DAEEF3" w:themeFill="accent5" w:themeFillTint="33"/>
            <w:vAlign w:val="center"/>
          </w:tcPr>
          <w:p w14:paraId="6EDC0A07"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1:4</w:t>
            </w:r>
          </w:p>
        </w:tc>
        <w:tc>
          <w:tcPr>
            <w:tcW w:w="0" w:type="auto"/>
            <w:shd w:val="clear" w:color="auto" w:fill="DAEEF3" w:themeFill="accent5" w:themeFillTint="33"/>
            <w:vAlign w:val="center"/>
          </w:tcPr>
          <w:p w14:paraId="0A79A3CF"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$2.23</w:t>
            </w:r>
          </w:p>
        </w:tc>
        <w:tc>
          <w:tcPr>
            <w:tcW w:w="0" w:type="auto"/>
            <w:shd w:val="clear" w:color="auto" w:fill="DAEEF3" w:themeFill="accent5" w:themeFillTint="33"/>
            <w:vAlign w:val="center"/>
          </w:tcPr>
          <w:p w14:paraId="778DFA03"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1:6</w:t>
            </w:r>
          </w:p>
        </w:tc>
        <w:tc>
          <w:tcPr>
            <w:tcW w:w="0" w:type="auto"/>
            <w:shd w:val="clear" w:color="auto" w:fill="DAEEF3" w:themeFill="accent5" w:themeFillTint="33"/>
            <w:vAlign w:val="center"/>
          </w:tcPr>
          <w:p w14:paraId="1CBD3FAD" w14:textId="77777777" w:rsidR="004D4C63" w:rsidRPr="009F39CE" w:rsidRDefault="004D4C63" w:rsidP="00320BA5">
            <w:pPr>
              <w:spacing w:before="60" w:after="60" w:line="240" w:lineRule="auto"/>
              <w:contextualSpacing w:val="0"/>
              <w:jc w:val="center"/>
              <w:rPr>
                <w:rFonts w:ascii="Optima" w:hAnsi="Optima"/>
                <w:color w:val="262626" w:themeColor="text1" w:themeTint="D9"/>
                <w:sz w:val="19"/>
                <w:szCs w:val="19"/>
              </w:rPr>
            </w:pPr>
            <w:r w:rsidRPr="009F39CE">
              <w:rPr>
                <w:rFonts w:ascii="Optima" w:hAnsi="Optima"/>
                <w:color w:val="262626" w:themeColor="text1" w:themeTint="D9"/>
                <w:sz w:val="19"/>
                <w:szCs w:val="19"/>
              </w:rPr>
              <w:t>$1.74</w:t>
            </w:r>
          </w:p>
        </w:tc>
      </w:tr>
    </w:tbl>
    <w:p w14:paraId="7DEC4DF5" w14:textId="2923B132" w:rsidR="004D4C63" w:rsidRPr="00AA511D" w:rsidRDefault="00AA511D" w:rsidP="00B20218">
      <w:pPr>
        <w:pStyle w:val="EndnoteText"/>
        <w:jc w:val="center"/>
      </w:pPr>
      <w:r w:rsidRPr="00AA511D">
        <w:t>Note</w:t>
      </w:r>
      <w:r w:rsidR="00D10210">
        <w:t xml:space="preserve">: </w:t>
      </w:r>
      <w:r w:rsidRPr="00AA511D">
        <w:t>All of these rates were increased</w:t>
      </w:r>
      <w:r w:rsidR="00742243">
        <w:t>,</w:t>
      </w:r>
      <w:r w:rsidRPr="00AA511D">
        <w:t xml:space="preserve"> after this rate restructuring was done</w:t>
      </w:r>
      <w:r w:rsidR="00742243">
        <w:t>,</w:t>
      </w:r>
      <w:r w:rsidRPr="00AA511D">
        <w:t xml:space="preserve"> as the result of a legislative </w:t>
      </w:r>
      <w:r w:rsidR="00311DE1">
        <w:br/>
      </w:r>
      <w:r w:rsidRPr="00AA511D">
        <w:t>appropriation to increase direct support worker wages to $10.00 per hour as of 7/1/2018.</w:t>
      </w:r>
    </w:p>
    <w:p w14:paraId="6D77AEDB" w14:textId="77777777" w:rsidR="0047172A" w:rsidRPr="002D0BC2" w:rsidRDefault="0047172A" w:rsidP="002476FD">
      <w:pPr>
        <w:pStyle w:val="NoSpacing"/>
        <w:rPr>
          <w:rFonts w:eastAsia="Calibri"/>
        </w:rPr>
      </w:pPr>
    </w:p>
    <w:p w14:paraId="237BF555" w14:textId="77777777" w:rsidR="0047172A" w:rsidRPr="0047172A" w:rsidRDefault="0047172A" w:rsidP="00B1367E">
      <w:r w:rsidRPr="0047172A">
        <w:t xml:space="preserve">This change allowed Tennessee to step down these rates for facility-based Day Services and use the </w:t>
      </w:r>
      <w:r w:rsidRPr="00AC36C0">
        <w:t>savings to partially fund establishing</w:t>
      </w:r>
      <w:r w:rsidRPr="0047172A">
        <w:t xml:space="preserve"> higher rates for Individual Supported Employment job coaching and adding three time-limited Individual Supported Employment services to the waivers that could advance people toward competitive integrated employment: Employment Exploration; Discovery; and Job Development</w:t>
      </w:r>
      <w:r w:rsidR="006677B7">
        <w:t xml:space="preserve">. </w:t>
      </w:r>
    </w:p>
    <w:p w14:paraId="657F7566" w14:textId="77777777" w:rsidR="004D4C63" w:rsidRPr="00043C33" w:rsidRDefault="004D4C63" w:rsidP="00B1367E">
      <w:r w:rsidRPr="00EC4F2B">
        <w:rPr>
          <w:b/>
          <w:bCs/>
          <w:u w:val="single"/>
        </w:rPr>
        <w:t>Employment Exploration</w:t>
      </w:r>
      <w:r w:rsidR="008C4BED" w:rsidRPr="00EC4F2B">
        <w:rPr>
          <w:b/>
          <w:bCs/>
        </w:rPr>
        <w:t>:</w:t>
      </w:r>
      <w:r w:rsidR="008C4BED">
        <w:t xml:space="preserve"> </w:t>
      </w:r>
      <w:r w:rsidR="0047172A" w:rsidRPr="0047172A">
        <w:t>This is a time-limited 30-day service designed to facilitate increased opportunities for waiver participants and their families/guardians to make a genuinely informed choice about competitive integrated employment</w:t>
      </w:r>
      <w:r w:rsidR="006677B7">
        <w:t xml:space="preserve">. </w:t>
      </w:r>
      <w:r w:rsidR="0047172A" w:rsidRPr="0047172A">
        <w:t>As a matter of policy, Tennessee considers a person who has completed Employment Exploration to have made an informed choice about competitive integrated employment. However, it is important to note that this point-in-time choice is not treated as static or final. Individuals are permitted to repeat Employment Exploration after one year has passed if reengagement at a future point has the potential to lead to a choice to pursue competitive integrated employment</w:t>
      </w:r>
      <w:r w:rsidR="0047172A">
        <w:t>.</w:t>
      </w:r>
    </w:p>
    <w:p w14:paraId="65C7BABF" w14:textId="77777777" w:rsidR="004D4C63" w:rsidRPr="00C134A2" w:rsidRDefault="004D4C63" w:rsidP="00820690">
      <w:r w:rsidRPr="00EC4F2B">
        <w:rPr>
          <w:b/>
          <w:bCs/>
          <w:u w:val="single"/>
        </w:rPr>
        <w:t>Discovery</w:t>
      </w:r>
      <w:r w:rsidR="008C4BED" w:rsidRPr="00EC4F2B">
        <w:rPr>
          <w:b/>
          <w:bCs/>
        </w:rPr>
        <w:t>:</w:t>
      </w:r>
      <w:r w:rsidR="008C4BED">
        <w:t xml:space="preserve"> </w:t>
      </w:r>
      <w:r w:rsidR="00C134A2" w:rsidRPr="00C134A2">
        <w:t xml:space="preserve">This is a time-limited 90-day service designed to ensure a waiver participant (and his/her guardian/family if involved) </w:t>
      </w:r>
      <w:r w:rsidR="00C134A2" w:rsidRPr="00C134A2">
        <w:rPr>
          <w:i/>
        </w:rPr>
        <w:t xml:space="preserve">and anyone doing job development/placement for the individual </w:t>
      </w:r>
      <w:r w:rsidR="00C134A2" w:rsidRPr="00C134A2">
        <w:t xml:space="preserve">fully understands, </w:t>
      </w:r>
      <w:r w:rsidR="00C134A2" w:rsidRPr="00C134A2">
        <w:rPr>
          <w:i/>
        </w:rPr>
        <w:t>prior to any efforts to secure employment</w:t>
      </w:r>
      <w:r w:rsidR="00C134A2" w:rsidRPr="00C134A2">
        <w:t>, the waiver participant’s interests, strengths, abilities</w:t>
      </w:r>
      <w:r w:rsidR="00FB5FA6">
        <w:t>,</w:t>
      </w:r>
      <w:r w:rsidR="00C134A2" w:rsidRPr="00C134A2">
        <w:t xml:space="preserve"> and conditions for success related to competitive integrated employment. </w:t>
      </w:r>
    </w:p>
    <w:p w14:paraId="3A54126B" w14:textId="77777777" w:rsidR="00C134A2" w:rsidRPr="00C134A2" w:rsidRDefault="004D4C63" w:rsidP="00B1367E">
      <w:r w:rsidRPr="00EC4F2B">
        <w:rPr>
          <w:b/>
          <w:bCs/>
          <w:u w:val="single"/>
        </w:rPr>
        <w:t>Job Development</w:t>
      </w:r>
      <w:r w:rsidR="008C4BED" w:rsidRPr="00EC4F2B">
        <w:rPr>
          <w:b/>
          <w:bCs/>
        </w:rPr>
        <w:t>:</w:t>
      </w:r>
      <w:r w:rsidR="008C4BED">
        <w:t xml:space="preserve"> </w:t>
      </w:r>
      <w:r w:rsidR="00C134A2" w:rsidRPr="00C134A2">
        <w:t xml:space="preserve">If not available to a waiver participant through the state VR agency, this is an available service paid on an outcome basis with </w:t>
      </w:r>
      <w:r w:rsidR="00C134A2" w:rsidRPr="00C134A2">
        <w:rPr>
          <w:i/>
        </w:rPr>
        <w:t xml:space="preserve">three tiered outcome payments </w:t>
      </w:r>
      <w:r w:rsidR="00C134A2" w:rsidRPr="00C134A2">
        <w:t xml:space="preserve">depending on the acuity of the individual, as determined through the same process used to place an individual in specific levels for other day/employment services. </w:t>
      </w:r>
    </w:p>
    <w:p w14:paraId="46537554" w14:textId="54A24F58" w:rsidR="00C134A2" w:rsidRPr="00C134A2" w:rsidRDefault="00C134A2" w:rsidP="00B1367E">
      <w:r w:rsidRPr="00C134A2">
        <w:t xml:space="preserve">When added to the 1915c waivers, these three services were modeled after identical services Tennessee had already implemented in its </w:t>
      </w:r>
      <w:r w:rsidR="004E51C3">
        <w:t xml:space="preserve">Medicaid </w:t>
      </w:r>
      <w:r w:rsidRPr="00C134A2">
        <w:t>1115 demonstration waiver for people with IDD that was specifically designed to advance Employment First. This 1115 demonstration waiver – “Employment and Community First CHOICES” – and the three pre-employment services – Employment Exploration, Discovery, and Job Development – are discussed in more detail elsewhere in this guide in the section on Outcome-Based Reimbursement. The more detailed discussion includes an explanation of the outcome payments, how they were developed for each of the pre-employment services, and what criteria are used to determine when payment is made. It was deemed critical to align the outcome payment and service expectations, including reporting expectations, with those in the 1115 demonstration waiver because they used many of the same service providers to ensure consistency across programs purchasing like services.</w:t>
      </w:r>
    </w:p>
    <w:p w14:paraId="0AC8E4EC" w14:textId="77777777" w:rsidR="004D4C63" w:rsidRPr="009F2EF2" w:rsidRDefault="004D4C63" w:rsidP="00B11115">
      <w:pPr>
        <w:pStyle w:val="Heading2"/>
      </w:pPr>
      <w:bookmarkStart w:id="18" w:name="_Toc70944171"/>
      <w:r w:rsidRPr="009F2EF2">
        <w:t>C</w:t>
      </w:r>
      <w:r w:rsidR="00F56DEB" w:rsidRPr="009F2EF2">
        <w:t>ase Example</w:t>
      </w:r>
      <w:r w:rsidRPr="009F2EF2">
        <w:t>: C</w:t>
      </w:r>
      <w:r w:rsidR="00F56DEB" w:rsidRPr="009F2EF2">
        <w:t>entral Wisconsin</w:t>
      </w:r>
      <w:bookmarkEnd w:id="18"/>
    </w:p>
    <w:p w14:paraId="5802D733" w14:textId="439A9A72" w:rsidR="00C134A2" w:rsidRPr="00C134A2" w:rsidRDefault="00C134A2" w:rsidP="00B1367E">
      <w:r w:rsidRPr="00C134A2">
        <w:t xml:space="preserve">In Wisconsin, Inclusa is the managed LTSS entity operating in 52 of Wisconsin’s 72 counties and </w:t>
      </w:r>
      <w:r w:rsidR="00A35D3C">
        <w:t xml:space="preserve">is </w:t>
      </w:r>
      <w:r w:rsidRPr="00C134A2">
        <w:t>responsible for contracting for day and employment services for people with IDD and physical disabilities. In an effort to identify rate and reimbursement structure changes that could advance</w:t>
      </w:r>
      <w:r w:rsidR="00073785">
        <w:t xml:space="preserve"> competitive integrated employment</w:t>
      </w:r>
      <w:r w:rsidRPr="00C134A2">
        <w:t xml:space="preserve"> opportunities for individuals with disabilities served, Inclusa worked with providers to evaluate rates for </w:t>
      </w:r>
      <w:r w:rsidR="009C182B">
        <w:t>I</w:t>
      </w:r>
      <w:r w:rsidRPr="00C134A2">
        <w:t>ndividual Supported Employment services, Group Supported Employment services</w:t>
      </w:r>
      <w:r w:rsidR="00A35D3C">
        <w:t>,</w:t>
      </w:r>
      <w:r w:rsidRPr="00C134A2">
        <w:t xml:space="preserve"> and Prevocational services. Through the process, Inclusa identified an important and necessary adjustment to existing rates that needed to be made to allow the organization to establish an equitable rate structure for all providers delivering </w:t>
      </w:r>
      <w:r w:rsidR="009C182B">
        <w:t>I</w:t>
      </w:r>
      <w:r w:rsidRPr="00C134A2">
        <w:t>ndividual Supported Employment services</w:t>
      </w:r>
      <w:r w:rsidR="006677B7">
        <w:t xml:space="preserve">. </w:t>
      </w:r>
    </w:p>
    <w:p w14:paraId="0006927A" w14:textId="1D23E4DA" w:rsidR="00C134A2" w:rsidRPr="00C134A2" w:rsidRDefault="00C134A2" w:rsidP="00B1367E">
      <w:r w:rsidRPr="000112F3">
        <w:t xml:space="preserve">Inclusa recognized that different providers of </w:t>
      </w:r>
      <w:r w:rsidR="009C182B" w:rsidRPr="000112F3">
        <w:t>I</w:t>
      </w:r>
      <w:r w:rsidRPr="000112F3">
        <w:t>ndividual Supported Employment job coaching were being paid different hourly fee-for-service rates for the same service, based on historical contracting</w:t>
      </w:r>
      <w:r w:rsidR="000112F3">
        <w:t xml:space="preserve"> and</w:t>
      </w:r>
      <w:r w:rsidRPr="000112F3">
        <w:t xml:space="preserve"> prior to managed care,</w:t>
      </w:r>
      <w:r w:rsidR="00073785">
        <w:t xml:space="preserve"> </w:t>
      </w:r>
      <w:r w:rsidRPr="000112F3">
        <w:t>that typically permitted rates individually negotiated with each provider.</w:t>
      </w:r>
      <w:r w:rsidRPr="00C134A2">
        <w:t xml:space="preserve"> There was a range with most providers paid similarly</w:t>
      </w:r>
      <w:r w:rsidR="00073785">
        <w:t>,</w:t>
      </w:r>
      <w:r w:rsidRPr="00C134A2">
        <w:t xml:space="preserve"> but there were some distinct outliers including one provider that was being paid $5/hour more than any other provider and up to $10/hour more than the lowest paid providers. In an effort to establish a more equitable playing field for providers, Inclusa did an analysis to determine if the provider being paid the highest rate was producing more cost-effective and higher quality competitive integrated employment outcomes than other providers. The results of the analysis did not show that the provider with significantly higher rates was producing outcomes that justified the higher rate. As a result, Inclusa reduced this provider’s rate to be in line with the average for all providers and used the savings to bring up the rates of the providers who were being paid below the average.</w:t>
      </w:r>
    </w:p>
    <w:p w14:paraId="172E08B9" w14:textId="5DF10EB4" w:rsidR="004D4C63" w:rsidRPr="009F2EF2" w:rsidRDefault="004D4C63" w:rsidP="00B11115">
      <w:pPr>
        <w:pStyle w:val="Heading2"/>
      </w:pPr>
      <w:bookmarkStart w:id="19" w:name="_Toc70944172"/>
      <w:r w:rsidRPr="009F2EF2">
        <w:t>C</w:t>
      </w:r>
      <w:r w:rsidR="00F8412E" w:rsidRPr="009F2EF2">
        <w:t>ase</w:t>
      </w:r>
      <w:r w:rsidRPr="009F2EF2">
        <w:t xml:space="preserve"> E</w:t>
      </w:r>
      <w:r w:rsidR="00F8412E" w:rsidRPr="009F2EF2">
        <w:t>xample</w:t>
      </w:r>
      <w:r w:rsidR="008C4BED" w:rsidRPr="009F2EF2">
        <w:t xml:space="preserve">: </w:t>
      </w:r>
      <w:r w:rsidR="00F8412E" w:rsidRPr="009F2EF2">
        <w:t>Huron County</w:t>
      </w:r>
      <w:r w:rsidR="00073785" w:rsidRPr="009F2EF2">
        <w:t>,</w:t>
      </w:r>
      <w:r w:rsidR="00F8412E" w:rsidRPr="009F2EF2">
        <w:t xml:space="preserve"> Michigan</w:t>
      </w:r>
      <w:bookmarkEnd w:id="19"/>
    </w:p>
    <w:p w14:paraId="5C114FBD" w14:textId="77777777" w:rsidR="005C3513" w:rsidRDefault="00DF717D" w:rsidP="00B1367E">
      <w:pPr>
        <w:rPr>
          <w:sz w:val="24"/>
          <w:szCs w:val="24"/>
        </w:rPr>
      </w:pPr>
      <w:r w:rsidRPr="00DF717D">
        <w:t xml:space="preserve">In Michigan, Huron Behavioral Health (HBH), the managed care entity responsible for contracting for day and employment services for people with IDD and serious mental illness (SMI), reviewed their purchasing strategy for “Skill Building”: facility-based services intended to enable people to acquire the skills for successful participation in competitive integrated employment. These services involved individuals served by HBH working in businesses owned and operated by the service provider where </w:t>
      </w:r>
      <w:r w:rsidRPr="005363DA">
        <w:t xml:space="preserve">people worked in the provider’s facility. In a review of its rates and rate methodologies, HBH recognized they were paying the </w:t>
      </w:r>
      <w:r w:rsidR="005363DA" w:rsidRPr="00264524">
        <w:t>provider 1:1 support for each individual receiving skill building supports; therefore, not taking into account individuals who had lower support needs.</w:t>
      </w:r>
      <w:r w:rsidR="005363DA">
        <w:rPr>
          <w:sz w:val="24"/>
          <w:szCs w:val="24"/>
        </w:rPr>
        <w:t xml:space="preserve"> </w:t>
      </w:r>
    </w:p>
    <w:p w14:paraId="6BE5DFD2" w14:textId="08BB0332" w:rsidR="009273D6" w:rsidRDefault="00DF717D" w:rsidP="00C36CF5">
      <w:pPr>
        <w:spacing w:after="0"/>
      </w:pPr>
      <w:r w:rsidRPr="00DF717D">
        <w:t>HBH undertook an objective evaluation of each individual using an acuity tool designed specifically to predict vocational support needs and determined that individuals had support needs that were not all consistent. The acuity tool helped them divide acuity needs into three levels</w:t>
      </w:r>
      <w:r w:rsidR="006677B7">
        <w:t xml:space="preserve">. </w:t>
      </w:r>
      <w:r w:rsidRPr="00DF717D">
        <w:t>While HBH had been reimbursing for all of the individuals receiving these services based on the highest level of need (1:1), they recognized that the actual supports being provided were not (and did not have to be) 1:1</w:t>
      </w:r>
      <w:r w:rsidR="006677B7">
        <w:t xml:space="preserve">. </w:t>
      </w:r>
      <w:r w:rsidRPr="00DF717D">
        <w:t>Thus, they moved to establish three reimbursement rates based on measured acuity and a staffing intensity/ratio appropriate for that acuity.</w:t>
      </w:r>
      <w:r w:rsidR="009273D6">
        <w:br w:type="page"/>
      </w:r>
    </w:p>
    <w:tbl>
      <w:tblPr>
        <w:tblStyle w:val="TableGrid1"/>
        <w:tblW w:w="9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240"/>
        <w:gridCol w:w="2609"/>
        <w:gridCol w:w="3151"/>
      </w:tblGrid>
      <w:tr w:rsidR="00970D9C" w:rsidRPr="00305196" w14:paraId="7F08DEFF" w14:textId="77777777" w:rsidTr="00B20218">
        <w:trPr>
          <w:trHeight w:val="216"/>
          <w:jc w:val="center"/>
        </w:trPr>
        <w:tc>
          <w:tcPr>
            <w:tcW w:w="3240" w:type="dxa"/>
            <w:shd w:val="clear" w:color="auto" w:fill="403152" w:themeFill="accent4" w:themeFillShade="80"/>
          </w:tcPr>
          <w:p w14:paraId="54DD183E" w14:textId="77777777" w:rsidR="00DF717D" w:rsidRPr="00305196" w:rsidRDefault="00DF717D" w:rsidP="00C51E73">
            <w:pPr>
              <w:spacing w:before="40" w:after="40" w:line="240" w:lineRule="auto"/>
              <w:jc w:val="center"/>
              <w:rPr>
                <w:rFonts w:ascii="Optima" w:hAnsi="Optima"/>
                <w:b/>
                <w:bCs/>
                <w:color w:val="FFFFFF" w:themeColor="background1"/>
                <w:sz w:val="19"/>
                <w:szCs w:val="19"/>
              </w:rPr>
            </w:pPr>
            <w:r w:rsidRPr="00305196">
              <w:rPr>
                <w:rFonts w:ascii="Optima" w:hAnsi="Optima"/>
                <w:b/>
                <w:bCs/>
                <w:color w:val="FFFFFF" w:themeColor="background1"/>
                <w:sz w:val="19"/>
                <w:szCs w:val="19"/>
              </w:rPr>
              <w:t>Facility-Based Skill Building (Minimum Staffing Ratio)</w:t>
            </w:r>
          </w:p>
        </w:tc>
        <w:tc>
          <w:tcPr>
            <w:tcW w:w="2609" w:type="dxa"/>
            <w:shd w:val="clear" w:color="auto" w:fill="403152" w:themeFill="accent4" w:themeFillShade="80"/>
          </w:tcPr>
          <w:p w14:paraId="40F7D2B2" w14:textId="77777777" w:rsidR="00DF717D" w:rsidRPr="00305196" w:rsidRDefault="00DF717D" w:rsidP="00C51E73">
            <w:pPr>
              <w:spacing w:before="40" w:after="40" w:line="240" w:lineRule="auto"/>
              <w:jc w:val="center"/>
              <w:rPr>
                <w:rFonts w:ascii="Optima" w:hAnsi="Optima"/>
                <w:b/>
                <w:bCs/>
                <w:color w:val="FFFFFF" w:themeColor="background1"/>
                <w:sz w:val="19"/>
                <w:szCs w:val="19"/>
              </w:rPr>
            </w:pPr>
            <w:r w:rsidRPr="00305196">
              <w:rPr>
                <w:rFonts w:ascii="Optima" w:hAnsi="Optima"/>
                <w:b/>
                <w:bCs/>
                <w:color w:val="FFFFFF" w:themeColor="background1"/>
                <w:sz w:val="19"/>
                <w:szCs w:val="19"/>
              </w:rPr>
              <w:t>Staff Hour Total Cost (including building space)</w:t>
            </w:r>
          </w:p>
        </w:tc>
        <w:tc>
          <w:tcPr>
            <w:tcW w:w="3151" w:type="dxa"/>
            <w:shd w:val="clear" w:color="auto" w:fill="403152" w:themeFill="accent4" w:themeFillShade="80"/>
          </w:tcPr>
          <w:p w14:paraId="7E5ADE23" w14:textId="77777777" w:rsidR="00DF717D" w:rsidRPr="00305196" w:rsidRDefault="00DF717D" w:rsidP="00C51E73">
            <w:pPr>
              <w:spacing w:before="40" w:after="40" w:line="240" w:lineRule="auto"/>
              <w:jc w:val="center"/>
              <w:rPr>
                <w:rFonts w:ascii="Optima" w:hAnsi="Optima"/>
                <w:b/>
                <w:bCs/>
                <w:color w:val="FFFFFF" w:themeColor="background1"/>
                <w:sz w:val="19"/>
                <w:szCs w:val="19"/>
              </w:rPr>
            </w:pPr>
            <w:r w:rsidRPr="00305196">
              <w:rPr>
                <w:rFonts w:ascii="Optima" w:hAnsi="Optima"/>
                <w:b/>
                <w:bCs/>
                <w:color w:val="FFFFFF" w:themeColor="background1"/>
                <w:sz w:val="19"/>
                <w:szCs w:val="19"/>
              </w:rPr>
              <w:t>Base Hourly Reimbursement</w:t>
            </w:r>
            <w:r w:rsidR="005270B0" w:rsidRPr="00305196">
              <w:rPr>
                <w:rFonts w:ascii="Optima" w:hAnsi="Optima"/>
                <w:b/>
                <w:bCs/>
                <w:color w:val="FFFFFF" w:themeColor="background1"/>
                <w:sz w:val="19"/>
                <w:szCs w:val="19"/>
              </w:rPr>
              <w:br/>
            </w:r>
            <w:r w:rsidRPr="00305196">
              <w:rPr>
                <w:rFonts w:ascii="Optima" w:hAnsi="Optima"/>
                <w:b/>
                <w:bCs/>
                <w:color w:val="FFFFFF" w:themeColor="background1"/>
                <w:sz w:val="19"/>
                <w:szCs w:val="19"/>
              </w:rPr>
              <w:t>Per Person Served</w:t>
            </w:r>
          </w:p>
        </w:tc>
      </w:tr>
      <w:tr w:rsidR="00521CF5" w:rsidRPr="00521CF5" w14:paraId="6835B371" w14:textId="77777777" w:rsidTr="00311DE1">
        <w:trPr>
          <w:trHeight w:val="374"/>
          <w:jc w:val="center"/>
        </w:trPr>
        <w:tc>
          <w:tcPr>
            <w:tcW w:w="3240" w:type="dxa"/>
            <w:shd w:val="clear" w:color="auto" w:fill="E5DFEC" w:themeFill="accent4" w:themeFillTint="33"/>
            <w:vAlign w:val="center"/>
          </w:tcPr>
          <w:p w14:paraId="125FC743"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Low Acuity (1:8)</w:t>
            </w:r>
          </w:p>
        </w:tc>
        <w:tc>
          <w:tcPr>
            <w:tcW w:w="2609" w:type="dxa"/>
            <w:shd w:val="clear" w:color="auto" w:fill="E5DFEC" w:themeFill="accent4" w:themeFillTint="33"/>
            <w:vAlign w:val="center"/>
          </w:tcPr>
          <w:p w14:paraId="7F6C1B18"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$28.25</w:t>
            </w:r>
          </w:p>
        </w:tc>
        <w:tc>
          <w:tcPr>
            <w:tcW w:w="3151" w:type="dxa"/>
            <w:shd w:val="clear" w:color="auto" w:fill="E5DFEC" w:themeFill="accent4" w:themeFillTint="33"/>
            <w:vAlign w:val="center"/>
          </w:tcPr>
          <w:p w14:paraId="71586C0A"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$3.52</w:t>
            </w:r>
          </w:p>
        </w:tc>
      </w:tr>
      <w:tr w:rsidR="00521CF5" w:rsidRPr="00521CF5" w14:paraId="65799906" w14:textId="77777777" w:rsidTr="00311DE1">
        <w:trPr>
          <w:trHeight w:val="374"/>
          <w:jc w:val="center"/>
        </w:trPr>
        <w:tc>
          <w:tcPr>
            <w:tcW w:w="3240" w:type="dxa"/>
            <w:vAlign w:val="center"/>
          </w:tcPr>
          <w:p w14:paraId="6F31E0F9"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Medium Acuity (1:6)</w:t>
            </w:r>
          </w:p>
        </w:tc>
        <w:tc>
          <w:tcPr>
            <w:tcW w:w="2609" w:type="dxa"/>
            <w:vAlign w:val="center"/>
          </w:tcPr>
          <w:p w14:paraId="67909203"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$28.25</w:t>
            </w:r>
          </w:p>
        </w:tc>
        <w:tc>
          <w:tcPr>
            <w:tcW w:w="3151" w:type="dxa"/>
            <w:vAlign w:val="center"/>
          </w:tcPr>
          <w:p w14:paraId="303E6A1D"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$4.72</w:t>
            </w:r>
          </w:p>
        </w:tc>
      </w:tr>
      <w:tr w:rsidR="00521CF5" w:rsidRPr="00521CF5" w14:paraId="38F01F64" w14:textId="77777777" w:rsidTr="00311DE1">
        <w:trPr>
          <w:trHeight w:val="374"/>
          <w:jc w:val="center"/>
        </w:trPr>
        <w:tc>
          <w:tcPr>
            <w:tcW w:w="3240" w:type="dxa"/>
            <w:shd w:val="clear" w:color="auto" w:fill="E5DFEC" w:themeFill="accent4" w:themeFillTint="33"/>
            <w:vAlign w:val="center"/>
          </w:tcPr>
          <w:p w14:paraId="04F067C1"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High Acuity (1:3)</w:t>
            </w:r>
          </w:p>
        </w:tc>
        <w:tc>
          <w:tcPr>
            <w:tcW w:w="2609" w:type="dxa"/>
            <w:shd w:val="clear" w:color="auto" w:fill="E5DFEC" w:themeFill="accent4" w:themeFillTint="33"/>
            <w:vAlign w:val="center"/>
          </w:tcPr>
          <w:p w14:paraId="15C91229"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$28.25</w:t>
            </w:r>
          </w:p>
        </w:tc>
        <w:tc>
          <w:tcPr>
            <w:tcW w:w="3151" w:type="dxa"/>
            <w:shd w:val="clear" w:color="auto" w:fill="E5DFEC" w:themeFill="accent4" w:themeFillTint="33"/>
            <w:vAlign w:val="center"/>
          </w:tcPr>
          <w:p w14:paraId="5DCA6777" w14:textId="77777777" w:rsidR="00DF717D" w:rsidRPr="00521CF5" w:rsidRDefault="00DF717D" w:rsidP="00C51E73">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$7.05</w:t>
            </w:r>
          </w:p>
        </w:tc>
      </w:tr>
    </w:tbl>
    <w:p w14:paraId="6EF10D07" w14:textId="77777777" w:rsidR="00DF717D" w:rsidRPr="00DF717D" w:rsidRDefault="00DF717D" w:rsidP="002476FD">
      <w:pPr>
        <w:pStyle w:val="NoSpacing"/>
        <w:rPr>
          <w:rFonts w:eastAsia="Calibri"/>
        </w:rPr>
      </w:pPr>
    </w:p>
    <w:p w14:paraId="308DAD3F" w14:textId="77777777" w:rsidR="00DF717D" w:rsidRPr="00DF717D" w:rsidRDefault="00DF717D" w:rsidP="00B1367E">
      <w:r w:rsidRPr="00DF717D">
        <w:t>As part of this transition, they utilized extensive staff, administration</w:t>
      </w:r>
      <w:r w:rsidR="00302617">
        <w:t>,</w:t>
      </w:r>
      <w:r w:rsidRPr="00DF717D">
        <w:t xml:space="preserve"> and building cost data submitted by the provider agency to establish the Staff Hour Total Cost in the table above.</w:t>
      </w:r>
    </w:p>
    <w:p w14:paraId="463C0C59" w14:textId="4ACDBB67" w:rsidR="00DF717D" w:rsidRPr="00DF717D" w:rsidRDefault="00DF717D" w:rsidP="00B1367E">
      <w:r w:rsidRPr="00DF717D">
        <w:t>HBH also implemented an add-on to the rates when the provider is expected to provide transportation of the individual to/from the service. These changes did not impact the amount of service any individual was receiving</w:t>
      </w:r>
      <w:r w:rsidR="00073785">
        <w:t>,</w:t>
      </w:r>
      <w:r w:rsidRPr="00DF717D">
        <w:t xml:space="preserve"> but did create savings for HBH</w:t>
      </w:r>
      <w:r w:rsidR="00AC36C0">
        <w:t>,</w:t>
      </w:r>
      <w:r w:rsidRPr="00DF717D">
        <w:t xml:space="preserve"> which they reinvested in four strategic ways:</w:t>
      </w:r>
    </w:p>
    <w:p w14:paraId="08B29098" w14:textId="3EE1F242" w:rsidR="00DF717D" w:rsidRDefault="00DF717D" w:rsidP="002476FD">
      <w:pPr>
        <w:pStyle w:val="ListNumber"/>
        <w:numPr>
          <w:ilvl w:val="0"/>
          <w:numId w:val="12"/>
        </w:numPr>
      </w:pPr>
      <w:r w:rsidRPr="00DF717D">
        <w:t>Separate rates for community-based Skill Building services to encourage and financially support the provision of Skill Building services in the community. Such community-based service provision is consistent with both the Medicaid Home and Community-Based Services Settings Rule</w:t>
      </w:r>
      <w:r w:rsidRPr="00DF717D">
        <w:rPr>
          <w:vertAlign w:val="superscript"/>
        </w:rPr>
        <w:footnoteReference w:id="8"/>
      </w:r>
      <w:r w:rsidRPr="00DF717D">
        <w:t xml:space="preserve"> and best practice in relation to facilitating the intended outcome of the service, which is </w:t>
      </w:r>
      <w:r w:rsidR="00B40F49">
        <w:t xml:space="preserve">an </w:t>
      </w:r>
      <w:r w:rsidRPr="00DF717D">
        <w:t>achievement of competitive integrated employment. Note the community-based Skill Building rates allow for smaller staffing ratios to help ensure an effective and quality service</w:t>
      </w:r>
      <w:r w:rsidR="006677B7">
        <w:t xml:space="preserve">. </w:t>
      </w:r>
      <w:r w:rsidRPr="00DF717D">
        <w:t>Rather than incorporating building costs, HBH incorporated costs related to transportation during service delivery and participation costs that are associated with some valuable community-based activities</w:t>
      </w:r>
      <w:r w:rsidR="006677B7">
        <w:t xml:space="preserve">. </w:t>
      </w:r>
    </w:p>
    <w:p w14:paraId="7D1793E2" w14:textId="77777777" w:rsidR="00945756" w:rsidRPr="00DF717D" w:rsidRDefault="00945756" w:rsidP="00945756">
      <w:pPr>
        <w:pStyle w:val="NoSpacing"/>
      </w:pPr>
    </w:p>
    <w:tbl>
      <w:tblPr>
        <w:tblStyle w:val="TableGrid2"/>
        <w:tblW w:w="8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70"/>
        <w:gridCol w:w="2880"/>
        <w:gridCol w:w="2880"/>
      </w:tblGrid>
      <w:tr w:rsidR="000E019D" w:rsidRPr="000E019D" w14:paraId="53101564" w14:textId="77777777" w:rsidTr="00877093">
        <w:trPr>
          <w:jc w:val="center"/>
        </w:trPr>
        <w:tc>
          <w:tcPr>
            <w:tcW w:w="2970" w:type="dxa"/>
            <w:tcBorders>
              <w:bottom w:val="single" w:sz="4" w:space="0" w:color="BFBFBF" w:themeColor="background1" w:themeShade="BF"/>
            </w:tcBorders>
            <w:shd w:val="clear" w:color="auto" w:fill="215868" w:themeFill="accent5" w:themeFillShade="80"/>
          </w:tcPr>
          <w:p w14:paraId="4561DE07" w14:textId="77777777" w:rsidR="00DF717D" w:rsidRPr="000E019D" w:rsidRDefault="00DF717D" w:rsidP="00197BF7">
            <w:pPr>
              <w:spacing w:before="40" w:after="40" w:line="240" w:lineRule="auto"/>
              <w:jc w:val="center"/>
              <w:rPr>
                <w:rFonts w:ascii="Optima" w:hAnsi="Optima"/>
                <w:b/>
                <w:bCs/>
                <w:color w:val="FFFFFF" w:themeColor="background1"/>
                <w:sz w:val="19"/>
                <w:szCs w:val="19"/>
              </w:rPr>
            </w:pPr>
            <w:r w:rsidRPr="000E019D">
              <w:rPr>
                <w:rFonts w:ascii="Optima" w:hAnsi="Optima"/>
                <w:b/>
                <w:bCs/>
                <w:color w:val="FFFFFF" w:themeColor="background1"/>
                <w:sz w:val="19"/>
                <w:szCs w:val="19"/>
              </w:rPr>
              <w:t>Community-Based Skill Building (Minimum Staffing Ratio)</w:t>
            </w:r>
          </w:p>
        </w:tc>
        <w:tc>
          <w:tcPr>
            <w:tcW w:w="2880" w:type="dxa"/>
            <w:tcBorders>
              <w:bottom w:val="single" w:sz="4" w:space="0" w:color="BFBFBF" w:themeColor="background1" w:themeShade="BF"/>
            </w:tcBorders>
            <w:shd w:val="clear" w:color="auto" w:fill="215868" w:themeFill="accent5" w:themeFillShade="80"/>
          </w:tcPr>
          <w:p w14:paraId="568F7EF8" w14:textId="77777777" w:rsidR="00DF717D" w:rsidRPr="000E019D" w:rsidRDefault="00DF717D" w:rsidP="00197BF7">
            <w:pPr>
              <w:spacing w:before="40" w:after="40" w:line="240" w:lineRule="auto"/>
              <w:jc w:val="center"/>
              <w:rPr>
                <w:rFonts w:ascii="Optima" w:hAnsi="Optima"/>
                <w:b/>
                <w:bCs/>
                <w:color w:val="FFFFFF" w:themeColor="background1"/>
                <w:sz w:val="19"/>
                <w:szCs w:val="19"/>
              </w:rPr>
            </w:pPr>
            <w:r w:rsidRPr="000E019D">
              <w:rPr>
                <w:rFonts w:ascii="Optima" w:hAnsi="Optima"/>
                <w:b/>
                <w:bCs/>
                <w:color w:val="FFFFFF" w:themeColor="background1"/>
                <w:sz w:val="19"/>
                <w:szCs w:val="19"/>
              </w:rPr>
              <w:t>Staff Hour Total Cost</w:t>
            </w:r>
            <w:r w:rsidR="009025A1">
              <w:rPr>
                <w:rFonts w:ascii="Optima" w:hAnsi="Optima"/>
                <w:b/>
                <w:bCs/>
                <w:color w:val="FFFFFF" w:themeColor="background1"/>
                <w:sz w:val="19"/>
                <w:szCs w:val="19"/>
              </w:rPr>
              <w:br/>
            </w:r>
            <w:r w:rsidRPr="000E019D">
              <w:rPr>
                <w:rFonts w:ascii="Optima" w:hAnsi="Optima"/>
                <w:b/>
                <w:bCs/>
                <w:color w:val="FFFFFF" w:themeColor="background1"/>
                <w:sz w:val="19"/>
                <w:szCs w:val="19"/>
              </w:rPr>
              <w:t>(including travel during service)</w:t>
            </w:r>
          </w:p>
        </w:tc>
        <w:tc>
          <w:tcPr>
            <w:tcW w:w="2880" w:type="dxa"/>
            <w:tcBorders>
              <w:bottom w:val="single" w:sz="4" w:space="0" w:color="BFBFBF" w:themeColor="background1" w:themeShade="BF"/>
            </w:tcBorders>
            <w:shd w:val="clear" w:color="auto" w:fill="215868" w:themeFill="accent5" w:themeFillShade="80"/>
          </w:tcPr>
          <w:p w14:paraId="5A06D46C" w14:textId="77777777" w:rsidR="00DF717D" w:rsidRPr="000E019D" w:rsidRDefault="00DF717D" w:rsidP="00197BF7">
            <w:pPr>
              <w:spacing w:before="40" w:after="40" w:line="240" w:lineRule="auto"/>
              <w:jc w:val="center"/>
              <w:rPr>
                <w:rFonts w:ascii="Optima" w:hAnsi="Optima"/>
                <w:b/>
                <w:bCs/>
                <w:color w:val="FFFFFF" w:themeColor="background1"/>
                <w:sz w:val="19"/>
                <w:szCs w:val="19"/>
              </w:rPr>
            </w:pPr>
            <w:r w:rsidRPr="000E019D">
              <w:rPr>
                <w:rFonts w:ascii="Optima" w:hAnsi="Optima"/>
                <w:b/>
                <w:bCs/>
                <w:color w:val="FFFFFF" w:themeColor="background1"/>
                <w:sz w:val="19"/>
                <w:szCs w:val="19"/>
              </w:rPr>
              <w:t>Base Hourly Reimbursement Per Person Served</w:t>
            </w:r>
          </w:p>
        </w:tc>
      </w:tr>
      <w:tr w:rsidR="000E019D" w:rsidRPr="00521CF5" w14:paraId="394F022B" w14:textId="77777777" w:rsidTr="00311DE1">
        <w:trPr>
          <w:trHeight w:val="374"/>
          <w:jc w:val="center"/>
        </w:trPr>
        <w:tc>
          <w:tcPr>
            <w:tcW w:w="2970" w:type="dxa"/>
            <w:tcBorders>
              <w:top w:val="single" w:sz="4" w:space="0" w:color="BFBFBF" w:themeColor="background1" w:themeShade="BF"/>
            </w:tcBorders>
            <w:shd w:val="clear" w:color="auto" w:fill="DAEEF3" w:themeFill="accent5" w:themeFillTint="33"/>
            <w:vAlign w:val="center"/>
          </w:tcPr>
          <w:p w14:paraId="2B117538" w14:textId="77777777" w:rsidR="00DF717D" w:rsidRPr="00521CF5" w:rsidRDefault="00DF717D" w:rsidP="00197BF7">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Low Acuity (1:4)</w:t>
            </w:r>
          </w:p>
        </w:tc>
        <w:tc>
          <w:tcPr>
            <w:tcW w:w="2880" w:type="dxa"/>
            <w:tcBorders>
              <w:top w:val="single" w:sz="4" w:space="0" w:color="BFBFBF" w:themeColor="background1" w:themeShade="BF"/>
            </w:tcBorders>
            <w:shd w:val="clear" w:color="auto" w:fill="DAEEF3" w:themeFill="accent5" w:themeFillTint="33"/>
            <w:vAlign w:val="center"/>
          </w:tcPr>
          <w:p w14:paraId="57CAC1A7" w14:textId="6F027C52" w:rsidR="00DF717D" w:rsidRPr="00521CF5" w:rsidRDefault="00DF717D" w:rsidP="00197BF7">
            <w:pPr>
              <w:spacing w:before="40" w:after="40" w:line="240" w:lineRule="auto"/>
              <w:jc w:val="center"/>
              <w:rPr>
                <w:rFonts w:ascii="Optima" w:hAnsi="Optima"/>
                <w:color w:val="262626" w:themeColor="text1" w:themeTint="D9"/>
                <w:sz w:val="19"/>
                <w:szCs w:val="19"/>
              </w:rPr>
            </w:pPr>
          </w:p>
        </w:tc>
        <w:tc>
          <w:tcPr>
            <w:tcW w:w="2880" w:type="dxa"/>
            <w:tcBorders>
              <w:top w:val="single" w:sz="4" w:space="0" w:color="BFBFBF" w:themeColor="background1" w:themeShade="BF"/>
            </w:tcBorders>
            <w:shd w:val="clear" w:color="auto" w:fill="DAEEF3" w:themeFill="accent5" w:themeFillTint="33"/>
            <w:vAlign w:val="center"/>
          </w:tcPr>
          <w:p w14:paraId="18741B7B" w14:textId="77777777" w:rsidR="00DF717D" w:rsidRPr="00521CF5" w:rsidRDefault="00DF717D" w:rsidP="00197BF7">
            <w:pPr>
              <w:spacing w:before="40" w:after="40" w:line="240" w:lineRule="auto"/>
              <w:ind w:right="-110"/>
              <w:jc w:val="center"/>
              <w:rPr>
                <w:rFonts w:ascii="Optima" w:hAnsi="Optima"/>
                <w:color w:val="262626" w:themeColor="text1" w:themeTint="D9"/>
                <w:sz w:val="19"/>
                <w:szCs w:val="19"/>
              </w:rPr>
            </w:pPr>
            <w:r w:rsidRPr="00521CF5">
              <w:rPr>
                <w:rFonts w:ascii="Optima" w:hAnsi="Optima"/>
                <w:color w:val="262626" w:themeColor="text1" w:themeTint="D9"/>
                <w:sz w:val="19"/>
                <w:szCs w:val="19"/>
              </w:rPr>
              <w:t>$7.16</w:t>
            </w:r>
          </w:p>
        </w:tc>
      </w:tr>
      <w:tr w:rsidR="00B51B3B" w:rsidRPr="00521CF5" w14:paraId="1F0DA8EF" w14:textId="77777777" w:rsidTr="00311DE1">
        <w:trPr>
          <w:trHeight w:val="374"/>
          <w:jc w:val="center"/>
        </w:trPr>
        <w:tc>
          <w:tcPr>
            <w:tcW w:w="2970" w:type="dxa"/>
            <w:vAlign w:val="center"/>
          </w:tcPr>
          <w:p w14:paraId="27130636" w14:textId="77777777" w:rsidR="00B51B3B" w:rsidRPr="00521CF5" w:rsidRDefault="00B51B3B" w:rsidP="00B51B3B">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Medium Acuity (1:3)</w:t>
            </w:r>
          </w:p>
        </w:tc>
        <w:tc>
          <w:tcPr>
            <w:tcW w:w="2880" w:type="dxa"/>
            <w:vAlign w:val="center"/>
          </w:tcPr>
          <w:p w14:paraId="1FE21040" w14:textId="02DF0508" w:rsidR="00B51B3B" w:rsidRPr="00521CF5" w:rsidRDefault="00B51B3B" w:rsidP="00B51B3B">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$28.66</w:t>
            </w:r>
          </w:p>
        </w:tc>
        <w:tc>
          <w:tcPr>
            <w:tcW w:w="2880" w:type="dxa"/>
            <w:vAlign w:val="center"/>
          </w:tcPr>
          <w:p w14:paraId="3E96176E" w14:textId="77777777" w:rsidR="00B51B3B" w:rsidRPr="00521CF5" w:rsidRDefault="00B51B3B" w:rsidP="00B51B3B">
            <w:pPr>
              <w:spacing w:before="40" w:after="40" w:line="240" w:lineRule="auto"/>
              <w:ind w:right="-110"/>
              <w:jc w:val="center"/>
              <w:rPr>
                <w:rFonts w:ascii="Optima" w:hAnsi="Optima"/>
                <w:color w:val="262626" w:themeColor="text1" w:themeTint="D9"/>
                <w:sz w:val="19"/>
                <w:szCs w:val="19"/>
              </w:rPr>
            </w:pPr>
            <w:r w:rsidRPr="00521CF5">
              <w:rPr>
                <w:rFonts w:ascii="Optima" w:hAnsi="Optima"/>
                <w:color w:val="262626" w:themeColor="text1" w:themeTint="D9"/>
                <w:sz w:val="19"/>
                <w:szCs w:val="19"/>
              </w:rPr>
              <w:t>$9.56</w:t>
            </w:r>
          </w:p>
        </w:tc>
      </w:tr>
      <w:tr w:rsidR="00B51B3B" w:rsidRPr="00521CF5" w14:paraId="7CCBCB51" w14:textId="77777777" w:rsidTr="00311DE1">
        <w:trPr>
          <w:trHeight w:val="374"/>
          <w:jc w:val="center"/>
        </w:trPr>
        <w:tc>
          <w:tcPr>
            <w:tcW w:w="2970" w:type="dxa"/>
            <w:shd w:val="clear" w:color="auto" w:fill="DAEEF3" w:themeFill="accent5" w:themeFillTint="33"/>
            <w:vAlign w:val="center"/>
          </w:tcPr>
          <w:p w14:paraId="6A16A7B9" w14:textId="77777777" w:rsidR="00B51B3B" w:rsidRPr="00521CF5" w:rsidRDefault="00B51B3B" w:rsidP="00B51B3B">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High Acuity (1:2)</w:t>
            </w:r>
          </w:p>
        </w:tc>
        <w:tc>
          <w:tcPr>
            <w:tcW w:w="2880" w:type="dxa"/>
            <w:shd w:val="clear" w:color="auto" w:fill="DAEEF3" w:themeFill="accent5" w:themeFillTint="33"/>
            <w:vAlign w:val="center"/>
          </w:tcPr>
          <w:p w14:paraId="022D4851" w14:textId="77777777" w:rsidR="00B51B3B" w:rsidRPr="00521CF5" w:rsidRDefault="00B51B3B" w:rsidP="00B51B3B">
            <w:pPr>
              <w:spacing w:before="40" w:after="40" w:line="240" w:lineRule="auto"/>
              <w:jc w:val="center"/>
              <w:rPr>
                <w:rFonts w:ascii="Optima" w:hAnsi="Optima"/>
                <w:color w:val="262626" w:themeColor="text1" w:themeTint="D9"/>
                <w:sz w:val="19"/>
                <w:szCs w:val="19"/>
              </w:rPr>
            </w:pPr>
            <w:r w:rsidRPr="00521CF5">
              <w:rPr>
                <w:rFonts w:ascii="Optima" w:hAnsi="Optima"/>
                <w:color w:val="262626" w:themeColor="text1" w:themeTint="D9"/>
                <w:sz w:val="19"/>
                <w:szCs w:val="19"/>
              </w:rPr>
              <w:t>$28.66</w:t>
            </w:r>
          </w:p>
        </w:tc>
        <w:tc>
          <w:tcPr>
            <w:tcW w:w="2880" w:type="dxa"/>
            <w:shd w:val="clear" w:color="auto" w:fill="DAEEF3" w:themeFill="accent5" w:themeFillTint="33"/>
            <w:vAlign w:val="center"/>
          </w:tcPr>
          <w:p w14:paraId="1E3BF251" w14:textId="77777777" w:rsidR="00B51B3B" w:rsidRPr="00521CF5" w:rsidRDefault="00B51B3B" w:rsidP="00B51B3B">
            <w:pPr>
              <w:spacing w:before="40" w:after="40" w:line="240" w:lineRule="auto"/>
              <w:ind w:right="-110"/>
              <w:jc w:val="center"/>
              <w:rPr>
                <w:rFonts w:ascii="Optima" w:hAnsi="Optima"/>
                <w:color w:val="262626" w:themeColor="text1" w:themeTint="D9"/>
                <w:sz w:val="19"/>
                <w:szCs w:val="19"/>
              </w:rPr>
            </w:pPr>
            <w:r w:rsidRPr="00521CF5">
              <w:rPr>
                <w:rFonts w:ascii="Optima" w:hAnsi="Optima"/>
                <w:color w:val="262626" w:themeColor="text1" w:themeTint="D9"/>
                <w:sz w:val="19"/>
                <w:szCs w:val="19"/>
              </w:rPr>
              <w:t>$14.32</w:t>
            </w:r>
          </w:p>
        </w:tc>
      </w:tr>
    </w:tbl>
    <w:p w14:paraId="3143D49E" w14:textId="77777777" w:rsidR="00DF717D" w:rsidRPr="00022B8D" w:rsidRDefault="00DF717D" w:rsidP="002476FD">
      <w:pPr>
        <w:pStyle w:val="NoSpacing"/>
        <w:rPr>
          <w:sz w:val="15"/>
          <w:szCs w:val="15"/>
        </w:rPr>
      </w:pPr>
    </w:p>
    <w:p w14:paraId="12408459" w14:textId="3BB07C71" w:rsidR="00DF717D" w:rsidRPr="00DF717D" w:rsidRDefault="00DF717D" w:rsidP="007B3ACF">
      <w:pPr>
        <w:pStyle w:val="ListNumber"/>
        <w:ind w:left="360"/>
      </w:pPr>
      <w:r w:rsidRPr="00DF717D">
        <w:t xml:space="preserve">Increased rates for </w:t>
      </w:r>
      <w:r w:rsidR="0043439D">
        <w:t>I</w:t>
      </w:r>
      <w:r w:rsidRPr="00DF717D">
        <w:t>ndividual Supported Employment services to increase opportunities for individuals served to obtain and maintain competitive integrated employment</w:t>
      </w:r>
      <w:r w:rsidR="006677B7">
        <w:t xml:space="preserve">. </w:t>
      </w:r>
      <w:r w:rsidRPr="00DF717D">
        <w:t>HBH chose to implement outcome-based reimbursement for these services but utilized provider-reported data to align the underlying fee-for-service rate with provider costs</w:t>
      </w:r>
      <w:r w:rsidR="006677B7">
        <w:t xml:space="preserve">. </w:t>
      </w:r>
    </w:p>
    <w:p w14:paraId="502200BB" w14:textId="77777777" w:rsidR="00305196" w:rsidRDefault="001E34A0" w:rsidP="00197BF7">
      <w:pPr>
        <w:spacing w:after="0"/>
        <w:ind w:left="360"/>
      </w:pPr>
      <w:r w:rsidRPr="00AC36C0">
        <w:t>T</w:t>
      </w:r>
      <w:r w:rsidR="00DF717D" w:rsidRPr="00AC36C0">
        <w:t xml:space="preserve">hrough </w:t>
      </w:r>
      <w:r w:rsidR="008E681D" w:rsidRPr="00AC36C0">
        <w:t xml:space="preserve">the </w:t>
      </w:r>
      <w:r w:rsidR="00DF717D" w:rsidRPr="00AC36C0">
        <w:t>collection of data on every job coach the provider employed, HBH was able to accurately identify a weighted average cost per hour of job coaching service for all costs other than job coach mileage</w:t>
      </w:r>
      <w:r w:rsidRPr="00AC36C0">
        <w:t xml:space="preserve"> for Supported Employment individual job coaching</w:t>
      </w:r>
      <w:r w:rsidR="006677B7" w:rsidRPr="00AC36C0">
        <w:t>.</w:t>
      </w:r>
      <w:r w:rsidR="006677B7">
        <w:t xml:space="preserve"> </w:t>
      </w:r>
    </w:p>
    <w:p w14:paraId="4382DAD4" w14:textId="265F2435" w:rsidR="000A55C1" w:rsidRDefault="000A55C1">
      <w:pPr>
        <w:spacing w:before="0" w:after="0" w:line="240" w:lineRule="auto"/>
        <w:rPr>
          <w:rFonts w:eastAsia="Times New Roman"/>
        </w:rPr>
      </w:pPr>
      <w:r>
        <w:br w:type="page"/>
      </w:r>
    </w:p>
    <w:tbl>
      <w:tblPr>
        <w:tblW w:w="9000" w:type="dxa"/>
        <w:tblInd w:w="360" w:type="dxa"/>
        <w:tblLayout w:type="fixed"/>
        <w:tblLook w:val="0460" w:firstRow="1" w:lastRow="1" w:firstColumn="0" w:lastColumn="0" w:noHBand="0" w:noVBand="1"/>
        <w:tblCaption w:val="Increased rates for Individual Supported Employment Services."/>
        <w:tblDescription w:val="It displays data for total hours, total cost, and average cost per week."/>
      </w:tblPr>
      <w:tblGrid>
        <w:gridCol w:w="810"/>
        <w:gridCol w:w="1440"/>
        <w:gridCol w:w="810"/>
        <w:gridCol w:w="810"/>
        <w:gridCol w:w="1170"/>
        <w:gridCol w:w="1620"/>
        <w:gridCol w:w="900"/>
        <w:gridCol w:w="1440"/>
      </w:tblGrid>
      <w:tr w:rsidR="00177D86" w:rsidRPr="00305196" w14:paraId="13C77AB3" w14:textId="77777777" w:rsidTr="00AE07EF">
        <w:trPr>
          <w:trHeight w:val="540"/>
          <w:tblHeader/>
        </w:trPr>
        <w:tc>
          <w:tcPr>
            <w:tcW w:w="810" w:type="dxa"/>
            <w:tcBorders>
              <w:top w:val="nil"/>
              <w:left w:val="nil"/>
            </w:tcBorders>
            <w:shd w:val="clear" w:color="auto" w:fill="215868" w:themeFill="accent5" w:themeFillShade="80"/>
            <w:vAlign w:val="center"/>
            <w:hideMark/>
          </w:tcPr>
          <w:p w14:paraId="3680387A" w14:textId="77777777" w:rsidR="00177D86" w:rsidRPr="00305196" w:rsidRDefault="00177D86" w:rsidP="00CA1889">
            <w:pPr>
              <w:spacing w:before="40" w:after="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Job Coach</w:t>
            </w:r>
          </w:p>
        </w:tc>
        <w:tc>
          <w:tcPr>
            <w:tcW w:w="1440" w:type="dxa"/>
            <w:tcBorders>
              <w:top w:val="nil"/>
            </w:tcBorders>
            <w:shd w:val="clear" w:color="auto" w:fill="215868" w:themeFill="accent5" w:themeFillShade="80"/>
            <w:vAlign w:val="center"/>
            <w:hideMark/>
          </w:tcPr>
          <w:p w14:paraId="7003695F" w14:textId="77777777" w:rsidR="00177D86" w:rsidRPr="00305196" w:rsidRDefault="00177D86" w:rsidP="00C97E52">
            <w:pPr>
              <w:spacing w:before="40" w:after="0" w:line="240" w:lineRule="auto"/>
              <w:jc w:val="right"/>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Hourly Wage</w:t>
            </w:r>
            <w:r w:rsidRPr="00305196">
              <w:rPr>
                <w:rFonts w:ascii="Optima" w:eastAsia="Times New Roman" w:hAnsi="Optima" w:cs="Calibri"/>
                <w:b/>
                <w:bCs/>
                <w:color w:val="FFFFFF"/>
                <w:sz w:val="19"/>
                <w:szCs w:val="19"/>
              </w:rPr>
              <w:br/>
              <w:t>Avg = $10.93</w:t>
            </w:r>
          </w:p>
        </w:tc>
        <w:tc>
          <w:tcPr>
            <w:tcW w:w="810" w:type="dxa"/>
            <w:tcBorders>
              <w:top w:val="nil"/>
            </w:tcBorders>
            <w:shd w:val="clear" w:color="auto" w:fill="215868" w:themeFill="accent5" w:themeFillShade="80"/>
            <w:vAlign w:val="center"/>
            <w:hideMark/>
          </w:tcPr>
          <w:p w14:paraId="4DEE6589" w14:textId="77777777" w:rsidR="00177D86" w:rsidRPr="00305196" w:rsidRDefault="00177D86" w:rsidP="00CA1889">
            <w:pPr>
              <w:spacing w:before="40" w:after="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 FTE</w:t>
            </w:r>
          </w:p>
        </w:tc>
        <w:tc>
          <w:tcPr>
            <w:tcW w:w="810" w:type="dxa"/>
            <w:tcBorders>
              <w:top w:val="nil"/>
            </w:tcBorders>
            <w:shd w:val="clear" w:color="auto" w:fill="215868" w:themeFill="accent5" w:themeFillShade="80"/>
            <w:vAlign w:val="center"/>
            <w:hideMark/>
          </w:tcPr>
          <w:p w14:paraId="4DBA14B5" w14:textId="77777777" w:rsidR="00177D86" w:rsidRPr="00305196" w:rsidRDefault="00177D86" w:rsidP="00C97E52">
            <w:pPr>
              <w:spacing w:before="40" w:after="0" w:line="240" w:lineRule="auto"/>
              <w:jc w:val="right"/>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Hrs/ Week</w:t>
            </w:r>
          </w:p>
        </w:tc>
        <w:tc>
          <w:tcPr>
            <w:tcW w:w="1170" w:type="dxa"/>
            <w:tcBorders>
              <w:top w:val="nil"/>
            </w:tcBorders>
            <w:shd w:val="clear" w:color="auto" w:fill="215868" w:themeFill="accent5" w:themeFillShade="80"/>
            <w:vAlign w:val="center"/>
            <w:hideMark/>
          </w:tcPr>
          <w:p w14:paraId="76B938B8" w14:textId="77777777" w:rsidR="00177D86" w:rsidRPr="00305196" w:rsidRDefault="00177D86" w:rsidP="00C97E52">
            <w:pPr>
              <w:spacing w:before="40" w:after="0" w:line="240" w:lineRule="auto"/>
              <w:jc w:val="right"/>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Admin as % of wage + benefits</w:t>
            </w:r>
          </w:p>
        </w:tc>
        <w:tc>
          <w:tcPr>
            <w:tcW w:w="1620" w:type="dxa"/>
            <w:tcBorders>
              <w:top w:val="nil"/>
            </w:tcBorders>
            <w:shd w:val="clear" w:color="auto" w:fill="215868" w:themeFill="accent5" w:themeFillShade="80"/>
            <w:vAlign w:val="center"/>
            <w:hideMark/>
          </w:tcPr>
          <w:p w14:paraId="3AC1EA4C" w14:textId="77777777" w:rsidR="00177D86" w:rsidRPr="00305196" w:rsidRDefault="00177D86" w:rsidP="00C97E52">
            <w:pPr>
              <w:spacing w:before="40" w:after="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Productivity Adjustment</w:t>
            </w:r>
          </w:p>
        </w:tc>
        <w:tc>
          <w:tcPr>
            <w:tcW w:w="900" w:type="dxa"/>
            <w:tcBorders>
              <w:top w:val="nil"/>
            </w:tcBorders>
            <w:shd w:val="clear" w:color="auto" w:fill="215868" w:themeFill="accent5" w:themeFillShade="80"/>
            <w:vAlign w:val="center"/>
            <w:hideMark/>
          </w:tcPr>
          <w:p w14:paraId="3C463E66" w14:textId="77777777" w:rsidR="00177D86" w:rsidRPr="00305196" w:rsidRDefault="00177D86" w:rsidP="00C97E52">
            <w:pPr>
              <w:spacing w:before="40" w:after="0" w:line="240" w:lineRule="auto"/>
              <w:ind w:hanging="14"/>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Hourly Cost</w:t>
            </w:r>
          </w:p>
        </w:tc>
        <w:tc>
          <w:tcPr>
            <w:tcW w:w="1440" w:type="dxa"/>
            <w:tcBorders>
              <w:top w:val="nil"/>
            </w:tcBorders>
            <w:shd w:val="clear" w:color="auto" w:fill="215868" w:themeFill="accent5" w:themeFillShade="80"/>
            <w:vAlign w:val="center"/>
            <w:hideMark/>
          </w:tcPr>
          <w:p w14:paraId="6DD4B242" w14:textId="77777777" w:rsidR="00177D86" w:rsidRPr="00305196" w:rsidRDefault="00177D86" w:rsidP="00C97E52">
            <w:pPr>
              <w:spacing w:before="40" w:after="0" w:line="240" w:lineRule="auto"/>
              <w:jc w:val="right"/>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Weekly Cost</w:t>
            </w:r>
          </w:p>
        </w:tc>
      </w:tr>
      <w:tr w:rsidR="00177D86" w:rsidRPr="008B1CBA" w14:paraId="7C954B53" w14:textId="77777777" w:rsidTr="00AE07EF">
        <w:trPr>
          <w:trHeight w:val="80"/>
          <w:tblHeader/>
        </w:trPr>
        <w:tc>
          <w:tcPr>
            <w:tcW w:w="810" w:type="dxa"/>
            <w:tcBorders>
              <w:left w:val="nil"/>
              <w:bottom w:val="single" w:sz="2" w:space="0" w:color="D9D9D9" w:themeColor="background1" w:themeShade="D9"/>
              <w:right w:val="nil"/>
            </w:tcBorders>
            <w:shd w:val="clear" w:color="auto" w:fill="auto"/>
            <w:noWrap/>
            <w:vAlign w:val="center"/>
            <w:hideMark/>
          </w:tcPr>
          <w:p w14:paraId="66BAEE15"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A</w:t>
            </w:r>
          </w:p>
        </w:tc>
        <w:tc>
          <w:tcPr>
            <w:tcW w:w="1440" w:type="dxa"/>
            <w:tcBorders>
              <w:left w:val="nil"/>
              <w:bottom w:val="single" w:sz="2" w:space="0" w:color="D9D9D9" w:themeColor="background1" w:themeShade="D9"/>
              <w:right w:val="nil"/>
            </w:tcBorders>
            <w:shd w:val="clear" w:color="auto" w:fill="auto"/>
            <w:noWrap/>
            <w:vAlign w:val="center"/>
            <w:hideMark/>
          </w:tcPr>
          <w:p w14:paraId="2C4C794A"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$9.70</w:t>
            </w:r>
          </w:p>
        </w:tc>
        <w:tc>
          <w:tcPr>
            <w:tcW w:w="810" w:type="dxa"/>
            <w:tcBorders>
              <w:left w:val="nil"/>
              <w:bottom w:val="single" w:sz="2" w:space="0" w:color="D9D9D9" w:themeColor="background1" w:themeShade="D9"/>
              <w:right w:val="nil"/>
            </w:tcBorders>
            <w:shd w:val="clear" w:color="auto" w:fill="auto"/>
            <w:noWrap/>
            <w:vAlign w:val="center"/>
            <w:hideMark/>
          </w:tcPr>
          <w:p w14:paraId="0CD5E7AC"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0.7</w:t>
            </w:r>
            <w:r>
              <w:rPr>
                <w:rFonts w:ascii="Optima" w:eastAsia="Times New Roman" w:hAnsi="Optima" w:cs="Calibri"/>
                <w:color w:val="000000"/>
                <w:sz w:val="19"/>
                <w:szCs w:val="19"/>
              </w:rPr>
              <w:t>0</w:t>
            </w:r>
          </w:p>
        </w:tc>
        <w:tc>
          <w:tcPr>
            <w:tcW w:w="810" w:type="dxa"/>
            <w:tcBorders>
              <w:left w:val="nil"/>
              <w:bottom w:val="single" w:sz="2" w:space="0" w:color="D9D9D9" w:themeColor="background1" w:themeShade="D9"/>
              <w:right w:val="nil"/>
            </w:tcBorders>
            <w:shd w:val="clear" w:color="auto" w:fill="auto"/>
            <w:noWrap/>
            <w:vAlign w:val="center"/>
            <w:hideMark/>
          </w:tcPr>
          <w:p w14:paraId="05257885"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28</w:t>
            </w:r>
            <w:r>
              <w:rPr>
                <w:rFonts w:ascii="Optima" w:eastAsia="Times New Roman" w:hAnsi="Optima" w:cs="Calibri"/>
                <w:color w:val="000000"/>
                <w:sz w:val="19"/>
                <w:szCs w:val="19"/>
              </w:rPr>
              <w:t>.0</w:t>
            </w:r>
          </w:p>
        </w:tc>
        <w:tc>
          <w:tcPr>
            <w:tcW w:w="1170" w:type="dxa"/>
            <w:tcBorders>
              <w:left w:val="nil"/>
              <w:bottom w:val="single" w:sz="2" w:space="0" w:color="D9D9D9" w:themeColor="background1" w:themeShade="D9"/>
              <w:right w:val="nil"/>
            </w:tcBorders>
            <w:shd w:val="clear" w:color="auto" w:fill="auto"/>
            <w:noWrap/>
            <w:vAlign w:val="center"/>
            <w:hideMark/>
          </w:tcPr>
          <w:p w14:paraId="098D414A"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70.4</w:t>
            </w:r>
          </w:p>
        </w:tc>
        <w:tc>
          <w:tcPr>
            <w:tcW w:w="1620" w:type="dxa"/>
            <w:tcBorders>
              <w:left w:val="nil"/>
              <w:bottom w:val="single" w:sz="2" w:space="0" w:color="D9D9D9" w:themeColor="background1" w:themeShade="D9"/>
              <w:right w:val="nil"/>
            </w:tcBorders>
            <w:shd w:val="clear" w:color="auto" w:fill="auto"/>
            <w:noWrap/>
            <w:vAlign w:val="center"/>
            <w:hideMark/>
          </w:tcPr>
          <w:p w14:paraId="0B0E657D"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1.4508</w:t>
            </w:r>
          </w:p>
        </w:tc>
        <w:tc>
          <w:tcPr>
            <w:tcW w:w="900" w:type="dxa"/>
            <w:tcBorders>
              <w:left w:val="nil"/>
              <w:bottom w:val="single" w:sz="2" w:space="0" w:color="D9D9D9" w:themeColor="background1" w:themeShade="D9"/>
              <w:right w:val="nil"/>
            </w:tcBorders>
            <w:shd w:val="clear" w:color="auto" w:fill="auto"/>
            <w:noWrap/>
            <w:vAlign w:val="center"/>
            <w:hideMark/>
          </w:tcPr>
          <w:p w14:paraId="42582954"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$26.33</w:t>
            </w:r>
          </w:p>
        </w:tc>
        <w:tc>
          <w:tcPr>
            <w:tcW w:w="1440" w:type="dxa"/>
            <w:tcBorders>
              <w:left w:val="nil"/>
              <w:bottom w:val="single" w:sz="2" w:space="0" w:color="D9D9D9" w:themeColor="background1" w:themeShade="D9"/>
              <w:right w:val="nil"/>
            </w:tcBorders>
            <w:shd w:val="clear" w:color="auto" w:fill="auto"/>
            <w:noWrap/>
            <w:vAlign w:val="center"/>
            <w:hideMark/>
          </w:tcPr>
          <w:p w14:paraId="4B3648D7"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$737.24</w:t>
            </w:r>
          </w:p>
        </w:tc>
      </w:tr>
      <w:tr w:rsidR="00177D86" w:rsidRPr="008B1CBA" w14:paraId="0E3ACF5B" w14:textId="77777777" w:rsidTr="00AE07EF">
        <w:trPr>
          <w:trHeight w:val="11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0677AC96"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B</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3824ACAB"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$9.70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7200DC1B"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0.5</w:t>
            </w:r>
            <w:r>
              <w:rPr>
                <w:rFonts w:ascii="Optima" w:eastAsia="Times New Roman" w:hAnsi="Optima" w:cs="Calibri"/>
                <w:color w:val="000000"/>
                <w:sz w:val="19"/>
                <w:szCs w:val="19"/>
              </w:rPr>
              <w:t>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608FCA9"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20</w:t>
            </w:r>
            <w:r>
              <w:rPr>
                <w:rFonts w:ascii="Optima" w:eastAsia="Times New Roman" w:hAnsi="Optima" w:cs="Calibri"/>
                <w:color w:val="000000"/>
                <w:sz w:val="19"/>
                <w:szCs w:val="19"/>
              </w:rPr>
              <w:t>.0</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41D194D2"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97.7</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0470353"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1.3158</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5F57421F"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$27.92</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3190773B"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$558.40</w:t>
            </w:r>
          </w:p>
        </w:tc>
      </w:tr>
      <w:tr w:rsidR="00177D86" w:rsidRPr="008B1CBA" w14:paraId="4262F008" w14:textId="77777777" w:rsidTr="00AE07EF">
        <w:trPr>
          <w:trHeight w:val="62"/>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1317D07"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C</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62961409"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$12.75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28B9AB4"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0.25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0BAACE1"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10</w:t>
            </w:r>
            <w:r>
              <w:rPr>
                <w:rFonts w:ascii="Optima" w:eastAsia="Times New Roman" w:hAnsi="Optima" w:cs="Calibri"/>
                <w:color w:val="000000"/>
                <w:sz w:val="19"/>
                <w:szCs w:val="19"/>
              </w:rPr>
              <w:t>.0</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4870424"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146.7</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AB688BB"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1.3245</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7A85BDA"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$46.75</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0D8A5F1"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$467.50</w:t>
            </w:r>
          </w:p>
        </w:tc>
      </w:tr>
      <w:tr w:rsidR="00177D86" w:rsidRPr="008B1CBA" w14:paraId="3FA18BF2" w14:textId="77777777" w:rsidTr="00AE07EF">
        <w:trPr>
          <w:trHeight w:val="5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689F48E2"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D</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41BBE81C"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$11.00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60C44420"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0.73</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6476642D"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29.2</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CEE0969"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59.9</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42EBCCAC"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1.4286</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6B17BFEB"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$27.50</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092A879F"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$803.00</w:t>
            </w:r>
          </w:p>
        </w:tc>
      </w:tr>
      <w:tr w:rsidR="00177D86" w:rsidRPr="008B1CBA" w14:paraId="7616DC86" w14:textId="77777777" w:rsidTr="00AE07EF">
        <w:trPr>
          <w:trHeight w:val="5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3828AB2"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E</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20FA8F4"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$10.00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1DD16DC3"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w:t>
            </w:r>
            <w:r>
              <w:rPr>
                <w:rFonts w:ascii="Optima" w:eastAsia="Times New Roman" w:hAnsi="Optima" w:cs="Calibri"/>
                <w:color w:val="000000"/>
                <w:sz w:val="19"/>
                <w:szCs w:val="19"/>
              </w:rPr>
              <w:t>.00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66C9282"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40</w:t>
            </w:r>
            <w:r>
              <w:rPr>
                <w:rFonts w:ascii="Optima" w:eastAsia="Times New Roman" w:hAnsi="Optima" w:cs="Calibri"/>
                <w:color w:val="000000"/>
                <w:sz w:val="19"/>
                <w:szCs w:val="19"/>
              </w:rPr>
              <w:t>.0</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E3D2F57"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37.8</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C4DD33A"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1.4760</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0AD41DF"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$28.07</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1C4CDC6"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$1,122.80</w:t>
            </w:r>
          </w:p>
        </w:tc>
      </w:tr>
      <w:tr w:rsidR="00177D86" w:rsidRPr="008B1CBA" w14:paraId="68E4C43C" w14:textId="77777777" w:rsidTr="00AE07EF">
        <w:trPr>
          <w:trHeight w:val="5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6616F857"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F</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1A421586"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$11.55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74406914"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0.38</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660C1555"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15.2</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789B3B76"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97.3</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7645190C"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1.2876</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53DED2E0"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$26.37</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64CBC69"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$552.82</w:t>
            </w:r>
          </w:p>
        </w:tc>
      </w:tr>
      <w:tr w:rsidR="00177D86" w:rsidRPr="008B1CBA" w14:paraId="02528431" w14:textId="77777777" w:rsidTr="00AE07EF">
        <w:trPr>
          <w:trHeight w:val="278"/>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2B492590"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G</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032D124"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$12.75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288E2507"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0.25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02F33F0"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10</w:t>
            </w:r>
            <w:r>
              <w:rPr>
                <w:rFonts w:ascii="Optima" w:eastAsia="Times New Roman" w:hAnsi="Optima" w:cs="Calibri"/>
                <w:color w:val="000000"/>
                <w:sz w:val="19"/>
                <w:szCs w:val="19"/>
              </w:rPr>
              <w:t>.0</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DE87971"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146.7</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A87DC9C"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1.3245</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927307B"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$46.75</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F7B9010"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$467.50</w:t>
            </w:r>
          </w:p>
        </w:tc>
      </w:tr>
      <w:tr w:rsidR="00177D86" w:rsidRPr="008B1CBA" w14:paraId="19ABDBE7" w14:textId="77777777" w:rsidTr="00AE07EF">
        <w:trPr>
          <w:trHeight w:val="5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32A5FF21"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H</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53958BA"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$9.70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40DA9D8"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0.45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3B3987E1"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18</w:t>
            </w:r>
            <w:r>
              <w:rPr>
                <w:rFonts w:ascii="Optima" w:eastAsia="Times New Roman" w:hAnsi="Optima" w:cs="Calibri"/>
                <w:color w:val="000000"/>
                <w:sz w:val="19"/>
                <w:szCs w:val="19"/>
              </w:rPr>
              <w:t>.0</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91E965C"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108.3</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157B162D"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1.3636</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2E0E6C27"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$30.58</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7A57E9A8"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$550.44</w:t>
            </w:r>
          </w:p>
        </w:tc>
      </w:tr>
      <w:tr w:rsidR="00177D86" w:rsidRPr="008B1CBA" w14:paraId="1DBD6885" w14:textId="77777777" w:rsidTr="00AE07EF">
        <w:trPr>
          <w:trHeight w:val="5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11FE8C8"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I</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03245E0"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$12.35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3AFA114"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0.7</w:t>
            </w:r>
            <w:r>
              <w:rPr>
                <w:rFonts w:ascii="Optima" w:eastAsia="Times New Roman" w:hAnsi="Optima" w:cs="Calibri"/>
                <w:color w:val="000000"/>
                <w:sz w:val="19"/>
                <w:szCs w:val="19"/>
              </w:rPr>
              <w:t>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13C35C1A"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28</w:t>
            </w:r>
            <w:r>
              <w:rPr>
                <w:rFonts w:ascii="Optima" w:eastAsia="Times New Roman" w:hAnsi="Optima" w:cs="Calibri"/>
                <w:color w:val="000000"/>
                <w:sz w:val="19"/>
                <w:szCs w:val="19"/>
              </w:rPr>
              <w:t>.0</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8B11122"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50.8</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BEB2E53"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1.2844</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185D125A"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$28.44</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595C543"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$796.32</w:t>
            </w:r>
          </w:p>
        </w:tc>
      </w:tr>
      <w:tr w:rsidR="00177D86" w:rsidRPr="008B1CBA" w14:paraId="3BD58E88" w14:textId="77777777" w:rsidTr="00AE07EF">
        <w:trPr>
          <w:trHeight w:val="5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065F6D3E"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J</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15EE9C79"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$9.70</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7DF5833A"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0.45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4EB84DE4"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18</w:t>
            </w:r>
            <w:r>
              <w:rPr>
                <w:rFonts w:ascii="Optima" w:eastAsia="Times New Roman" w:hAnsi="Optima" w:cs="Calibri"/>
                <w:color w:val="000000"/>
                <w:sz w:val="19"/>
                <w:szCs w:val="19"/>
              </w:rPr>
              <w:t>.0</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0F910D8E"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108.3</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4AC1BF60"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1.3793</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05D7A7F6"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$30.93</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DAEEF3" w:themeFill="accent5" w:themeFillTint="33"/>
            <w:noWrap/>
            <w:vAlign w:val="center"/>
            <w:hideMark/>
          </w:tcPr>
          <w:p w14:paraId="3D5332ED"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$556.74</w:t>
            </w:r>
          </w:p>
        </w:tc>
      </w:tr>
      <w:tr w:rsidR="00177D86" w:rsidRPr="008B1CBA" w14:paraId="3CF67EB3" w14:textId="77777777" w:rsidTr="008E216E">
        <w:trPr>
          <w:trHeight w:val="11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0AC9C87B"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Pr>
                <w:rFonts w:ascii="Optima" w:eastAsia="Times New Roman" w:hAnsi="Optima" w:cs="Calibri"/>
                <w:color w:val="000000"/>
                <w:sz w:val="19"/>
                <w:szCs w:val="19"/>
              </w:rPr>
              <w:t>K</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7A1CDEB0" w14:textId="77777777" w:rsidR="00177D86" w:rsidRPr="008B1CBA" w:rsidRDefault="00177D86" w:rsidP="00C97E52">
            <w:pPr>
              <w:spacing w:before="20" w:after="20" w:line="240" w:lineRule="auto"/>
              <w:ind w:left="70" w:right="160"/>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$9.95</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097F522"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0.73</w:t>
            </w: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20A3E21C"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29.2</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4A260DF5"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66.1</w:t>
            </w: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30F25C47" w14:textId="77777777" w:rsidR="00177D86" w:rsidRPr="008B1CBA" w:rsidRDefault="00177D86" w:rsidP="00C97E52">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1.4286</w:t>
            </w: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5CCAD553" w14:textId="77777777" w:rsidR="00177D86" w:rsidRPr="008B1CBA" w:rsidRDefault="00177D86" w:rsidP="00CA1889">
            <w:pPr>
              <w:spacing w:before="20" w:after="20" w:line="240" w:lineRule="auto"/>
              <w:jc w:val="center"/>
              <w:rPr>
                <w:rFonts w:ascii="Optima" w:eastAsia="Times New Roman" w:hAnsi="Optima" w:cs="Calibri"/>
                <w:color w:val="000000"/>
                <w:sz w:val="19"/>
                <w:szCs w:val="19"/>
              </w:rPr>
            </w:pPr>
            <w:r w:rsidRPr="008B1CBA">
              <w:rPr>
                <w:rFonts w:ascii="Optima" w:eastAsia="Times New Roman" w:hAnsi="Optima" w:cs="Calibri"/>
                <w:color w:val="000000"/>
                <w:sz w:val="19"/>
                <w:szCs w:val="19"/>
              </w:rPr>
              <w:t>$25.89</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14:paraId="6C66C091" w14:textId="77777777" w:rsidR="00177D86" w:rsidRPr="008B1CBA" w:rsidRDefault="00177D86" w:rsidP="00C97E52">
            <w:pPr>
              <w:spacing w:before="20" w:after="20" w:line="240" w:lineRule="auto"/>
              <w:jc w:val="right"/>
              <w:rPr>
                <w:rFonts w:ascii="Optima" w:eastAsia="Times New Roman" w:hAnsi="Optima" w:cs="Calibri"/>
                <w:color w:val="000000"/>
                <w:sz w:val="19"/>
                <w:szCs w:val="19"/>
              </w:rPr>
            </w:pPr>
            <w:r w:rsidRPr="008B1CBA">
              <w:rPr>
                <w:rFonts w:ascii="Optima" w:eastAsia="Times New Roman" w:hAnsi="Optima" w:cs="Calibri"/>
                <w:color w:val="000000"/>
                <w:sz w:val="19"/>
                <w:szCs w:val="19"/>
              </w:rPr>
              <w:t>$755.99</w:t>
            </w:r>
          </w:p>
        </w:tc>
      </w:tr>
      <w:tr w:rsidR="00177D86" w:rsidRPr="00177D86" w14:paraId="06E9482A" w14:textId="77777777" w:rsidTr="008E216E">
        <w:trPr>
          <w:trHeight w:val="116"/>
          <w:tblHeader/>
        </w:trPr>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576774F7" w14:textId="77777777" w:rsidR="00177D86" w:rsidRPr="00177D86" w:rsidRDefault="00177D86" w:rsidP="00CA1889">
            <w:pPr>
              <w:spacing w:before="20" w:after="20" w:line="240" w:lineRule="auto"/>
              <w:jc w:val="center"/>
              <w:rPr>
                <w:rFonts w:ascii="Optima" w:eastAsia="Times New Roman" w:hAnsi="Optima" w:cs="Calibri"/>
                <w:b/>
                <w:bCs/>
                <w:color w:val="000000" w:themeColor="text1"/>
                <w:sz w:val="19"/>
                <w:szCs w:val="19"/>
              </w:rPr>
            </w:pPr>
            <w:r w:rsidRPr="00177D86">
              <w:rPr>
                <w:rFonts w:ascii="Optima" w:eastAsia="Times New Roman" w:hAnsi="Optima" w:cs="Calibri"/>
                <w:b/>
                <w:bCs/>
                <w:color w:val="000000" w:themeColor="text1"/>
                <w:sz w:val="19"/>
                <w:szCs w:val="19"/>
              </w:rPr>
              <w:t>Total</w:t>
            </w: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36FEFCB3" w14:textId="77777777" w:rsidR="00177D86" w:rsidRPr="00177D86" w:rsidRDefault="00177D86" w:rsidP="00C97E52">
            <w:pPr>
              <w:spacing w:before="20" w:after="20" w:line="240" w:lineRule="auto"/>
              <w:ind w:left="70" w:right="160"/>
              <w:jc w:val="right"/>
              <w:rPr>
                <w:rFonts w:ascii="Optima" w:eastAsia="Times New Roman" w:hAnsi="Optima" w:cs="Calibri"/>
                <w:b/>
                <w:bCs/>
                <w:color w:val="000000" w:themeColor="text1"/>
                <w:sz w:val="19"/>
                <w:szCs w:val="19"/>
              </w:rPr>
            </w:pP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6F31381D" w14:textId="77777777" w:rsidR="00177D86" w:rsidRPr="00177D86" w:rsidRDefault="00177D86" w:rsidP="00CA1889">
            <w:pPr>
              <w:spacing w:before="20" w:after="20" w:line="240" w:lineRule="auto"/>
              <w:jc w:val="center"/>
              <w:rPr>
                <w:rFonts w:ascii="Optima" w:eastAsia="Times New Roman" w:hAnsi="Optima" w:cs="Calibri"/>
                <w:b/>
                <w:bCs/>
                <w:color w:val="000000" w:themeColor="text1"/>
                <w:sz w:val="19"/>
                <w:szCs w:val="19"/>
              </w:rPr>
            </w:pPr>
          </w:p>
        </w:tc>
        <w:tc>
          <w:tcPr>
            <w:tcW w:w="81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4E42AF9D" w14:textId="77777777" w:rsidR="00177D86" w:rsidRPr="00177D86" w:rsidRDefault="00177D86" w:rsidP="00C97E52">
            <w:pPr>
              <w:spacing w:before="20" w:after="20" w:line="240" w:lineRule="auto"/>
              <w:jc w:val="right"/>
              <w:rPr>
                <w:rFonts w:ascii="Optima" w:eastAsia="Times New Roman" w:hAnsi="Optima" w:cs="Calibri"/>
                <w:b/>
                <w:bCs/>
                <w:color w:val="000000" w:themeColor="text1"/>
                <w:sz w:val="19"/>
                <w:szCs w:val="19"/>
              </w:rPr>
            </w:pPr>
            <w:r w:rsidRPr="00177D86">
              <w:rPr>
                <w:rFonts w:ascii="Optima" w:eastAsia="Times New Roman" w:hAnsi="Optima" w:cs="Calibri"/>
                <w:b/>
                <w:bCs/>
                <w:color w:val="000000" w:themeColor="text1"/>
                <w:sz w:val="19"/>
                <w:szCs w:val="19"/>
              </w:rPr>
              <w:t>245.6</w:t>
            </w:r>
          </w:p>
        </w:tc>
        <w:tc>
          <w:tcPr>
            <w:tcW w:w="117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6F57F645" w14:textId="77777777" w:rsidR="00177D86" w:rsidRPr="00177D86" w:rsidRDefault="00177D86" w:rsidP="00C97E52">
            <w:pPr>
              <w:spacing w:before="20" w:after="20" w:line="240" w:lineRule="auto"/>
              <w:jc w:val="right"/>
              <w:rPr>
                <w:rFonts w:ascii="Optima" w:eastAsia="Times New Roman" w:hAnsi="Optima" w:cs="Calibri"/>
                <w:b/>
                <w:bCs/>
                <w:color w:val="000000" w:themeColor="text1"/>
                <w:sz w:val="19"/>
                <w:szCs w:val="19"/>
              </w:rPr>
            </w:pPr>
          </w:p>
        </w:tc>
        <w:tc>
          <w:tcPr>
            <w:tcW w:w="162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1C8FA5E9" w14:textId="77777777" w:rsidR="00177D86" w:rsidRPr="00177D86" w:rsidRDefault="00177D86" w:rsidP="00C97E52">
            <w:pPr>
              <w:spacing w:before="20" w:after="20" w:line="240" w:lineRule="auto"/>
              <w:jc w:val="center"/>
              <w:rPr>
                <w:rFonts w:ascii="Optima" w:eastAsia="Times New Roman" w:hAnsi="Optima" w:cs="Calibri"/>
                <w:b/>
                <w:bCs/>
                <w:color w:val="000000" w:themeColor="text1"/>
                <w:sz w:val="19"/>
                <w:szCs w:val="19"/>
              </w:rPr>
            </w:pPr>
          </w:p>
        </w:tc>
        <w:tc>
          <w:tcPr>
            <w:tcW w:w="90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4DDCA466" w14:textId="77777777" w:rsidR="00177D86" w:rsidRPr="00177D86" w:rsidRDefault="00177D86" w:rsidP="00CA1889">
            <w:pPr>
              <w:spacing w:before="20" w:after="20" w:line="240" w:lineRule="auto"/>
              <w:jc w:val="center"/>
              <w:rPr>
                <w:rFonts w:ascii="Optima" w:eastAsia="Times New Roman" w:hAnsi="Optima" w:cs="Calibri"/>
                <w:b/>
                <w:bCs/>
                <w:color w:val="000000" w:themeColor="text1"/>
                <w:sz w:val="19"/>
                <w:szCs w:val="19"/>
              </w:rPr>
            </w:pPr>
          </w:p>
        </w:tc>
        <w:tc>
          <w:tcPr>
            <w:tcW w:w="144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tcPr>
          <w:p w14:paraId="249BC535" w14:textId="43813F2C" w:rsidR="00177D86" w:rsidRPr="00177D86" w:rsidRDefault="00177D86" w:rsidP="00C97E52">
            <w:pPr>
              <w:spacing w:before="20" w:after="20" w:line="240" w:lineRule="auto"/>
              <w:jc w:val="right"/>
              <w:rPr>
                <w:rFonts w:ascii="Optima" w:eastAsia="Times New Roman" w:hAnsi="Optima" w:cs="Calibri"/>
                <w:b/>
                <w:bCs/>
                <w:color w:val="000000" w:themeColor="text1"/>
                <w:sz w:val="19"/>
                <w:szCs w:val="19"/>
              </w:rPr>
            </w:pPr>
            <w:r w:rsidRPr="00177D86">
              <w:rPr>
                <w:rFonts w:ascii="Optima" w:eastAsia="Times New Roman" w:hAnsi="Optima" w:cs="Calibri"/>
                <w:b/>
                <w:bCs/>
                <w:color w:val="000000" w:themeColor="text1"/>
                <w:sz w:val="19"/>
                <w:szCs w:val="19"/>
              </w:rPr>
              <w:t>$7,368.75</w:t>
            </w:r>
            <w:r w:rsidRPr="00177D86">
              <w:rPr>
                <w:rFonts w:ascii="Optima" w:eastAsia="Times New Roman" w:hAnsi="Optima" w:cs="Calibri"/>
                <w:b/>
                <w:bCs/>
                <w:color w:val="000000" w:themeColor="text1"/>
                <w:sz w:val="19"/>
                <w:szCs w:val="19"/>
              </w:rPr>
              <w:br/>
              <w:t>Avg $30/week</w:t>
            </w:r>
          </w:p>
        </w:tc>
      </w:tr>
    </w:tbl>
    <w:p w14:paraId="5502637D" w14:textId="77777777" w:rsidR="001E6CD2" w:rsidRDefault="001E6CD2" w:rsidP="001E6CD2">
      <w:pPr>
        <w:pStyle w:val="NoSpacing"/>
      </w:pPr>
    </w:p>
    <w:p w14:paraId="57AFA486" w14:textId="206DF172" w:rsidR="00610A35" w:rsidRDefault="008E681D" w:rsidP="00305196">
      <w:pPr>
        <w:ind w:left="360"/>
      </w:pPr>
      <w:r>
        <w:t>T</w:t>
      </w:r>
      <w:r w:rsidR="00DF717D" w:rsidRPr="00DF717D">
        <w:t xml:space="preserve">hey added an amount for mileage </w:t>
      </w:r>
      <w:r>
        <w:t>t</w:t>
      </w:r>
      <w:r w:rsidRPr="00DF717D">
        <w:t>o th</w:t>
      </w:r>
      <w:r w:rsidR="00605FF4">
        <w:t>e</w:t>
      </w:r>
      <w:r w:rsidRPr="00DF717D">
        <w:t xml:space="preserve"> weighted hourly rate </w:t>
      </w:r>
      <w:r w:rsidR="00DF717D" w:rsidRPr="00DF717D">
        <w:t>and arrived at a total hourly cost of $32/job coach hour</w:t>
      </w:r>
      <w:r w:rsidR="006677B7">
        <w:t xml:space="preserve">. </w:t>
      </w:r>
      <w:r w:rsidR="00DF717D" w:rsidRPr="00DF717D">
        <w:t>To incentivize best practices</w:t>
      </w:r>
      <w:r>
        <w:t>,</w:t>
      </w:r>
      <w:r w:rsidR="00DF717D" w:rsidRPr="00DF717D">
        <w:t xml:space="preserve"> including fading and assisting people to maximize their employment, HBH converted the fee-for-service hourly rate into a payment-per-hour-worked by the supported employee, adjusting fading expectations based on both acuity and length of time the supported employee has held the job</w:t>
      </w:r>
      <w:r w:rsidR="006677B7">
        <w:t xml:space="preserve">. </w:t>
      </w:r>
      <w:r w:rsidR="00DF717D" w:rsidRPr="00DF717D">
        <w:t>The</w:t>
      </w:r>
      <w:r w:rsidR="005363DA">
        <w:t>y</w:t>
      </w:r>
      <w:r w:rsidR="00DF717D" w:rsidRPr="00DF717D">
        <w:t xml:space="preserve"> maintained the previous hourly job coaching rate ($22/hour) as the exception rate for supported employees with exceptional circumstances not permitting fading otherwise typical for individuals with similar acuity and similar time on the job.</w:t>
      </w:r>
    </w:p>
    <w:p w14:paraId="34D46600" w14:textId="5EC9D89B" w:rsidR="00D124BA" w:rsidRDefault="00D124BA">
      <w:pPr>
        <w:spacing w:before="0" w:after="0" w:line="240" w:lineRule="auto"/>
      </w:pPr>
    </w:p>
    <w:tbl>
      <w:tblPr>
        <w:tblW w:w="8724" w:type="dxa"/>
        <w:jc w:val="center"/>
        <w:tblLook w:val="0420" w:firstRow="1" w:lastRow="0" w:firstColumn="0" w:lastColumn="0" w:noHBand="0" w:noVBand="1"/>
        <w:tblCaption w:val="Acuity Tier 1"/>
        <w:tblDescription w:val="Acuity Tier in percentages."/>
      </w:tblPr>
      <w:tblGrid>
        <w:gridCol w:w="1350"/>
        <w:gridCol w:w="2562"/>
        <w:gridCol w:w="2472"/>
        <w:gridCol w:w="2340"/>
      </w:tblGrid>
      <w:tr w:rsidR="00A877D7" w:rsidRPr="00597EC9" w14:paraId="2ACC7A05" w14:textId="77777777" w:rsidTr="00311DE1">
        <w:trPr>
          <w:trHeight w:val="374"/>
          <w:tblHeader/>
          <w:jc w:val="center"/>
        </w:trPr>
        <w:tc>
          <w:tcPr>
            <w:tcW w:w="1350" w:type="dxa"/>
            <w:tcBorders>
              <w:top w:val="nil"/>
              <w:left w:val="nil"/>
              <w:bottom w:val="single" w:sz="4" w:space="0" w:color="BFBFBF" w:themeColor="background1" w:themeShade="BF"/>
            </w:tcBorders>
            <w:shd w:val="clear" w:color="auto" w:fill="215868" w:themeFill="accent5" w:themeFillShade="80"/>
            <w:vAlign w:val="center"/>
            <w:hideMark/>
          </w:tcPr>
          <w:p w14:paraId="08479B06" w14:textId="77777777" w:rsidR="00597EC9" w:rsidRPr="00597EC9" w:rsidRDefault="00597EC9" w:rsidP="00197BF7">
            <w:pPr>
              <w:spacing w:before="40" w:after="40" w:line="240" w:lineRule="auto"/>
              <w:jc w:val="center"/>
              <w:rPr>
                <w:rFonts w:ascii="Optima" w:eastAsia="Times New Roman" w:hAnsi="Optima" w:cs="Calibri"/>
                <w:b/>
                <w:bCs/>
                <w:color w:val="FFFFFF"/>
                <w:sz w:val="19"/>
                <w:szCs w:val="19"/>
              </w:rPr>
            </w:pPr>
            <w:r w:rsidRPr="00597EC9">
              <w:rPr>
                <w:rFonts w:ascii="Optima" w:eastAsia="Times New Roman" w:hAnsi="Optima" w:cs="Calibri"/>
                <w:b/>
                <w:bCs/>
                <w:color w:val="FFFFFF"/>
                <w:sz w:val="19"/>
                <w:szCs w:val="19"/>
              </w:rPr>
              <w:t>Acuity Tier</w:t>
            </w:r>
          </w:p>
        </w:tc>
        <w:tc>
          <w:tcPr>
            <w:tcW w:w="2562" w:type="dxa"/>
            <w:tcBorders>
              <w:top w:val="nil"/>
              <w:bottom w:val="single" w:sz="4" w:space="0" w:color="BFBFBF" w:themeColor="background1" w:themeShade="BF"/>
            </w:tcBorders>
            <w:shd w:val="clear" w:color="auto" w:fill="215868" w:themeFill="accent5" w:themeFillShade="80"/>
            <w:vAlign w:val="center"/>
            <w:hideMark/>
          </w:tcPr>
          <w:p w14:paraId="3E12EFB3" w14:textId="77777777" w:rsidR="00597EC9" w:rsidRPr="00597EC9" w:rsidRDefault="00597EC9" w:rsidP="00C97E52">
            <w:pPr>
              <w:spacing w:before="40" w:after="40" w:line="240" w:lineRule="auto"/>
              <w:jc w:val="center"/>
              <w:rPr>
                <w:rFonts w:ascii="Optima" w:eastAsia="Times New Roman" w:hAnsi="Optima" w:cs="Calibri"/>
                <w:b/>
                <w:bCs/>
                <w:color w:val="FFFFFF"/>
                <w:sz w:val="19"/>
                <w:szCs w:val="19"/>
              </w:rPr>
            </w:pPr>
            <w:r w:rsidRPr="00597EC9">
              <w:rPr>
                <w:rFonts w:ascii="Optima" w:eastAsia="Times New Roman" w:hAnsi="Optima" w:cs="Calibri"/>
                <w:b/>
                <w:bCs/>
                <w:color w:val="FFFFFF"/>
                <w:sz w:val="19"/>
                <w:szCs w:val="19"/>
              </w:rPr>
              <w:t>0-11 Months on Job</w:t>
            </w:r>
          </w:p>
        </w:tc>
        <w:tc>
          <w:tcPr>
            <w:tcW w:w="2472" w:type="dxa"/>
            <w:tcBorders>
              <w:top w:val="nil"/>
              <w:bottom w:val="single" w:sz="4" w:space="0" w:color="BFBFBF" w:themeColor="background1" w:themeShade="BF"/>
            </w:tcBorders>
            <w:shd w:val="clear" w:color="auto" w:fill="215868" w:themeFill="accent5" w:themeFillShade="80"/>
            <w:vAlign w:val="center"/>
            <w:hideMark/>
          </w:tcPr>
          <w:p w14:paraId="77827A8B" w14:textId="77777777" w:rsidR="00597EC9" w:rsidRPr="00597EC9" w:rsidRDefault="00597EC9" w:rsidP="00197BF7">
            <w:pPr>
              <w:spacing w:before="40" w:after="40" w:line="240" w:lineRule="auto"/>
              <w:jc w:val="center"/>
              <w:rPr>
                <w:rFonts w:ascii="Optima" w:eastAsia="Times New Roman" w:hAnsi="Optima" w:cs="Calibri"/>
                <w:b/>
                <w:bCs/>
                <w:color w:val="FFFFFF"/>
                <w:sz w:val="19"/>
                <w:szCs w:val="19"/>
              </w:rPr>
            </w:pPr>
            <w:r w:rsidRPr="00597EC9">
              <w:rPr>
                <w:rFonts w:ascii="Optima" w:eastAsia="Times New Roman" w:hAnsi="Optima" w:cs="Calibri"/>
                <w:b/>
                <w:bCs/>
                <w:color w:val="FFFFFF"/>
                <w:sz w:val="19"/>
                <w:szCs w:val="19"/>
              </w:rPr>
              <w:t>12-24 Months on Job</w:t>
            </w:r>
          </w:p>
        </w:tc>
        <w:tc>
          <w:tcPr>
            <w:tcW w:w="2340" w:type="dxa"/>
            <w:tcBorders>
              <w:top w:val="nil"/>
              <w:bottom w:val="single" w:sz="4" w:space="0" w:color="BFBFBF" w:themeColor="background1" w:themeShade="BF"/>
            </w:tcBorders>
            <w:shd w:val="clear" w:color="auto" w:fill="215868" w:themeFill="accent5" w:themeFillShade="80"/>
            <w:vAlign w:val="center"/>
            <w:hideMark/>
          </w:tcPr>
          <w:p w14:paraId="63A42280" w14:textId="77777777" w:rsidR="00597EC9" w:rsidRPr="00597EC9" w:rsidRDefault="00597EC9" w:rsidP="00197BF7">
            <w:pPr>
              <w:spacing w:before="40" w:after="40" w:line="240" w:lineRule="auto"/>
              <w:jc w:val="center"/>
              <w:rPr>
                <w:rFonts w:ascii="Optima" w:eastAsia="Times New Roman" w:hAnsi="Optima" w:cs="Calibri"/>
                <w:b/>
                <w:bCs/>
                <w:color w:val="FFFFFF"/>
                <w:sz w:val="19"/>
                <w:szCs w:val="19"/>
              </w:rPr>
            </w:pPr>
            <w:r w:rsidRPr="00597EC9">
              <w:rPr>
                <w:rFonts w:ascii="Optima" w:eastAsia="Times New Roman" w:hAnsi="Optima" w:cs="Calibri"/>
                <w:b/>
                <w:bCs/>
                <w:color w:val="FFFFFF"/>
                <w:sz w:val="19"/>
                <w:szCs w:val="19"/>
              </w:rPr>
              <w:t>25+ Months on Job</w:t>
            </w:r>
          </w:p>
        </w:tc>
      </w:tr>
      <w:tr w:rsidR="00597EC9" w:rsidRPr="00597EC9" w14:paraId="62E08824" w14:textId="77777777" w:rsidTr="00311DE1">
        <w:trPr>
          <w:trHeight w:val="374"/>
          <w:tblHeader/>
          <w:jc w:val="center"/>
        </w:trPr>
        <w:tc>
          <w:tcPr>
            <w:tcW w:w="1350"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0171CC6A" w14:textId="77777777" w:rsidR="00597EC9" w:rsidRPr="00597EC9" w:rsidRDefault="00597EC9" w:rsidP="00C97E52">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High</w:t>
            </w:r>
          </w:p>
        </w:tc>
        <w:tc>
          <w:tcPr>
            <w:tcW w:w="2562"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05BBB3A3"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85%</w:t>
            </w:r>
          </w:p>
        </w:tc>
        <w:tc>
          <w:tcPr>
            <w:tcW w:w="2472"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0CE71F61"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75%</w:t>
            </w:r>
          </w:p>
        </w:tc>
        <w:tc>
          <w:tcPr>
            <w:tcW w:w="2340"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19AB7CD4" w14:textId="77777777" w:rsidR="00597EC9" w:rsidRPr="00597EC9" w:rsidRDefault="00597EC9" w:rsidP="00C97E52">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65%</w:t>
            </w:r>
          </w:p>
        </w:tc>
      </w:tr>
      <w:tr w:rsidR="00597EC9" w:rsidRPr="00597EC9" w14:paraId="7E737764" w14:textId="77777777" w:rsidTr="00311DE1">
        <w:trPr>
          <w:trHeight w:val="374"/>
          <w:tblHeader/>
          <w:jc w:val="center"/>
        </w:trPr>
        <w:tc>
          <w:tcPr>
            <w:tcW w:w="135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5AD3C924" w14:textId="77777777" w:rsidR="00597EC9" w:rsidRPr="00597EC9" w:rsidRDefault="00597EC9" w:rsidP="00C97E52">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Medium</w:t>
            </w:r>
          </w:p>
        </w:tc>
        <w:tc>
          <w:tcPr>
            <w:tcW w:w="2562"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09D843FF"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65%</w:t>
            </w:r>
          </w:p>
        </w:tc>
        <w:tc>
          <w:tcPr>
            <w:tcW w:w="2472"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48B53FEA" w14:textId="77777777" w:rsidR="00597EC9" w:rsidRPr="00597EC9" w:rsidRDefault="00597EC9" w:rsidP="00C97E52">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55%</w:t>
            </w:r>
          </w:p>
        </w:tc>
        <w:tc>
          <w:tcPr>
            <w:tcW w:w="234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6C61C946"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45%</w:t>
            </w:r>
          </w:p>
        </w:tc>
      </w:tr>
      <w:tr w:rsidR="00597EC9" w:rsidRPr="00597EC9" w14:paraId="4C58D096" w14:textId="77777777" w:rsidTr="00311DE1">
        <w:trPr>
          <w:trHeight w:val="374"/>
          <w:tblHeader/>
          <w:jc w:val="center"/>
        </w:trPr>
        <w:tc>
          <w:tcPr>
            <w:tcW w:w="135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EB82600"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Low</w:t>
            </w:r>
          </w:p>
        </w:tc>
        <w:tc>
          <w:tcPr>
            <w:tcW w:w="256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9968C6A"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45%</w:t>
            </w:r>
          </w:p>
        </w:tc>
        <w:tc>
          <w:tcPr>
            <w:tcW w:w="247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F95A41C"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35%</w:t>
            </w:r>
          </w:p>
        </w:tc>
        <w:tc>
          <w:tcPr>
            <w:tcW w:w="234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AC5ABB3"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25%</w:t>
            </w:r>
          </w:p>
        </w:tc>
      </w:tr>
      <w:tr w:rsidR="00A877D7" w:rsidRPr="00597EC9" w14:paraId="015630CA" w14:textId="77777777" w:rsidTr="00311DE1">
        <w:trPr>
          <w:trHeight w:val="374"/>
          <w:tblHeader/>
          <w:jc w:val="center"/>
        </w:trPr>
        <w:tc>
          <w:tcPr>
            <w:tcW w:w="135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0646ED2D"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Exception</w:t>
            </w:r>
          </w:p>
        </w:tc>
        <w:tc>
          <w:tcPr>
            <w:tcW w:w="2562"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6A05934A"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$5.50/15 min F2F</w:t>
            </w:r>
          </w:p>
        </w:tc>
        <w:tc>
          <w:tcPr>
            <w:tcW w:w="2472"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72F063B5"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$5.50/15 min F2F</w:t>
            </w:r>
          </w:p>
        </w:tc>
        <w:tc>
          <w:tcPr>
            <w:tcW w:w="234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0B2E1131" w14:textId="77777777" w:rsidR="00597EC9" w:rsidRPr="00597EC9" w:rsidRDefault="00597EC9" w:rsidP="00197BF7">
            <w:pPr>
              <w:spacing w:before="40" w:after="40" w:line="240" w:lineRule="auto"/>
              <w:jc w:val="center"/>
              <w:rPr>
                <w:rFonts w:ascii="Optima" w:eastAsia="Times New Roman" w:hAnsi="Optima" w:cs="Calibri"/>
                <w:color w:val="000000"/>
                <w:sz w:val="19"/>
                <w:szCs w:val="19"/>
              </w:rPr>
            </w:pPr>
            <w:r w:rsidRPr="00597EC9">
              <w:rPr>
                <w:rFonts w:ascii="Optima" w:eastAsia="Times New Roman" w:hAnsi="Optima" w:cs="Calibri"/>
                <w:color w:val="000000"/>
                <w:sz w:val="19"/>
                <w:szCs w:val="19"/>
              </w:rPr>
              <w:t>$5.50/15 min F2F</w:t>
            </w:r>
          </w:p>
        </w:tc>
      </w:tr>
    </w:tbl>
    <w:p w14:paraId="629A5A65" w14:textId="63023A2F" w:rsidR="00C5404C" w:rsidRDefault="00C5404C" w:rsidP="00610A35">
      <w:pPr>
        <w:pStyle w:val="NoSpacing"/>
      </w:pPr>
    </w:p>
    <w:p w14:paraId="677EFA95" w14:textId="77777777" w:rsidR="00B51B3B" w:rsidRDefault="00B51B3B" w:rsidP="00610A35">
      <w:pPr>
        <w:pStyle w:val="NoSpacing"/>
      </w:pPr>
    </w:p>
    <w:tbl>
      <w:tblPr>
        <w:tblW w:w="8730" w:type="dxa"/>
        <w:jc w:val="center"/>
        <w:tblLook w:val="0420" w:firstRow="1" w:lastRow="0" w:firstColumn="0" w:lastColumn="0" w:noHBand="0" w:noVBand="1"/>
        <w:tblCaption w:val="Acuity Tier 2"/>
        <w:tblDescription w:val="Acuity tier displayed in dollar amount."/>
      </w:tblPr>
      <w:tblGrid>
        <w:gridCol w:w="1374"/>
        <w:gridCol w:w="2586"/>
        <w:gridCol w:w="2430"/>
        <w:gridCol w:w="2340"/>
      </w:tblGrid>
      <w:tr w:rsidR="00E46435" w:rsidRPr="00C5404C" w14:paraId="105C16C3" w14:textId="77777777" w:rsidTr="00311DE1">
        <w:trPr>
          <w:trHeight w:val="374"/>
          <w:tblHeader/>
          <w:jc w:val="center"/>
        </w:trPr>
        <w:tc>
          <w:tcPr>
            <w:tcW w:w="1374" w:type="dxa"/>
            <w:tcBorders>
              <w:bottom w:val="single" w:sz="4" w:space="0" w:color="BFBFBF" w:themeColor="background1" w:themeShade="BF"/>
            </w:tcBorders>
            <w:shd w:val="clear" w:color="auto" w:fill="215868" w:themeFill="accent5" w:themeFillShade="80"/>
            <w:vAlign w:val="center"/>
            <w:hideMark/>
          </w:tcPr>
          <w:p w14:paraId="568ACA8E" w14:textId="77777777" w:rsidR="00C5404C" w:rsidRPr="00C5404C" w:rsidRDefault="00C5404C" w:rsidP="00C97E52">
            <w:pPr>
              <w:spacing w:before="40" w:after="40" w:line="240" w:lineRule="auto"/>
              <w:jc w:val="center"/>
              <w:rPr>
                <w:rFonts w:ascii="Optima" w:eastAsia="Times New Roman" w:hAnsi="Optima" w:cs="Calibri"/>
                <w:b/>
                <w:bCs/>
                <w:color w:val="FFFFFF"/>
                <w:sz w:val="19"/>
                <w:szCs w:val="19"/>
              </w:rPr>
            </w:pPr>
            <w:r w:rsidRPr="00C5404C">
              <w:rPr>
                <w:rFonts w:ascii="Optima" w:eastAsia="Times New Roman" w:hAnsi="Optima" w:cs="Calibri"/>
                <w:b/>
                <w:bCs/>
                <w:color w:val="FFFFFF"/>
                <w:sz w:val="19"/>
                <w:szCs w:val="19"/>
              </w:rPr>
              <w:t>Acuity Tier</w:t>
            </w:r>
          </w:p>
        </w:tc>
        <w:tc>
          <w:tcPr>
            <w:tcW w:w="2586" w:type="dxa"/>
            <w:tcBorders>
              <w:bottom w:val="single" w:sz="4" w:space="0" w:color="BFBFBF" w:themeColor="background1" w:themeShade="BF"/>
            </w:tcBorders>
            <w:shd w:val="clear" w:color="auto" w:fill="215868" w:themeFill="accent5" w:themeFillShade="80"/>
            <w:vAlign w:val="center"/>
            <w:hideMark/>
          </w:tcPr>
          <w:p w14:paraId="2589842D" w14:textId="77777777" w:rsidR="00C5404C" w:rsidRPr="00C5404C" w:rsidRDefault="00C5404C" w:rsidP="00C97E52">
            <w:pPr>
              <w:spacing w:before="40" w:after="40" w:line="240" w:lineRule="auto"/>
              <w:jc w:val="center"/>
              <w:rPr>
                <w:rFonts w:ascii="Optima" w:eastAsia="Times New Roman" w:hAnsi="Optima" w:cs="Calibri"/>
                <w:b/>
                <w:bCs/>
                <w:color w:val="FFFFFF"/>
                <w:sz w:val="19"/>
                <w:szCs w:val="19"/>
              </w:rPr>
            </w:pPr>
            <w:r w:rsidRPr="00C5404C">
              <w:rPr>
                <w:rFonts w:ascii="Optima" w:eastAsia="Times New Roman" w:hAnsi="Optima" w:cs="Calibri"/>
                <w:b/>
                <w:bCs/>
                <w:color w:val="FFFFFF"/>
                <w:sz w:val="19"/>
                <w:szCs w:val="19"/>
              </w:rPr>
              <w:t>0-11 Months on Job</w:t>
            </w:r>
          </w:p>
        </w:tc>
        <w:tc>
          <w:tcPr>
            <w:tcW w:w="2430" w:type="dxa"/>
            <w:tcBorders>
              <w:bottom w:val="single" w:sz="4" w:space="0" w:color="BFBFBF" w:themeColor="background1" w:themeShade="BF"/>
            </w:tcBorders>
            <w:shd w:val="clear" w:color="auto" w:fill="215868" w:themeFill="accent5" w:themeFillShade="80"/>
            <w:vAlign w:val="center"/>
            <w:hideMark/>
          </w:tcPr>
          <w:p w14:paraId="27A07CFA" w14:textId="77777777" w:rsidR="00C5404C" w:rsidRPr="00C5404C" w:rsidRDefault="00C5404C" w:rsidP="00C97E52">
            <w:pPr>
              <w:spacing w:before="40" w:after="40" w:line="240" w:lineRule="auto"/>
              <w:jc w:val="center"/>
              <w:rPr>
                <w:rFonts w:ascii="Optima" w:eastAsia="Times New Roman" w:hAnsi="Optima" w:cs="Calibri"/>
                <w:b/>
                <w:bCs/>
                <w:color w:val="FFFFFF"/>
                <w:sz w:val="19"/>
                <w:szCs w:val="19"/>
              </w:rPr>
            </w:pPr>
            <w:r w:rsidRPr="00C5404C">
              <w:rPr>
                <w:rFonts w:ascii="Optima" w:eastAsia="Times New Roman" w:hAnsi="Optima" w:cs="Calibri"/>
                <w:b/>
                <w:bCs/>
                <w:color w:val="FFFFFF"/>
                <w:sz w:val="19"/>
                <w:szCs w:val="19"/>
              </w:rPr>
              <w:t>12-24 Months on Job</w:t>
            </w:r>
          </w:p>
        </w:tc>
        <w:tc>
          <w:tcPr>
            <w:tcW w:w="2340" w:type="dxa"/>
            <w:tcBorders>
              <w:bottom w:val="single" w:sz="4" w:space="0" w:color="BFBFBF" w:themeColor="background1" w:themeShade="BF"/>
            </w:tcBorders>
            <w:shd w:val="clear" w:color="auto" w:fill="215868" w:themeFill="accent5" w:themeFillShade="80"/>
            <w:vAlign w:val="center"/>
            <w:hideMark/>
          </w:tcPr>
          <w:p w14:paraId="52E7595D" w14:textId="77777777" w:rsidR="00C5404C" w:rsidRPr="00C5404C" w:rsidRDefault="00C5404C" w:rsidP="00C97E52">
            <w:pPr>
              <w:spacing w:before="40" w:after="40" w:line="240" w:lineRule="auto"/>
              <w:jc w:val="center"/>
              <w:rPr>
                <w:rFonts w:ascii="Optima" w:eastAsia="Times New Roman" w:hAnsi="Optima" w:cs="Calibri"/>
                <w:b/>
                <w:bCs/>
                <w:color w:val="FFFFFF"/>
                <w:sz w:val="19"/>
                <w:szCs w:val="19"/>
              </w:rPr>
            </w:pPr>
            <w:r w:rsidRPr="00C5404C">
              <w:rPr>
                <w:rFonts w:ascii="Optima" w:eastAsia="Times New Roman" w:hAnsi="Optima" w:cs="Calibri"/>
                <w:b/>
                <w:bCs/>
                <w:color w:val="FFFFFF"/>
                <w:sz w:val="19"/>
                <w:szCs w:val="19"/>
              </w:rPr>
              <w:t>25+ Months on Job</w:t>
            </w:r>
          </w:p>
        </w:tc>
      </w:tr>
      <w:tr w:rsidR="00E46435" w:rsidRPr="00C5404C" w14:paraId="67F33DD2" w14:textId="77777777" w:rsidTr="00311DE1">
        <w:trPr>
          <w:trHeight w:val="374"/>
          <w:tblHeader/>
          <w:jc w:val="center"/>
        </w:trPr>
        <w:tc>
          <w:tcPr>
            <w:tcW w:w="1374" w:type="dxa"/>
            <w:tcBorders>
              <w:top w:val="single" w:sz="4" w:space="0" w:color="BFBFBF" w:themeColor="background1" w:themeShade="BF"/>
              <w:bottom w:val="single" w:sz="4" w:space="0" w:color="D9D9D9" w:themeColor="background1" w:themeShade="D9"/>
            </w:tcBorders>
            <w:shd w:val="clear" w:color="auto" w:fill="DAEEF3" w:themeFill="accent5" w:themeFillTint="33"/>
            <w:noWrap/>
            <w:vAlign w:val="center"/>
            <w:hideMark/>
          </w:tcPr>
          <w:p w14:paraId="37E1DF60"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High</w:t>
            </w:r>
          </w:p>
        </w:tc>
        <w:tc>
          <w:tcPr>
            <w:tcW w:w="2586" w:type="dxa"/>
            <w:tcBorders>
              <w:top w:val="single" w:sz="4" w:space="0" w:color="BFBFBF" w:themeColor="background1" w:themeShade="BF"/>
              <w:bottom w:val="single" w:sz="4" w:space="0" w:color="D9D9D9" w:themeColor="background1" w:themeShade="D9"/>
            </w:tcBorders>
            <w:shd w:val="clear" w:color="auto" w:fill="DAEEF3" w:themeFill="accent5" w:themeFillTint="33"/>
            <w:noWrap/>
            <w:vAlign w:val="center"/>
            <w:hideMark/>
          </w:tcPr>
          <w:p w14:paraId="6F4349FA"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$27.20</w:t>
            </w:r>
          </w:p>
        </w:tc>
        <w:tc>
          <w:tcPr>
            <w:tcW w:w="2430" w:type="dxa"/>
            <w:tcBorders>
              <w:top w:val="single" w:sz="4" w:space="0" w:color="BFBFBF" w:themeColor="background1" w:themeShade="BF"/>
              <w:bottom w:val="single" w:sz="4" w:space="0" w:color="D9D9D9" w:themeColor="background1" w:themeShade="D9"/>
            </w:tcBorders>
            <w:shd w:val="clear" w:color="auto" w:fill="DAEEF3" w:themeFill="accent5" w:themeFillTint="33"/>
            <w:noWrap/>
            <w:vAlign w:val="center"/>
            <w:hideMark/>
          </w:tcPr>
          <w:p w14:paraId="0379EF70"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$24.00</w:t>
            </w:r>
          </w:p>
        </w:tc>
        <w:tc>
          <w:tcPr>
            <w:tcW w:w="2340" w:type="dxa"/>
            <w:tcBorders>
              <w:top w:val="single" w:sz="4" w:space="0" w:color="BFBFBF" w:themeColor="background1" w:themeShade="BF"/>
              <w:bottom w:val="single" w:sz="4" w:space="0" w:color="D9D9D9" w:themeColor="background1" w:themeShade="D9"/>
            </w:tcBorders>
            <w:shd w:val="clear" w:color="auto" w:fill="DAEEF3" w:themeFill="accent5" w:themeFillTint="33"/>
            <w:noWrap/>
            <w:vAlign w:val="center"/>
            <w:hideMark/>
          </w:tcPr>
          <w:p w14:paraId="77E359A6" w14:textId="77777777" w:rsidR="00C5404C" w:rsidRPr="00C5404C" w:rsidRDefault="00C5404C" w:rsidP="00C97E52">
            <w:pPr>
              <w:spacing w:before="40" w:after="40" w:line="240" w:lineRule="auto"/>
              <w:ind w:firstLineChars="400" w:firstLine="760"/>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$20.80</w:t>
            </w:r>
          </w:p>
        </w:tc>
      </w:tr>
      <w:tr w:rsidR="00E46435" w:rsidRPr="00C5404C" w14:paraId="63517B7D" w14:textId="77777777" w:rsidTr="00311DE1">
        <w:trPr>
          <w:trHeight w:val="374"/>
          <w:tblHeader/>
          <w:jc w:val="center"/>
        </w:trPr>
        <w:tc>
          <w:tcPr>
            <w:tcW w:w="1374"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79979FB1"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Medium</w:t>
            </w:r>
          </w:p>
        </w:tc>
        <w:tc>
          <w:tcPr>
            <w:tcW w:w="2586"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48D6338D"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$20.80</w:t>
            </w:r>
          </w:p>
        </w:tc>
        <w:tc>
          <w:tcPr>
            <w:tcW w:w="2430"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5C847193"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$17.60</w:t>
            </w:r>
          </w:p>
        </w:tc>
        <w:tc>
          <w:tcPr>
            <w:tcW w:w="2340"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60060DEF" w14:textId="77777777" w:rsidR="00C5404C" w:rsidRPr="00C5404C" w:rsidRDefault="00C5404C" w:rsidP="00C97E52">
            <w:pPr>
              <w:spacing w:before="40" w:after="40" w:line="240" w:lineRule="auto"/>
              <w:ind w:firstLineChars="400" w:firstLine="760"/>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$14.40</w:t>
            </w:r>
          </w:p>
        </w:tc>
      </w:tr>
      <w:tr w:rsidR="00E46435" w:rsidRPr="00C5404C" w14:paraId="6B792DA2" w14:textId="77777777" w:rsidTr="00311DE1">
        <w:trPr>
          <w:trHeight w:val="374"/>
          <w:tblHeader/>
          <w:jc w:val="center"/>
        </w:trPr>
        <w:tc>
          <w:tcPr>
            <w:tcW w:w="1374"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47FB594E"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Low</w:t>
            </w:r>
          </w:p>
        </w:tc>
        <w:tc>
          <w:tcPr>
            <w:tcW w:w="2586"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109DD896"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$14.40</w:t>
            </w:r>
          </w:p>
        </w:tc>
        <w:tc>
          <w:tcPr>
            <w:tcW w:w="243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128A9E67"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$11.20</w:t>
            </w:r>
          </w:p>
        </w:tc>
        <w:tc>
          <w:tcPr>
            <w:tcW w:w="234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6AEB99D3" w14:textId="77777777" w:rsidR="00C5404C" w:rsidRPr="00C5404C" w:rsidRDefault="00C5404C" w:rsidP="00C97E52">
            <w:pPr>
              <w:spacing w:before="40" w:after="40" w:line="240" w:lineRule="auto"/>
              <w:ind w:firstLineChars="400" w:firstLine="760"/>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$8.00</w:t>
            </w:r>
          </w:p>
        </w:tc>
      </w:tr>
      <w:tr w:rsidR="00E46435" w:rsidRPr="00C5404C" w14:paraId="42A469B8" w14:textId="77777777" w:rsidTr="00311DE1">
        <w:trPr>
          <w:trHeight w:val="374"/>
          <w:tblHeader/>
          <w:jc w:val="center"/>
        </w:trPr>
        <w:tc>
          <w:tcPr>
            <w:tcW w:w="1374"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22D894F7"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Exception</w:t>
            </w:r>
          </w:p>
        </w:tc>
        <w:tc>
          <w:tcPr>
            <w:tcW w:w="2586"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69D79DF9"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$5.50/15 min F2F</w:t>
            </w:r>
          </w:p>
        </w:tc>
        <w:tc>
          <w:tcPr>
            <w:tcW w:w="2430"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0FD435EC"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$5.50/15 min F2F</w:t>
            </w:r>
          </w:p>
        </w:tc>
        <w:tc>
          <w:tcPr>
            <w:tcW w:w="2340" w:type="dxa"/>
            <w:tcBorders>
              <w:top w:val="single" w:sz="4" w:space="0" w:color="D9D9D9" w:themeColor="background1" w:themeShade="D9"/>
              <w:bottom w:val="single" w:sz="4" w:space="0" w:color="D9D9D9" w:themeColor="background1" w:themeShade="D9"/>
            </w:tcBorders>
            <w:shd w:val="clear" w:color="auto" w:fill="auto"/>
            <w:noWrap/>
            <w:vAlign w:val="center"/>
            <w:hideMark/>
          </w:tcPr>
          <w:p w14:paraId="5B2557C1" w14:textId="77777777" w:rsidR="00C5404C" w:rsidRPr="00C5404C" w:rsidRDefault="00C5404C" w:rsidP="00C97E52">
            <w:pPr>
              <w:spacing w:before="40" w:after="40" w:line="240" w:lineRule="auto"/>
              <w:jc w:val="center"/>
              <w:rPr>
                <w:rFonts w:ascii="Optima" w:eastAsia="Times New Roman" w:hAnsi="Optima" w:cs="Calibri"/>
                <w:color w:val="000000"/>
                <w:sz w:val="19"/>
                <w:szCs w:val="19"/>
              </w:rPr>
            </w:pPr>
            <w:r w:rsidRPr="00C5404C">
              <w:rPr>
                <w:rFonts w:ascii="Optima" w:eastAsia="Times New Roman" w:hAnsi="Optima" w:cs="Calibri"/>
                <w:color w:val="000000"/>
                <w:sz w:val="19"/>
                <w:szCs w:val="19"/>
              </w:rPr>
              <w:t>$5.50/15 min F2F</w:t>
            </w:r>
          </w:p>
        </w:tc>
      </w:tr>
    </w:tbl>
    <w:p w14:paraId="3878932F" w14:textId="77777777" w:rsidR="00DF717D" w:rsidRPr="00DF717D" w:rsidRDefault="00DF717D" w:rsidP="002476FD">
      <w:pPr>
        <w:pStyle w:val="NoSpacing"/>
      </w:pPr>
    </w:p>
    <w:p w14:paraId="04B335AA" w14:textId="77777777" w:rsidR="00766E1C" w:rsidRDefault="00A403E5" w:rsidP="00330779">
      <w:pPr>
        <w:spacing w:after="240"/>
        <w:ind w:left="360"/>
      </w:pPr>
      <w:r>
        <w:t>T</w:t>
      </w:r>
      <w:r w:rsidR="00DF717D" w:rsidRPr="00DF717D">
        <w:t xml:space="preserve">hrough </w:t>
      </w:r>
      <w:r>
        <w:t xml:space="preserve">the </w:t>
      </w:r>
      <w:r w:rsidR="00DF717D" w:rsidRPr="00DF717D">
        <w:t>collection of data on every job developer the provider employed, HBH was able to accurately identify a weighted average cost per hour of job development service for all costs other than job developer mileage</w:t>
      </w:r>
      <w:r>
        <w:t xml:space="preserve"> f</w:t>
      </w:r>
      <w:r w:rsidRPr="00DF717D">
        <w:t>or Supported Employment individual job development</w:t>
      </w:r>
      <w:r>
        <w:t>.</w:t>
      </w:r>
    </w:p>
    <w:tbl>
      <w:tblPr>
        <w:tblW w:w="8730" w:type="dxa"/>
        <w:tblInd w:w="360" w:type="dxa"/>
        <w:tblLayout w:type="fixed"/>
        <w:tblLook w:val="0460" w:firstRow="1" w:lastRow="1" w:firstColumn="0" w:lastColumn="0" w:noHBand="0" w:noVBand="1"/>
      </w:tblPr>
      <w:tblGrid>
        <w:gridCol w:w="1170"/>
        <w:gridCol w:w="1350"/>
        <w:gridCol w:w="810"/>
        <w:gridCol w:w="810"/>
        <w:gridCol w:w="1170"/>
        <w:gridCol w:w="810"/>
        <w:gridCol w:w="900"/>
        <w:gridCol w:w="1710"/>
      </w:tblGrid>
      <w:tr w:rsidR="00BF6DEB" w:rsidRPr="00305196" w14:paraId="37212E71" w14:textId="77777777" w:rsidTr="0041569C">
        <w:trPr>
          <w:trHeight w:val="374"/>
        </w:trPr>
        <w:tc>
          <w:tcPr>
            <w:tcW w:w="1170" w:type="dxa"/>
            <w:tcBorders>
              <w:bottom w:val="single" w:sz="4" w:space="0" w:color="BFBFBF" w:themeColor="background1" w:themeShade="BF"/>
            </w:tcBorders>
            <w:shd w:val="clear" w:color="auto" w:fill="215868" w:themeFill="accent5" w:themeFillShade="80"/>
            <w:vAlign w:val="center"/>
            <w:hideMark/>
          </w:tcPr>
          <w:p w14:paraId="08FAF452" w14:textId="77777777" w:rsidR="00177D86" w:rsidRPr="00305196" w:rsidRDefault="00177D86" w:rsidP="00BF6DEB">
            <w:pPr>
              <w:spacing w:before="40" w:after="4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Job Developer</w:t>
            </w:r>
          </w:p>
        </w:tc>
        <w:tc>
          <w:tcPr>
            <w:tcW w:w="1350" w:type="dxa"/>
            <w:tcBorders>
              <w:bottom w:val="single" w:sz="4" w:space="0" w:color="BFBFBF" w:themeColor="background1" w:themeShade="BF"/>
            </w:tcBorders>
            <w:shd w:val="clear" w:color="auto" w:fill="215868" w:themeFill="accent5" w:themeFillShade="80"/>
            <w:vAlign w:val="center"/>
            <w:hideMark/>
          </w:tcPr>
          <w:p w14:paraId="1E7B9428" w14:textId="77777777" w:rsidR="00177D86" w:rsidRPr="00305196" w:rsidRDefault="00177D86" w:rsidP="00BF6DEB">
            <w:pPr>
              <w:spacing w:before="40" w:after="4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Hourly Wage</w:t>
            </w:r>
            <w:r w:rsidRPr="00305196">
              <w:rPr>
                <w:rFonts w:ascii="Optima" w:eastAsia="Times New Roman" w:hAnsi="Optima" w:cs="Calibri"/>
                <w:b/>
                <w:bCs/>
                <w:color w:val="FFFFFF"/>
                <w:sz w:val="19"/>
                <w:szCs w:val="19"/>
              </w:rPr>
              <w:br/>
              <w:t>Avg = $18.25</w:t>
            </w:r>
          </w:p>
        </w:tc>
        <w:tc>
          <w:tcPr>
            <w:tcW w:w="810" w:type="dxa"/>
            <w:tcBorders>
              <w:bottom w:val="single" w:sz="4" w:space="0" w:color="BFBFBF" w:themeColor="background1" w:themeShade="BF"/>
            </w:tcBorders>
            <w:shd w:val="clear" w:color="auto" w:fill="215868" w:themeFill="accent5" w:themeFillShade="80"/>
            <w:vAlign w:val="center"/>
            <w:hideMark/>
          </w:tcPr>
          <w:p w14:paraId="05EF7603" w14:textId="77777777" w:rsidR="00177D86" w:rsidRPr="00305196" w:rsidRDefault="00177D86" w:rsidP="00CA1889">
            <w:pPr>
              <w:spacing w:before="40" w:after="4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 FTE</w:t>
            </w:r>
          </w:p>
        </w:tc>
        <w:tc>
          <w:tcPr>
            <w:tcW w:w="810" w:type="dxa"/>
            <w:tcBorders>
              <w:bottom w:val="single" w:sz="4" w:space="0" w:color="BFBFBF" w:themeColor="background1" w:themeShade="BF"/>
            </w:tcBorders>
            <w:shd w:val="clear" w:color="auto" w:fill="215868" w:themeFill="accent5" w:themeFillShade="80"/>
            <w:vAlign w:val="center"/>
            <w:hideMark/>
          </w:tcPr>
          <w:p w14:paraId="4E8EFC66" w14:textId="20CA5E4A" w:rsidR="00177D86" w:rsidRPr="00305196" w:rsidRDefault="00177D86" w:rsidP="00CA1889">
            <w:pPr>
              <w:spacing w:before="40" w:after="4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H</w:t>
            </w:r>
            <w:r w:rsidR="0027485F">
              <w:rPr>
                <w:rFonts w:ascii="Optima" w:eastAsia="Times New Roman" w:hAnsi="Optima" w:cs="Calibri"/>
                <w:b/>
                <w:bCs/>
                <w:color w:val="FFFFFF"/>
                <w:sz w:val="19"/>
                <w:szCs w:val="19"/>
              </w:rPr>
              <w:t>ou</w:t>
            </w:r>
            <w:r w:rsidRPr="00305196">
              <w:rPr>
                <w:rFonts w:ascii="Optima" w:eastAsia="Times New Roman" w:hAnsi="Optima" w:cs="Calibri"/>
                <w:b/>
                <w:bCs/>
                <w:color w:val="FFFFFF"/>
                <w:sz w:val="19"/>
                <w:szCs w:val="19"/>
              </w:rPr>
              <w:t>rs</w:t>
            </w:r>
            <w:r w:rsidR="0027485F">
              <w:rPr>
                <w:rFonts w:ascii="Optima" w:eastAsia="Times New Roman" w:hAnsi="Optima" w:cs="Calibri"/>
                <w:b/>
                <w:bCs/>
                <w:color w:val="FFFFFF"/>
                <w:sz w:val="19"/>
                <w:szCs w:val="19"/>
              </w:rPr>
              <w:t xml:space="preserve"> </w:t>
            </w:r>
            <w:r w:rsidRPr="00305196">
              <w:rPr>
                <w:rFonts w:ascii="Optima" w:eastAsia="Times New Roman" w:hAnsi="Optima" w:cs="Calibri"/>
                <w:b/>
                <w:bCs/>
                <w:color w:val="FFFFFF"/>
                <w:sz w:val="19"/>
                <w:szCs w:val="19"/>
              </w:rPr>
              <w:t>/Week</w:t>
            </w:r>
          </w:p>
        </w:tc>
        <w:tc>
          <w:tcPr>
            <w:tcW w:w="1170" w:type="dxa"/>
            <w:tcBorders>
              <w:bottom w:val="single" w:sz="4" w:space="0" w:color="BFBFBF" w:themeColor="background1" w:themeShade="BF"/>
            </w:tcBorders>
            <w:shd w:val="clear" w:color="auto" w:fill="215868" w:themeFill="accent5" w:themeFillShade="80"/>
            <w:vAlign w:val="center"/>
            <w:hideMark/>
          </w:tcPr>
          <w:p w14:paraId="5E75AE71" w14:textId="77777777" w:rsidR="00177D86" w:rsidRPr="00305196" w:rsidRDefault="00177D86" w:rsidP="00BF6DEB">
            <w:pPr>
              <w:spacing w:before="40" w:after="4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Admin as % of wage + benefits</w:t>
            </w:r>
          </w:p>
        </w:tc>
        <w:tc>
          <w:tcPr>
            <w:tcW w:w="810" w:type="dxa"/>
            <w:tcBorders>
              <w:bottom w:val="single" w:sz="4" w:space="0" w:color="BFBFBF" w:themeColor="background1" w:themeShade="BF"/>
            </w:tcBorders>
            <w:shd w:val="clear" w:color="auto" w:fill="215868" w:themeFill="accent5" w:themeFillShade="80"/>
            <w:vAlign w:val="center"/>
            <w:hideMark/>
          </w:tcPr>
          <w:p w14:paraId="63B219A3" w14:textId="77777777" w:rsidR="00177D86" w:rsidRPr="00305196" w:rsidRDefault="00177D86" w:rsidP="00CA1889">
            <w:pPr>
              <w:spacing w:before="40" w:after="40" w:line="240" w:lineRule="auto"/>
              <w:jc w:val="center"/>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Prod Adj</w:t>
            </w:r>
          </w:p>
        </w:tc>
        <w:tc>
          <w:tcPr>
            <w:tcW w:w="900" w:type="dxa"/>
            <w:tcBorders>
              <w:bottom w:val="single" w:sz="4" w:space="0" w:color="BFBFBF" w:themeColor="background1" w:themeShade="BF"/>
            </w:tcBorders>
            <w:shd w:val="clear" w:color="auto" w:fill="215868" w:themeFill="accent5" w:themeFillShade="80"/>
            <w:vAlign w:val="center"/>
            <w:hideMark/>
          </w:tcPr>
          <w:p w14:paraId="428E7455" w14:textId="77777777" w:rsidR="00177D86" w:rsidRPr="00305196" w:rsidRDefault="00177D86" w:rsidP="00BF6DEB">
            <w:pPr>
              <w:spacing w:before="40" w:after="40" w:line="240" w:lineRule="auto"/>
              <w:jc w:val="right"/>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Hourly Cost</w:t>
            </w:r>
          </w:p>
        </w:tc>
        <w:tc>
          <w:tcPr>
            <w:tcW w:w="1710" w:type="dxa"/>
            <w:tcBorders>
              <w:bottom w:val="single" w:sz="4" w:space="0" w:color="BFBFBF" w:themeColor="background1" w:themeShade="BF"/>
            </w:tcBorders>
            <w:shd w:val="clear" w:color="auto" w:fill="215868" w:themeFill="accent5" w:themeFillShade="80"/>
            <w:vAlign w:val="center"/>
            <w:hideMark/>
          </w:tcPr>
          <w:p w14:paraId="6E11ACDB" w14:textId="77777777" w:rsidR="00177D86" w:rsidRPr="00305196" w:rsidRDefault="00177D86" w:rsidP="00177D86">
            <w:pPr>
              <w:spacing w:before="40" w:after="40" w:line="240" w:lineRule="auto"/>
              <w:jc w:val="right"/>
              <w:rPr>
                <w:rFonts w:ascii="Optima" w:eastAsia="Times New Roman" w:hAnsi="Optima" w:cs="Calibri"/>
                <w:b/>
                <w:bCs/>
                <w:color w:val="FFFFFF"/>
                <w:sz w:val="19"/>
                <w:szCs w:val="19"/>
              </w:rPr>
            </w:pPr>
            <w:r w:rsidRPr="00305196">
              <w:rPr>
                <w:rFonts w:ascii="Optima" w:eastAsia="Times New Roman" w:hAnsi="Optima" w:cs="Calibri"/>
                <w:b/>
                <w:bCs/>
                <w:color w:val="FFFFFF"/>
                <w:sz w:val="19"/>
                <w:szCs w:val="19"/>
              </w:rPr>
              <w:t>Weekly Cost</w:t>
            </w:r>
          </w:p>
        </w:tc>
      </w:tr>
      <w:tr w:rsidR="0027485F" w:rsidRPr="00FB184F" w14:paraId="480D5EE0" w14:textId="77777777" w:rsidTr="0041569C">
        <w:trPr>
          <w:trHeight w:val="374"/>
        </w:trPr>
        <w:tc>
          <w:tcPr>
            <w:tcW w:w="117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0EFF79A6"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DM2</w:t>
            </w:r>
          </w:p>
        </w:tc>
        <w:tc>
          <w:tcPr>
            <w:tcW w:w="135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79EA8B8D"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$20.00</w:t>
            </w:r>
          </w:p>
        </w:tc>
        <w:tc>
          <w:tcPr>
            <w:tcW w:w="81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35F88D8B"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0.5</w:t>
            </w:r>
          </w:p>
        </w:tc>
        <w:tc>
          <w:tcPr>
            <w:tcW w:w="81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1B5AE7F0"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20</w:t>
            </w:r>
          </w:p>
        </w:tc>
        <w:tc>
          <w:tcPr>
            <w:tcW w:w="117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09809EE2"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41.7</w:t>
            </w:r>
          </w:p>
        </w:tc>
        <w:tc>
          <w:tcPr>
            <w:tcW w:w="81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265BFC86" w14:textId="77777777" w:rsidR="00177D86" w:rsidRPr="00FB184F" w:rsidRDefault="00177D86" w:rsidP="00CA1889">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1.3423</w:t>
            </w:r>
          </w:p>
        </w:tc>
        <w:tc>
          <w:tcPr>
            <w:tcW w:w="90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31F371E7" w14:textId="77777777" w:rsidR="00177D86" w:rsidRPr="00FB184F" w:rsidRDefault="00177D86" w:rsidP="00BF6DEB">
            <w:pPr>
              <w:spacing w:before="40" w:after="40" w:line="240" w:lineRule="auto"/>
              <w:jc w:val="right"/>
              <w:rPr>
                <w:rFonts w:ascii="Optima" w:eastAsia="Times New Roman" w:hAnsi="Optima" w:cs="Calibri"/>
                <w:color w:val="000000"/>
                <w:sz w:val="19"/>
                <w:szCs w:val="19"/>
              </w:rPr>
            </w:pPr>
            <w:r w:rsidRPr="00FB184F">
              <w:rPr>
                <w:rFonts w:ascii="Optima" w:eastAsia="Times New Roman" w:hAnsi="Optima" w:cs="Calibri"/>
                <w:color w:val="000000"/>
                <w:sz w:val="19"/>
                <w:szCs w:val="19"/>
              </w:rPr>
              <w:t>$47.85</w:t>
            </w:r>
          </w:p>
        </w:tc>
        <w:tc>
          <w:tcPr>
            <w:tcW w:w="1710" w:type="dxa"/>
            <w:tcBorders>
              <w:top w:val="single" w:sz="4" w:space="0" w:color="BFBFBF" w:themeColor="background1" w:themeShade="BF"/>
              <w:bottom w:val="single" w:sz="4" w:space="0" w:color="D9D9D9" w:themeColor="background1" w:themeShade="D9"/>
            </w:tcBorders>
            <w:shd w:val="clear" w:color="auto" w:fill="auto"/>
            <w:noWrap/>
            <w:vAlign w:val="center"/>
            <w:hideMark/>
          </w:tcPr>
          <w:p w14:paraId="636580DC" w14:textId="3A465CE7" w:rsidR="00177D86" w:rsidRPr="00FB184F" w:rsidRDefault="00177D86" w:rsidP="0027485F">
            <w:pPr>
              <w:spacing w:before="40" w:after="40" w:line="240" w:lineRule="auto"/>
              <w:ind w:firstLineChars="8" w:firstLine="15"/>
              <w:jc w:val="right"/>
              <w:rPr>
                <w:rFonts w:ascii="Optima" w:eastAsia="Times New Roman" w:hAnsi="Optima" w:cs="Calibri"/>
                <w:color w:val="000000"/>
                <w:sz w:val="19"/>
                <w:szCs w:val="19"/>
              </w:rPr>
            </w:pPr>
            <w:r w:rsidRPr="00FB184F">
              <w:rPr>
                <w:rFonts w:ascii="Optima" w:eastAsia="Times New Roman" w:hAnsi="Optima" w:cs="Calibri"/>
                <w:color w:val="000000"/>
                <w:sz w:val="19"/>
                <w:szCs w:val="19"/>
              </w:rPr>
              <w:t>$957</w:t>
            </w:r>
          </w:p>
        </w:tc>
      </w:tr>
      <w:tr w:rsidR="0027485F" w:rsidRPr="00FB184F" w14:paraId="34A39E04" w14:textId="77777777" w:rsidTr="0041569C">
        <w:trPr>
          <w:trHeight w:val="374"/>
        </w:trPr>
        <w:tc>
          <w:tcPr>
            <w:tcW w:w="117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43FD80E1"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LS2</w:t>
            </w:r>
          </w:p>
        </w:tc>
        <w:tc>
          <w:tcPr>
            <w:tcW w:w="135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6F4618D8"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$16.50</w:t>
            </w:r>
          </w:p>
        </w:tc>
        <w:tc>
          <w:tcPr>
            <w:tcW w:w="81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6F33FFE4"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0.5</w:t>
            </w:r>
          </w:p>
        </w:tc>
        <w:tc>
          <w:tcPr>
            <w:tcW w:w="81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38ECBD8C"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20</w:t>
            </w:r>
          </w:p>
        </w:tc>
        <w:tc>
          <w:tcPr>
            <w:tcW w:w="117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6D30771A" w14:textId="77777777" w:rsidR="00177D86" w:rsidRPr="00FB184F" w:rsidRDefault="00177D86" w:rsidP="00BF6DEB">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58.1</w:t>
            </w:r>
          </w:p>
        </w:tc>
        <w:tc>
          <w:tcPr>
            <w:tcW w:w="81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77561914" w14:textId="77777777" w:rsidR="00177D86" w:rsidRPr="00FB184F" w:rsidRDefault="00177D86" w:rsidP="00CA1889">
            <w:pPr>
              <w:spacing w:before="40" w:after="40" w:line="240" w:lineRule="auto"/>
              <w:jc w:val="center"/>
              <w:rPr>
                <w:rFonts w:ascii="Optima" w:eastAsia="Times New Roman" w:hAnsi="Optima" w:cs="Calibri"/>
                <w:color w:val="000000"/>
                <w:sz w:val="19"/>
                <w:szCs w:val="19"/>
              </w:rPr>
            </w:pPr>
            <w:r w:rsidRPr="00FB184F">
              <w:rPr>
                <w:rFonts w:ascii="Optima" w:eastAsia="Times New Roman" w:hAnsi="Optima" w:cs="Calibri"/>
                <w:color w:val="000000"/>
                <w:sz w:val="19"/>
                <w:szCs w:val="19"/>
              </w:rPr>
              <w:t>1.2158</w:t>
            </w:r>
          </w:p>
        </w:tc>
        <w:tc>
          <w:tcPr>
            <w:tcW w:w="90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3D0CFF30" w14:textId="77777777" w:rsidR="00177D86" w:rsidRPr="00FB184F" w:rsidRDefault="00177D86" w:rsidP="00BF6DEB">
            <w:pPr>
              <w:spacing w:before="40" w:after="40" w:line="240" w:lineRule="auto"/>
              <w:jc w:val="right"/>
              <w:rPr>
                <w:rFonts w:ascii="Optima" w:eastAsia="Times New Roman" w:hAnsi="Optima" w:cs="Calibri"/>
                <w:color w:val="000000"/>
                <w:sz w:val="19"/>
                <w:szCs w:val="19"/>
              </w:rPr>
            </w:pPr>
            <w:r w:rsidRPr="00FB184F">
              <w:rPr>
                <w:rFonts w:ascii="Optima" w:eastAsia="Times New Roman" w:hAnsi="Optima" w:cs="Calibri"/>
                <w:color w:val="000000"/>
                <w:sz w:val="19"/>
                <w:szCs w:val="19"/>
              </w:rPr>
              <w:t>$34.70</w:t>
            </w:r>
          </w:p>
        </w:tc>
        <w:tc>
          <w:tcPr>
            <w:tcW w:w="1710" w:type="dxa"/>
            <w:tcBorders>
              <w:top w:val="single" w:sz="4" w:space="0" w:color="D9D9D9" w:themeColor="background1" w:themeShade="D9"/>
              <w:bottom w:val="single" w:sz="4" w:space="0" w:color="D9D9D9" w:themeColor="background1" w:themeShade="D9"/>
            </w:tcBorders>
            <w:shd w:val="clear" w:color="auto" w:fill="DAEEF3" w:themeFill="accent5" w:themeFillTint="33"/>
            <w:noWrap/>
            <w:vAlign w:val="center"/>
            <w:hideMark/>
          </w:tcPr>
          <w:p w14:paraId="36A6B612" w14:textId="44E609F0" w:rsidR="00177D86" w:rsidRPr="00FB184F" w:rsidRDefault="00177D86" w:rsidP="00BF6DEB">
            <w:pPr>
              <w:spacing w:before="40" w:after="40" w:line="240" w:lineRule="auto"/>
              <w:ind w:left="4" w:hangingChars="2" w:hanging="4"/>
              <w:jc w:val="right"/>
              <w:rPr>
                <w:rFonts w:ascii="Optima" w:eastAsia="Times New Roman" w:hAnsi="Optima" w:cs="Calibri"/>
                <w:color w:val="000000"/>
                <w:sz w:val="19"/>
                <w:szCs w:val="19"/>
              </w:rPr>
            </w:pPr>
            <w:r w:rsidRPr="00FB184F">
              <w:rPr>
                <w:rFonts w:ascii="Optima" w:eastAsia="Times New Roman" w:hAnsi="Optima" w:cs="Calibri"/>
                <w:color w:val="000000"/>
                <w:sz w:val="19"/>
                <w:szCs w:val="19"/>
              </w:rPr>
              <w:t>$694</w:t>
            </w:r>
          </w:p>
        </w:tc>
      </w:tr>
      <w:tr w:rsidR="00BF6DEB" w:rsidRPr="00177D86" w14:paraId="6ED89680" w14:textId="77777777" w:rsidTr="0027485F">
        <w:trPr>
          <w:trHeight w:val="449"/>
        </w:trPr>
        <w:tc>
          <w:tcPr>
            <w:tcW w:w="1170" w:type="dxa"/>
            <w:tcBorders>
              <w:top w:val="single" w:sz="4" w:space="0" w:color="D9D9D9" w:themeColor="background1" w:themeShade="D9"/>
              <w:bottom w:val="single" w:sz="4" w:space="0" w:color="D9D9D9" w:themeColor="background1" w:themeShade="D9"/>
            </w:tcBorders>
            <w:shd w:val="clear" w:color="auto" w:fill="auto"/>
            <w:noWrap/>
            <w:vAlign w:val="center"/>
          </w:tcPr>
          <w:p w14:paraId="03F1D241" w14:textId="77777777" w:rsidR="00177D86" w:rsidRPr="00177D86" w:rsidRDefault="00177D86" w:rsidP="00BF6DEB">
            <w:pPr>
              <w:spacing w:before="40" w:after="40" w:line="240" w:lineRule="auto"/>
              <w:jc w:val="center"/>
              <w:rPr>
                <w:rFonts w:ascii="Optima" w:eastAsia="Times New Roman" w:hAnsi="Optima" w:cs="Calibri"/>
                <w:b/>
                <w:bCs/>
                <w:color w:val="000000"/>
                <w:sz w:val="19"/>
                <w:szCs w:val="19"/>
              </w:rPr>
            </w:pPr>
            <w:r w:rsidRPr="00177D86">
              <w:rPr>
                <w:rFonts w:ascii="Optima" w:eastAsia="Times New Roman" w:hAnsi="Optima" w:cs="Calibri"/>
                <w:b/>
                <w:bCs/>
                <w:color w:val="000000"/>
                <w:sz w:val="19"/>
                <w:szCs w:val="19"/>
              </w:rPr>
              <w:t>Total</w:t>
            </w:r>
          </w:p>
        </w:tc>
        <w:tc>
          <w:tcPr>
            <w:tcW w:w="1350" w:type="dxa"/>
            <w:tcBorders>
              <w:top w:val="single" w:sz="4" w:space="0" w:color="D9D9D9" w:themeColor="background1" w:themeShade="D9"/>
              <w:bottom w:val="single" w:sz="4" w:space="0" w:color="D9D9D9" w:themeColor="background1" w:themeShade="D9"/>
            </w:tcBorders>
            <w:shd w:val="clear" w:color="auto" w:fill="auto"/>
            <w:noWrap/>
            <w:vAlign w:val="center"/>
          </w:tcPr>
          <w:p w14:paraId="6F1BB012" w14:textId="77777777" w:rsidR="00177D86" w:rsidRPr="00177D86" w:rsidRDefault="00177D86" w:rsidP="0027485F">
            <w:pPr>
              <w:spacing w:before="40" w:after="40" w:line="240" w:lineRule="auto"/>
              <w:jc w:val="center"/>
              <w:rPr>
                <w:rFonts w:ascii="Optima" w:eastAsia="Times New Roman" w:hAnsi="Optima" w:cs="Calibri"/>
                <w:b/>
                <w:bCs/>
                <w:color w:val="000000"/>
                <w:sz w:val="19"/>
                <w:szCs w:val="19"/>
              </w:rPr>
            </w:pPr>
          </w:p>
        </w:tc>
        <w:tc>
          <w:tcPr>
            <w:tcW w:w="810" w:type="dxa"/>
            <w:tcBorders>
              <w:top w:val="single" w:sz="4" w:space="0" w:color="D9D9D9" w:themeColor="background1" w:themeShade="D9"/>
              <w:bottom w:val="single" w:sz="4" w:space="0" w:color="D9D9D9" w:themeColor="background1" w:themeShade="D9"/>
            </w:tcBorders>
            <w:shd w:val="clear" w:color="auto" w:fill="auto"/>
            <w:noWrap/>
            <w:vAlign w:val="center"/>
          </w:tcPr>
          <w:p w14:paraId="143EA60B" w14:textId="77777777" w:rsidR="00177D86" w:rsidRPr="00177D86" w:rsidRDefault="00177D86" w:rsidP="0027485F">
            <w:pPr>
              <w:spacing w:before="40" w:after="40" w:line="240" w:lineRule="auto"/>
              <w:jc w:val="center"/>
              <w:rPr>
                <w:rFonts w:ascii="Optima" w:eastAsia="Times New Roman" w:hAnsi="Optima" w:cs="Calibri"/>
                <w:b/>
                <w:bCs/>
                <w:color w:val="000000"/>
                <w:sz w:val="19"/>
                <w:szCs w:val="19"/>
              </w:rPr>
            </w:pPr>
          </w:p>
        </w:tc>
        <w:tc>
          <w:tcPr>
            <w:tcW w:w="810" w:type="dxa"/>
            <w:tcBorders>
              <w:top w:val="single" w:sz="4" w:space="0" w:color="D9D9D9" w:themeColor="background1" w:themeShade="D9"/>
              <w:bottom w:val="single" w:sz="4" w:space="0" w:color="D9D9D9" w:themeColor="background1" w:themeShade="D9"/>
            </w:tcBorders>
            <w:shd w:val="clear" w:color="auto" w:fill="auto"/>
            <w:noWrap/>
            <w:vAlign w:val="center"/>
          </w:tcPr>
          <w:p w14:paraId="42749F14" w14:textId="77777777" w:rsidR="00177D86" w:rsidRPr="00177D86" w:rsidRDefault="00177D86" w:rsidP="0027485F">
            <w:pPr>
              <w:spacing w:before="40" w:after="40" w:line="240" w:lineRule="auto"/>
              <w:jc w:val="center"/>
              <w:rPr>
                <w:rFonts w:ascii="Optima" w:eastAsia="Times New Roman" w:hAnsi="Optima" w:cs="Calibri"/>
                <w:b/>
                <w:bCs/>
                <w:color w:val="000000"/>
                <w:sz w:val="19"/>
                <w:szCs w:val="19"/>
              </w:rPr>
            </w:pPr>
            <w:r w:rsidRPr="00177D86">
              <w:rPr>
                <w:rFonts w:ascii="Optima" w:eastAsia="Times New Roman" w:hAnsi="Optima" w:cs="Calibri"/>
                <w:b/>
                <w:bCs/>
                <w:color w:val="000000"/>
                <w:sz w:val="19"/>
                <w:szCs w:val="19"/>
              </w:rPr>
              <w:t>40</w:t>
            </w:r>
          </w:p>
        </w:tc>
        <w:tc>
          <w:tcPr>
            <w:tcW w:w="1170" w:type="dxa"/>
            <w:tcBorders>
              <w:top w:val="single" w:sz="4" w:space="0" w:color="D9D9D9" w:themeColor="background1" w:themeShade="D9"/>
              <w:bottom w:val="single" w:sz="4" w:space="0" w:color="D9D9D9" w:themeColor="background1" w:themeShade="D9"/>
            </w:tcBorders>
            <w:shd w:val="clear" w:color="auto" w:fill="auto"/>
            <w:noWrap/>
            <w:vAlign w:val="center"/>
          </w:tcPr>
          <w:p w14:paraId="0F07AD1E" w14:textId="77777777" w:rsidR="00177D86" w:rsidRPr="00177D86" w:rsidRDefault="00177D86" w:rsidP="00BF6DEB">
            <w:pPr>
              <w:spacing w:before="40" w:after="40" w:line="240" w:lineRule="auto"/>
              <w:jc w:val="center"/>
              <w:rPr>
                <w:rFonts w:ascii="Optima" w:eastAsia="Times New Roman" w:hAnsi="Optima" w:cs="Calibri"/>
                <w:b/>
                <w:bCs/>
                <w:color w:val="000000"/>
                <w:sz w:val="19"/>
                <w:szCs w:val="19"/>
              </w:rPr>
            </w:pPr>
          </w:p>
        </w:tc>
        <w:tc>
          <w:tcPr>
            <w:tcW w:w="810" w:type="dxa"/>
            <w:tcBorders>
              <w:top w:val="single" w:sz="4" w:space="0" w:color="D9D9D9" w:themeColor="background1" w:themeShade="D9"/>
              <w:bottom w:val="single" w:sz="4" w:space="0" w:color="D9D9D9" w:themeColor="background1" w:themeShade="D9"/>
            </w:tcBorders>
            <w:shd w:val="clear" w:color="auto" w:fill="auto"/>
            <w:noWrap/>
            <w:vAlign w:val="center"/>
          </w:tcPr>
          <w:p w14:paraId="34890C20" w14:textId="77777777" w:rsidR="00177D86" w:rsidRPr="00177D86" w:rsidRDefault="00177D86" w:rsidP="00CA1889">
            <w:pPr>
              <w:spacing w:before="40" w:after="40" w:line="240" w:lineRule="auto"/>
              <w:jc w:val="center"/>
              <w:rPr>
                <w:rFonts w:ascii="Optima" w:eastAsia="Times New Roman" w:hAnsi="Optima" w:cs="Calibri"/>
                <w:b/>
                <w:bCs/>
                <w:color w:val="000000"/>
                <w:sz w:val="19"/>
                <w:szCs w:val="19"/>
              </w:rPr>
            </w:pPr>
          </w:p>
        </w:tc>
        <w:tc>
          <w:tcPr>
            <w:tcW w:w="900" w:type="dxa"/>
            <w:tcBorders>
              <w:top w:val="single" w:sz="4" w:space="0" w:color="D9D9D9" w:themeColor="background1" w:themeShade="D9"/>
              <w:bottom w:val="single" w:sz="4" w:space="0" w:color="D9D9D9" w:themeColor="background1" w:themeShade="D9"/>
            </w:tcBorders>
            <w:shd w:val="clear" w:color="auto" w:fill="auto"/>
            <w:noWrap/>
            <w:vAlign w:val="center"/>
          </w:tcPr>
          <w:p w14:paraId="08A2F242" w14:textId="77777777" w:rsidR="00177D86" w:rsidRPr="00177D86" w:rsidRDefault="00177D86" w:rsidP="00CA1889">
            <w:pPr>
              <w:spacing w:before="40" w:after="40" w:line="240" w:lineRule="auto"/>
              <w:jc w:val="center"/>
              <w:rPr>
                <w:rFonts w:ascii="Optima" w:eastAsia="Times New Roman" w:hAnsi="Optima" w:cs="Calibri"/>
                <w:b/>
                <w:bCs/>
                <w:color w:val="000000"/>
                <w:sz w:val="19"/>
                <w:szCs w:val="19"/>
              </w:rPr>
            </w:pPr>
          </w:p>
        </w:tc>
        <w:tc>
          <w:tcPr>
            <w:tcW w:w="1710" w:type="dxa"/>
            <w:tcBorders>
              <w:top w:val="single" w:sz="4" w:space="0" w:color="D9D9D9" w:themeColor="background1" w:themeShade="D9"/>
              <w:bottom w:val="single" w:sz="4" w:space="0" w:color="D9D9D9" w:themeColor="background1" w:themeShade="D9"/>
            </w:tcBorders>
            <w:shd w:val="clear" w:color="auto" w:fill="auto"/>
            <w:noWrap/>
            <w:vAlign w:val="center"/>
          </w:tcPr>
          <w:p w14:paraId="6E347E27" w14:textId="27DA17EE" w:rsidR="00177D86" w:rsidRPr="00177D86" w:rsidRDefault="00177D86" w:rsidP="00177D86">
            <w:pPr>
              <w:spacing w:before="40" w:after="40" w:line="240" w:lineRule="auto"/>
              <w:ind w:leftChars="-2" w:hangingChars="2" w:hanging="4"/>
              <w:jc w:val="right"/>
              <w:rPr>
                <w:rFonts w:ascii="Optima" w:eastAsia="Times New Roman" w:hAnsi="Optima" w:cs="Calibri"/>
                <w:b/>
                <w:bCs/>
                <w:color w:val="000000"/>
                <w:sz w:val="19"/>
                <w:szCs w:val="19"/>
              </w:rPr>
            </w:pPr>
            <w:r w:rsidRPr="00177D86">
              <w:rPr>
                <w:rFonts w:ascii="Optima" w:eastAsia="Times New Roman" w:hAnsi="Optima" w:cs="Calibri"/>
                <w:b/>
                <w:bCs/>
                <w:color w:val="000000" w:themeColor="text1"/>
                <w:sz w:val="19"/>
                <w:szCs w:val="19"/>
              </w:rPr>
              <w:t>$1,651</w:t>
            </w:r>
            <w:r w:rsidRPr="00177D86">
              <w:rPr>
                <w:rFonts w:ascii="Optima" w:eastAsia="Times New Roman" w:hAnsi="Optima" w:cs="Calibri"/>
                <w:b/>
                <w:bCs/>
                <w:color w:val="000000" w:themeColor="text1"/>
                <w:sz w:val="19"/>
                <w:szCs w:val="19"/>
              </w:rPr>
              <w:br/>
              <w:t>Avg $41.28</w:t>
            </w:r>
            <w:r w:rsidR="00BF6DEB">
              <w:rPr>
                <w:rFonts w:ascii="Optima" w:eastAsia="Times New Roman" w:hAnsi="Optima" w:cs="Calibri"/>
                <w:b/>
                <w:bCs/>
                <w:color w:val="000000" w:themeColor="text1"/>
                <w:sz w:val="19"/>
                <w:szCs w:val="19"/>
              </w:rPr>
              <w:t>/</w:t>
            </w:r>
            <w:r w:rsidRPr="00177D86">
              <w:rPr>
                <w:rFonts w:ascii="Optima" w:eastAsia="Times New Roman" w:hAnsi="Optima" w:cs="Calibri"/>
                <w:b/>
                <w:bCs/>
                <w:color w:val="000000" w:themeColor="text1"/>
                <w:sz w:val="19"/>
                <w:szCs w:val="19"/>
              </w:rPr>
              <w:t>w</w:t>
            </w:r>
            <w:r>
              <w:rPr>
                <w:rFonts w:ascii="Optima" w:eastAsia="Times New Roman" w:hAnsi="Optima" w:cs="Calibri"/>
                <w:b/>
                <w:bCs/>
                <w:color w:val="000000" w:themeColor="text1"/>
                <w:sz w:val="19"/>
                <w:szCs w:val="19"/>
              </w:rPr>
              <w:t>ee</w:t>
            </w:r>
            <w:r w:rsidRPr="00177D86">
              <w:rPr>
                <w:rFonts w:ascii="Optima" w:eastAsia="Times New Roman" w:hAnsi="Optima" w:cs="Calibri"/>
                <w:b/>
                <w:bCs/>
                <w:color w:val="000000" w:themeColor="text1"/>
                <w:sz w:val="19"/>
                <w:szCs w:val="19"/>
              </w:rPr>
              <w:t>k</w:t>
            </w:r>
          </w:p>
        </w:tc>
      </w:tr>
    </w:tbl>
    <w:p w14:paraId="1BE4126F" w14:textId="77777777" w:rsidR="00FB184F" w:rsidRPr="00DF717D" w:rsidRDefault="00FB184F" w:rsidP="002476FD">
      <w:pPr>
        <w:pStyle w:val="NoSpacing"/>
      </w:pPr>
    </w:p>
    <w:p w14:paraId="17A3F53B" w14:textId="77777777" w:rsidR="00DF717D" w:rsidRDefault="00A403E5" w:rsidP="00330779">
      <w:pPr>
        <w:spacing w:after="240"/>
        <w:ind w:left="360"/>
      </w:pPr>
      <w:r>
        <w:t>T</w:t>
      </w:r>
      <w:r w:rsidR="00DF717D" w:rsidRPr="00DF717D">
        <w:t xml:space="preserve">hey added an amount for mileage </w:t>
      </w:r>
      <w:r>
        <w:t>t</w:t>
      </w:r>
      <w:r w:rsidRPr="00DF717D">
        <w:t xml:space="preserve">o this weighted hourly rate </w:t>
      </w:r>
      <w:r w:rsidR="00DF717D" w:rsidRPr="00DF717D">
        <w:t>and arrived at a total hourly cost of $45/job developer hour</w:t>
      </w:r>
      <w:r w:rsidR="006677B7">
        <w:t xml:space="preserve">. </w:t>
      </w:r>
      <w:r w:rsidR="00DF717D" w:rsidRPr="00DF717D">
        <w:t xml:space="preserve">To incentivize outcomes from job development services purchased (when service </w:t>
      </w:r>
      <w:r>
        <w:t xml:space="preserve">is </w:t>
      </w:r>
      <w:r w:rsidR="00DF717D" w:rsidRPr="00DF717D">
        <w:t xml:space="preserve">not available to individuals through the state’s </w:t>
      </w:r>
      <w:r>
        <w:t>VR</w:t>
      </w:r>
      <w:r w:rsidR="00DF717D" w:rsidRPr="00DF717D">
        <w:t xml:space="preserve"> program), HBH established outcome payments that could be earned by the provider when a person completes the first week on their job</w:t>
      </w:r>
      <w:r w:rsidR="006677B7">
        <w:t xml:space="preserve">. </w:t>
      </w:r>
      <w:r w:rsidR="00DF717D" w:rsidRPr="00DF717D">
        <w:t>These rates are also tiered based on acuity to reflect the assumption that people with higher acuity will require more job development time to find and obtain competitive integrated employment</w:t>
      </w:r>
      <w:r w:rsidRPr="00A403E5">
        <w:t xml:space="preserve"> </w:t>
      </w:r>
      <w:r w:rsidRPr="00DF717D">
        <w:t>successfully</w:t>
      </w:r>
      <w:r w:rsidR="00DF717D" w:rsidRPr="00DF717D">
        <w:t>.</w:t>
      </w:r>
    </w:p>
    <w:tbl>
      <w:tblPr>
        <w:tblW w:w="8820" w:type="dxa"/>
        <w:jc w:val="center"/>
        <w:tblLook w:val="0420" w:firstRow="1" w:lastRow="0" w:firstColumn="0" w:lastColumn="0" w:noHBand="0" w:noVBand="1"/>
      </w:tblPr>
      <w:tblGrid>
        <w:gridCol w:w="2122"/>
        <w:gridCol w:w="3297"/>
        <w:gridCol w:w="3401"/>
      </w:tblGrid>
      <w:tr w:rsidR="0000097E" w:rsidRPr="0000097E" w14:paraId="5BFA1B98" w14:textId="77777777" w:rsidTr="00311DE1">
        <w:trPr>
          <w:trHeight w:val="153"/>
          <w:jc w:val="center"/>
        </w:trPr>
        <w:tc>
          <w:tcPr>
            <w:tcW w:w="2122" w:type="dxa"/>
            <w:tcBorders>
              <w:top w:val="nil"/>
              <w:left w:val="nil"/>
              <w:bottom w:val="single" w:sz="4" w:space="0" w:color="BFBFBF" w:themeColor="background1" w:themeShade="BF"/>
            </w:tcBorders>
            <w:shd w:val="clear" w:color="auto" w:fill="215868" w:themeFill="accent5" w:themeFillShade="80"/>
            <w:vAlign w:val="center"/>
            <w:hideMark/>
          </w:tcPr>
          <w:p w14:paraId="0803A829" w14:textId="77777777" w:rsidR="00BA63F4" w:rsidRPr="00BA63F4" w:rsidRDefault="00BA63F4" w:rsidP="00197BF7">
            <w:pPr>
              <w:spacing w:before="40" w:after="40" w:line="240" w:lineRule="auto"/>
              <w:jc w:val="center"/>
              <w:rPr>
                <w:rFonts w:ascii="Optima" w:eastAsia="Times New Roman" w:hAnsi="Optima" w:cs="Calibri"/>
                <w:b/>
                <w:bCs/>
                <w:color w:val="FFFFFF"/>
                <w:sz w:val="19"/>
                <w:szCs w:val="19"/>
              </w:rPr>
            </w:pPr>
            <w:r w:rsidRPr="00BA63F4">
              <w:rPr>
                <w:rFonts w:ascii="Optima" w:eastAsia="Times New Roman" w:hAnsi="Optima" w:cs="Calibri"/>
                <w:b/>
                <w:bCs/>
                <w:color w:val="FFFFFF"/>
                <w:sz w:val="19"/>
                <w:szCs w:val="19"/>
              </w:rPr>
              <w:t>Acuity Tier</w:t>
            </w:r>
          </w:p>
        </w:tc>
        <w:tc>
          <w:tcPr>
            <w:tcW w:w="3297" w:type="dxa"/>
            <w:tcBorders>
              <w:top w:val="nil"/>
              <w:left w:val="nil"/>
              <w:bottom w:val="single" w:sz="4" w:space="0" w:color="BFBFBF" w:themeColor="background1" w:themeShade="BF"/>
            </w:tcBorders>
            <w:shd w:val="clear" w:color="auto" w:fill="215868" w:themeFill="accent5" w:themeFillShade="80"/>
            <w:vAlign w:val="center"/>
            <w:hideMark/>
          </w:tcPr>
          <w:p w14:paraId="0F56EA90" w14:textId="77777777" w:rsidR="00BA63F4" w:rsidRPr="00BA63F4" w:rsidRDefault="00BA63F4" w:rsidP="00197BF7">
            <w:pPr>
              <w:spacing w:before="40" w:after="40" w:line="240" w:lineRule="auto"/>
              <w:jc w:val="center"/>
              <w:rPr>
                <w:rFonts w:ascii="Optima" w:eastAsia="Times New Roman" w:hAnsi="Optima" w:cs="Calibri"/>
                <w:b/>
                <w:bCs/>
                <w:color w:val="FFFFFF"/>
                <w:sz w:val="19"/>
                <w:szCs w:val="19"/>
              </w:rPr>
            </w:pPr>
            <w:r w:rsidRPr="00BA63F4">
              <w:rPr>
                <w:rFonts w:ascii="Optima" w:eastAsia="Times New Roman" w:hAnsi="Optima" w:cs="Calibri"/>
                <w:b/>
                <w:bCs/>
                <w:color w:val="FFFFFF"/>
                <w:sz w:val="19"/>
                <w:szCs w:val="19"/>
              </w:rPr>
              <w:t>Average Hours @</w:t>
            </w:r>
            <w:r w:rsidRPr="00BA63F4">
              <w:rPr>
                <w:rFonts w:ascii="Optima" w:eastAsia="Times New Roman" w:hAnsi="Optima" w:cs="Calibri"/>
                <w:b/>
                <w:bCs/>
                <w:color w:val="FFFFFF"/>
                <w:sz w:val="19"/>
                <w:szCs w:val="19"/>
              </w:rPr>
              <w:br/>
              <w:t>$45/Hour</w:t>
            </w:r>
          </w:p>
        </w:tc>
        <w:tc>
          <w:tcPr>
            <w:tcW w:w="3401" w:type="dxa"/>
            <w:tcBorders>
              <w:top w:val="nil"/>
              <w:left w:val="nil"/>
              <w:bottom w:val="single" w:sz="4" w:space="0" w:color="BFBFBF" w:themeColor="background1" w:themeShade="BF"/>
            </w:tcBorders>
            <w:shd w:val="clear" w:color="auto" w:fill="215868" w:themeFill="accent5" w:themeFillShade="80"/>
            <w:vAlign w:val="center"/>
            <w:hideMark/>
          </w:tcPr>
          <w:p w14:paraId="14715C99" w14:textId="77777777" w:rsidR="00BA63F4" w:rsidRPr="00BA63F4" w:rsidRDefault="00BA63F4" w:rsidP="00197BF7">
            <w:pPr>
              <w:spacing w:before="40" w:after="40" w:line="240" w:lineRule="auto"/>
              <w:jc w:val="center"/>
              <w:rPr>
                <w:rFonts w:ascii="Optima" w:eastAsia="Times New Roman" w:hAnsi="Optima" w:cs="Calibri"/>
                <w:b/>
                <w:bCs/>
                <w:color w:val="FFFFFF"/>
                <w:sz w:val="19"/>
                <w:szCs w:val="19"/>
              </w:rPr>
            </w:pPr>
            <w:r w:rsidRPr="00BA63F4">
              <w:rPr>
                <w:rFonts w:ascii="Optima" w:eastAsia="Times New Roman" w:hAnsi="Optima" w:cs="Calibri"/>
                <w:b/>
                <w:bCs/>
                <w:color w:val="FFFFFF"/>
                <w:sz w:val="19"/>
                <w:szCs w:val="19"/>
              </w:rPr>
              <w:t>Outcome Payment</w:t>
            </w:r>
            <w:r w:rsidRPr="00BA63F4">
              <w:rPr>
                <w:rFonts w:ascii="Optima" w:eastAsia="Times New Roman" w:hAnsi="Optima" w:cs="Calibri"/>
                <w:b/>
                <w:bCs/>
                <w:color w:val="FFFFFF"/>
                <w:sz w:val="19"/>
                <w:szCs w:val="19"/>
              </w:rPr>
              <w:br/>
            </w:r>
            <w:r w:rsidRPr="00BA63F4">
              <w:rPr>
                <w:rFonts w:ascii="Optima" w:eastAsia="Times New Roman" w:hAnsi="Optima" w:cs="Calibri"/>
                <w:color w:val="FFFFFF"/>
                <w:sz w:val="19"/>
                <w:szCs w:val="19"/>
              </w:rPr>
              <w:t>(payable after one week on job)</w:t>
            </w:r>
          </w:p>
        </w:tc>
      </w:tr>
      <w:tr w:rsidR="00BA63F4" w:rsidRPr="00BA63F4" w14:paraId="69FD3687" w14:textId="77777777" w:rsidTr="00311DE1">
        <w:trPr>
          <w:trHeight w:val="374"/>
          <w:jc w:val="center"/>
        </w:trPr>
        <w:tc>
          <w:tcPr>
            <w:tcW w:w="2122"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25017109"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High</w:t>
            </w:r>
          </w:p>
        </w:tc>
        <w:tc>
          <w:tcPr>
            <w:tcW w:w="3297"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435A1F71"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60</w:t>
            </w:r>
          </w:p>
        </w:tc>
        <w:tc>
          <w:tcPr>
            <w:tcW w:w="3401" w:type="dxa"/>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7374FC3A"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$2,700</w:t>
            </w:r>
          </w:p>
        </w:tc>
      </w:tr>
      <w:tr w:rsidR="0000097E" w:rsidRPr="00BA63F4" w14:paraId="163B17D8" w14:textId="77777777" w:rsidTr="00311DE1">
        <w:trPr>
          <w:trHeight w:val="374"/>
          <w:jc w:val="center"/>
        </w:trPr>
        <w:tc>
          <w:tcPr>
            <w:tcW w:w="2122"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3221C3D1"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Medium</w:t>
            </w:r>
          </w:p>
        </w:tc>
        <w:tc>
          <w:tcPr>
            <w:tcW w:w="3297"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5461FC8B"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40</w:t>
            </w:r>
          </w:p>
        </w:tc>
        <w:tc>
          <w:tcPr>
            <w:tcW w:w="3401"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noWrap/>
            <w:vAlign w:val="center"/>
            <w:hideMark/>
          </w:tcPr>
          <w:p w14:paraId="4E22559C"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$1,800</w:t>
            </w:r>
          </w:p>
        </w:tc>
      </w:tr>
      <w:tr w:rsidR="00BA63F4" w:rsidRPr="00BA63F4" w14:paraId="43BE4091" w14:textId="77777777" w:rsidTr="00311DE1">
        <w:trPr>
          <w:trHeight w:val="374"/>
          <w:jc w:val="center"/>
        </w:trPr>
        <w:tc>
          <w:tcPr>
            <w:tcW w:w="21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40E6899"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Low</w:t>
            </w:r>
          </w:p>
        </w:tc>
        <w:tc>
          <w:tcPr>
            <w:tcW w:w="329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7CF9916"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25</w:t>
            </w:r>
          </w:p>
        </w:tc>
        <w:tc>
          <w:tcPr>
            <w:tcW w:w="340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30C33A" w14:textId="77777777" w:rsidR="00BA63F4" w:rsidRPr="00BA63F4" w:rsidRDefault="00BA63F4" w:rsidP="00FE3390">
            <w:pPr>
              <w:spacing w:before="40" w:after="40" w:line="240" w:lineRule="auto"/>
              <w:jc w:val="center"/>
              <w:rPr>
                <w:rFonts w:ascii="Optima" w:eastAsia="Times New Roman" w:hAnsi="Optima" w:cs="Calibri"/>
                <w:color w:val="000000"/>
                <w:sz w:val="19"/>
                <w:szCs w:val="19"/>
              </w:rPr>
            </w:pPr>
            <w:r w:rsidRPr="00BA63F4">
              <w:rPr>
                <w:rFonts w:ascii="Optima" w:eastAsia="Times New Roman" w:hAnsi="Optima" w:cs="Calibri"/>
                <w:color w:val="000000"/>
                <w:sz w:val="19"/>
                <w:szCs w:val="19"/>
              </w:rPr>
              <w:t>$1,125</w:t>
            </w:r>
          </w:p>
        </w:tc>
      </w:tr>
    </w:tbl>
    <w:p w14:paraId="74BFD2DD" w14:textId="77777777" w:rsidR="001E6CD2" w:rsidRDefault="001E6CD2" w:rsidP="001E6CD2">
      <w:pPr>
        <w:pStyle w:val="NoSpacing"/>
      </w:pPr>
    </w:p>
    <w:p w14:paraId="7E096077" w14:textId="77777777" w:rsidR="00DF717D" w:rsidRPr="00DF717D" w:rsidRDefault="00DF717D" w:rsidP="001268B6">
      <w:pPr>
        <w:pStyle w:val="ListNumber"/>
        <w:spacing w:after="240"/>
        <w:ind w:left="360"/>
      </w:pPr>
      <w:r w:rsidRPr="00DF717D">
        <w:t xml:space="preserve">Adjustment of rates for small group Supported Employment, utilizing the weighted average cost per job coach hour ($30) as explained above and setting the staffing ratio </w:t>
      </w:r>
      <w:r w:rsidR="00107F22">
        <w:t>to</w:t>
      </w:r>
      <w:r w:rsidRPr="00DF717D">
        <w:t xml:space="preserve"> 1:4 based on data submitted by the provider</w:t>
      </w:r>
      <w:r w:rsidR="006677B7">
        <w:t xml:space="preserve">. </w:t>
      </w:r>
      <w:r w:rsidRPr="00DF717D">
        <w:t>HBH also incorporated an add-on for transportation provided to/from the provider’s facility into the rate (assuming transportation to/from places where the small groups worked would be covered by the provider’s contract with those businesses). This rate building methodology allowed HBH to ensure there was no inadvertent incentive for the provider to support people in small group (work crew/enclave) employment rather than competitive integrated employment.</w:t>
      </w:r>
    </w:p>
    <w:p w14:paraId="48C6C2EB" w14:textId="77777777" w:rsidR="00DF717D" w:rsidRPr="00DF717D" w:rsidRDefault="00DF717D" w:rsidP="00167184">
      <w:pPr>
        <w:pStyle w:val="ListNumber"/>
        <w:ind w:left="360"/>
      </w:pPr>
      <w:r w:rsidRPr="00DF717D">
        <w:t>Four innovative pay-for-performance contract incentives to increase opportunities for individuals served to obtain and maintain competitive integrated employment</w:t>
      </w:r>
      <w:r w:rsidR="006677B7">
        <w:t xml:space="preserve">. </w:t>
      </w:r>
      <w:r w:rsidRPr="00DF717D">
        <w:t>During the process of collecting and analyzing the provider’s data to develop the above payment structures, HBH also recognized there were specific areas where they wished to incentivize higher quality</w:t>
      </w:r>
      <w:r w:rsidR="006677B7">
        <w:t xml:space="preserve">. </w:t>
      </w:r>
      <w:r w:rsidRPr="00DF717D">
        <w:t xml:space="preserve">Rather than establishing new performance measures in their provider’s contract without attaching any financial incentive or compensation for the provider meeting these performance measures, HBH chose to implement new performance measures related </w:t>
      </w:r>
      <w:r w:rsidR="00200C59">
        <w:t>to</w:t>
      </w:r>
      <w:r w:rsidR="00200C59" w:rsidRPr="00DF717D">
        <w:t xml:space="preserve"> </w:t>
      </w:r>
      <w:r w:rsidRPr="00DF717D">
        <w:t>competitive integrated employment that included pay-for-performance provisions.</w:t>
      </w:r>
    </w:p>
    <w:p w14:paraId="0C309DCC" w14:textId="77777777" w:rsidR="00DF717D" w:rsidRPr="00DF717D" w:rsidRDefault="00DF717D" w:rsidP="00167184">
      <w:pPr>
        <w:ind w:left="360"/>
      </w:pPr>
      <w:r w:rsidRPr="00DF717D">
        <w:t xml:space="preserve">The first performance measure focused on increasing job coach wages and reducing administrative costs charged to the </w:t>
      </w:r>
      <w:r w:rsidR="00F655C6">
        <w:t>Supported Employment</w:t>
      </w:r>
      <w:r w:rsidRPr="00DF717D">
        <w:t xml:space="preserve"> program by the provider. In the first year of the new contract, the provider was able to earn an end-of-year performance-based payment if they reduced administrative expenses such that they were able to increase every job coach</w:t>
      </w:r>
      <w:r w:rsidR="00C16AF7">
        <w:t>’</w:t>
      </w:r>
      <w:r w:rsidRPr="00DF717D">
        <w:t>s hourly wage by at least 15</w:t>
      </w:r>
      <w:r w:rsidR="0033655D">
        <w:t xml:space="preserve"> percent</w:t>
      </w:r>
      <w:r w:rsidRPr="00DF717D">
        <w:t>.</w:t>
      </w:r>
    </w:p>
    <w:p w14:paraId="40224837" w14:textId="77777777" w:rsidR="00DF717D" w:rsidRPr="00DF717D" w:rsidRDefault="00DF717D" w:rsidP="00167184">
      <w:pPr>
        <w:ind w:left="360"/>
      </w:pPr>
      <w:r w:rsidRPr="00DF717D">
        <w:t xml:space="preserve">The second performance measure focused on assisting five HBH consumers, who were working in microbusinesses and earning less than minimum wage, </w:t>
      </w:r>
      <w:r w:rsidR="00CB11C5">
        <w:t>in transitioning</w:t>
      </w:r>
      <w:r w:rsidRPr="00DF717D">
        <w:t xml:space="preserve"> to competitive integrated employment or self-employment where they earned at least minimum wage. In the first year of the new contract, the provider was able to earn an end-of-year performance-based payment if they assisted all </w:t>
      </w:r>
      <w:r w:rsidR="00CB11C5">
        <w:t>five</w:t>
      </w:r>
      <w:r w:rsidRPr="00DF717D">
        <w:t xml:space="preserve"> HBH consumers </w:t>
      </w:r>
      <w:r w:rsidR="00CB11C5">
        <w:t>in making</w:t>
      </w:r>
      <w:r w:rsidRPr="00DF717D">
        <w:t xml:space="preserve"> this transition to competitive wage employment.</w:t>
      </w:r>
    </w:p>
    <w:p w14:paraId="7E394D27" w14:textId="77777777" w:rsidR="00DF717D" w:rsidRPr="00DF717D" w:rsidRDefault="00DF717D" w:rsidP="00167184">
      <w:pPr>
        <w:ind w:left="360"/>
      </w:pPr>
      <w:r w:rsidRPr="00DF717D">
        <w:t xml:space="preserve">The third performance measure focused on increasing the hours of </w:t>
      </w:r>
      <w:r w:rsidR="00CB11C5">
        <w:t>nine</w:t>
      </w:r>
      <w:r w:rsidRPr="00DF717D">
        <w:t xml:space="preserve"> individuals working very low hours in community-based minimum wage employment. In the first year of the new contract, the provider was able to earn an end-of-year performance-based payment if they assisted at least </w:t>
      </w:r>
      <w:r w:rsidR="00CB11C5">
        <w:t>seven</w:t>
      </w:r>
      <w:r w:rsidRPr="00DF717D">
        <w:t xml:space="preserve"> of these individuals to achieve community-based minimum wage employment of at least 15 hours/week. </w:t>
      </w:r>
    </w:p>
    <w:p w14:paraId="7751D5F0" w14:textId="77777777" w:rsidR="00DF717D" w:rsidRPr="00DF717D" w:rsidRDefault="00DF717D" w:rsidP="00167184">
      <w:pPr>
        <w:ind w:left="360"/>
      </w:pPr>
      <w:r w:rsidRPr="00DF717D">
        <w:t>The fourth and final performance measure focused on ensuring all job coaches had training in best practices for job coaching</w:t>
      </w:r>
      <w:r w:rsidR="006677B7">
        <w:t xml:space="preserve">. </w:t>
      </w:r>
      <w:r w:rsidRPr="00684CB6">
        <w:t>To this end, HBH established a contractual requirement that</w:t>
      </w:r>
      <w:r w:rsidR="00C9320C" w:rsidRPr="00684CB6">
        <w:t xml:space="preserve"> job coaches must have successfully completed best practice training in order to be paid by HBH</w:t>
      </w:r>
      <w:r w:rsidRPr="00684CB6">
        <w:t>, starting with the second year of the new contract.</w:t>
      </w:r>
      <w:r w:rsidRPr="00DF717D">
        <w:t xml:space="preserve"> To incentivize and support the provider in ensuring all of their existing job coaches met this requirement by the start of the second year of the contract, HBH committed to reimbursing the provider for the successful completion of the training by up to ten job coaches, offering $500 per job coach to cover the cost of the training/test fee and the job coach time to complete the course</w:t>
      </w:r>
      <w:r w:rsidR="00E80C64">
        <w:t xml:space="preserve">. </w:t>
      </w:r>
    </w:p>
    <w:p w14:paraId="1989534C" w14:textId="77777777" w:rsidR="00DF717D" w:rsidRPr="00DF717D" w:rsidRDefault="00DF717D" w:rsidP="00BC5BEF">
      <w:r w:rsidRPr="00DF717D">
        <w:t xml:space="preserve">Overall, this is an excellent example of how rate restructuring and careful, strategic rebalancing of existing funding can create significant financial incentives for increased competitive integrated employment and community-based service provision. </w:t>
      </w:r>
      <w:r w:rsidRPr="00F3741B">
        <w:t xml:space="preserve">As a further example of the funder’s commitment to the provider’s successful transformation, HBH implemented the new, reduced facility-based Skill Building rates over a two-year transition period, phasing in the step-down of their rates on a quarterly basis while they offered the incentivized rates for </w:t>
      </w:r>
      <w:r w:rsidR="00263C85">
        <w:t>I</w:t>
      </w:r>
      <w:r w:rsidRPr="00F3741B">
        <w:t>ndividual Supported Employment services from the start of the new contract.</w:t>
      </w:r>
    </w:p>
    <w:p w14:paraId="444D4EDE" w14:textId="24F7D561" w:rsidR="004D4C63" w:rsidRPr="00DA2A97" w:rsidRDefault="004D4C63" w:rsidP="00B11115">
      <w:pPr>
        <w:pStyle w:val="Heading1"/>
      </w:pPr>
      <w:bookmarkStart w:id="20" w:name="_Toc70944173"/>
      <w:r w:rsidRPr="00DA2A97">
        <w:t>If New Funding is Available: Funding Realignment Strategies</w:t>
      </w:r>
      <w:bookmarkEnd w:id="20"/>
    </w:p>
    <w:p w14:paraId="64D786B1" w14:textId="77777777" w:rsidR="001D13D2" w:rsidRPr="001D13D2" w:rsidRDefault="001D13D2" w:rsidP="00B1367E">
      <w:r w:rsidRPr="001D13D2">
        <w:t>Sometimes, a state or other funding entity is fortunate to have new funding available to invest in increasing competitive integrated employment outcomes and other services that are proven to lead to competitive integrated employment. In managed care, the new funding may be available as a result of a Pay-for-Performance (P4P) initiative focused on competitive integrated employment. If the P4P includes incentive dollars (new funding in addition to capitation rates paid to MCOs), this represents new funding for competitive integrated employment. In other situations, a state legislature may appropriate new funding to support increased investment in competitive integrated employment services or services that generally support increased community-based service provision</w:t>
      </w:r>
      <w:r w:rsidR="006677B7">
        <w:t xml:space="preserve">. </w:t>
      </w:r>
    </w:p>
    <w:p w14:paraId="3B5731A8" w14:textId="77777777" w:rsidR="001D13D2" w:rsidRPr="001D13D2" w:rsidRDefault="001D13D2" w:rsidP="00B1367E">
      <w:r w:rsidRPr="001D13D2">
        <w:t xml:space="preserve">In these situations, it may seem simple to devise a plan for investing new dollars. </w:t>
      </w:r>
      <w:r w:rsidR="004629C0">
        <w:t>The</w:t>
      </w:r>
      <w:r w:rsidRPr="001D13D2">
        <w:t xml:space="preserve"> strategy is </w:t>
      </w:r>
      <w:r w:rsidR="004629C0">
        <w:t xml:space="preserve">often </w:t>
      </w:r>
      <w:r w:rsidRPr="001D13D2">
        <w:t>just to increase existing fee-for-service reimbursement rates for providers</w:t>
      </w:r>
      <w:r w:rsidR="004629C0">
        <w:t>, but e</w:t>
      </w:r>
      <w:r w:rsidRPr="001D13D2">
        <w:t>xperience suggests this may not be the most strategic way to utilize new money</w:t>
      </w:r>
      <w:r w:rsidR="006677B7">
        <w:t xml:space="preserve">. </w:t>
      </w:r>
    </w:p>
    <w:p w14:paraId="1B18CF74" w14:textId="77777777" w:rsidR="004D4C63" w:rsidRPr="00792E29" w:rsidRDefault="004D4C63" w:rsidP="00B11115">
      <w:pPr>
        <w:pStyle w:val="Heading2"/>
      </w:pPr>
      <w:bookmarkStart w:id="21" w:name="_Toc70944174"/>
      <w:r w:rsidRPr="00792E29">
        <w:t>C</w:t>
      </w:r>
      <w:r w:rsidR="00E54175" w:rsidRPr="00792E29">
        <w:t>ase Example: Central Wisconsin</w:t>
      </w:r>
      <w:bookmarkEnd w:id="21"/>
    </w:p>
    <w:p w14:paraId="21DB4B51" w14:textId="77777777" w:rsidR="00E32CF3" w:rsidRPr="00E32CF3" w:rsidRDefault="00E32CF3" w:rsidP="00B1367E">
      <w:r w:rsidRPr="00E32CF3">
        <w:t xml:space="preserve">In Wisconsin, Inclusa is the managed LTSS entity operating in 52 of Wisconsin’s 72 counties and </w:t>
      </w:r>
      <w:r w:rsidR="00186102">
        <w:t xml:space="preserve">is </w:t>
      </w:r>
      <w:r w:rsidRPr="00E32CF3">
        <w:t>responsible for contracting day and employment services for people with IDD and physical disabilities. When the state long-term care agency implemented a P4P focused on competitive integrated employment, which included incentive dollars above the capitation rate, Inclusa was strategic in considering how to make additional investments to increase the number of members in competitive integrated employment. Rather than simply raising reimbursement rates for Supported Employment individual job coaching, they recognized the number of working-age members they had who were not on a path to obtaining competitive integrated employment: some of whom had yet to articulate an interest in competitive integrated employment. Therefore, Inclusa made strategic investments in services and supports designed to: (a) increase interest for those who hadn’t previously expressed interest; and (b) enable people interested to further clarify their employment goal and further develop their skills for competitive integrated employment while beginning to actively seek this employment. Examples of the strategic investments made include making the following activities reimbursable services and amending provider contracts to facilitate the use of these service options:</w:t>
      </w:r>
    </w:p>
    <w:p w14:paraId="74E52269" w14:textId="77777777" w:rsidR="00E32CF3" w:rsidRPr="00E32CF3" w:rsidRDefault="00E32CF3" w:rsidP="00983097">
      <w:pPr>
        <w:pStyle w:val="ListBullet"/>
      </w:pPr>
      <w:r w:rsidRPr="00E32CF3">
        <w:t>Job shadowing</w:t>
      </w:r>
    </w:p>
    <w:p w14:paraId="15661AFF" w14:textId="77777777" w:rsidR="00E32CF3" w:rsidRPr="00E32CF3" w:rsidRDefault="00E32CF3" w:rsidP="00983097">
      <w:pPr>
        <w:pStyle w:val="ListBullet"/>
      </w:pPr>
      <w:r w:rsidRPr="00E32CF3">
        <w:t>Initial work incentives and benefits education (myth-busting conversation)</w:t>
      </w:r>
    </w:p>
    <w:p w14:paraId="09265E10" w14:textId="77777777" w:rsidR="00E32CF3" w:rsidRPr="00E32CF3" w:rsidRDefault="00E32CF3" w:rsidP="00983097">
      <w:pPr>
        <w:pStyle w:val="ListBullet"/>
      </w:pPr>
      <w:r w:rsidRPr="00E32CF3">
        <w:t xml:space="preserve">Discovery (Customized Employment strategy that is </w:t>
      </w:r>
      <w:r w:rsidR="002171AA">
        <w:t xml:space="preserve">an </w:t>
      </w:r>
      <w:r w:rsidRPr="00E32CF3">
        <w:t>evidence-based practice)</w:t>
      </w:r>
    </w:p>
    <w:p w14:paraId="1FF352D9" w14:textId="77777777" w:rsidR="00E32CF3" w:rsidRPr="00E32CF3" w:rsidRDefault="00E32CF3" w:rsidP="00983097">
      <w:pPr>
        <w:pStyle w:val="ListBullet"/>
      </w:pPr>
      <w:r w:rsidRPr="00E32CF3">
        <w:t>Community-based prevocational services</w:t>
      </w:r>
    </w:p>
    <w:p w14:paraId="54BE09CD" w14:textId="77777777" w:rsidR="00E32CF3" w:rsidRPr="00E32CF3" w:rsidRDefault="00E32CF3" w:rsidP="00B1367E">
      <w:r w:rsidRPr="00E32CF3">
        <w:t xml:space="preserve">To assist members already working in competitive integrated employment, Inclusa focused on encouraging and assisting these members to increase their hours worked. To facilitate this, Inclusa made time-limited assistance from a qualified Job Developer available to any member who needed or wanted help with approaching their employer about getting more hours. </w:t>
      </w:r>
    </w:p>
    <w:p w14:paraId="198AD571" w14:textId="77777777" w:rsidR="00E32CF3" w:rsidRPr="00BA00EA" w:rsidRDefault="00E32CF3" w:rsidP="00B1367E">
      <w:pPr>
        <w:rPr>
          <w:i/>
          <w:iCs/>
        </w:rPr>
      </w:pPr>
      <w:r w:rsidRPr="00BA00EA">
        <w:rPr>
          <w:i/>
          <w:iCs/>
        </w:rPr>
        <w:t>Note: Inclusa also designed an innovative approach to ensuring providers in their network are incentivized to provide Supported Employment-Individual Job Coaching services and are financially rewarded for implementing job coaching best practices. This is discussed later in this guide in the section on Outcome-Based Reimbursement Strategies.</w:t>
      </w:r>
    </w:p>
    <w:p w14:paraId="7E2B0CF7" w14:textId="77777777" w:rsidR="004D4C63" w:rsidRPr="006A2BD9" w:rsidRDefault="004D4C63" w:rsidP="00B11115">
      <w:pPr>
        <w:pStyle w:val="Heading2"/>
      </w:pPr>
      <w:bookmarkStart w:id="22" w:name="_Toc70944175"/>
      <w:r w:rsidRPr="006A2BD9">
        <w:t>C</w:t>
      </w:r>
      <w:r w:rsidR="00BA00EA" w:rsidRPr="006A2BD9">
        <w:t>ase Example: Alabama</w:t>
      </w:r>
      <w:bookmarkEnd w:id="22"/>
    </w:p>
    <w:p w14:paraId="549D536B" w14:textId="77777777" w:rsidR="00954152" w:rsidRPr="00954152" w:rsidRDefault="00954152" w:rsidP="00B1367E">
      <w:r w:rsidRPr="00954152">
        <w:t>In Alabama, attention to full compliance with the Medicaid HCBS Settings Rule has recently taken center stage. In the state’s intellectual disability waivers, the predominant day services are Day Habilitation, representing 99.9% of expenditures for day and employment services. The typical Day Habilitation model is facility-based. The state wanted to ensure Day Habilitation offered maximum opportunities for community integration. The state recognized that community-based Day Habilitation services could support people to gain experience, skills</w:t>
      </w:r>
      <w:r w:rsidR="00D9736C">
        <w:t>,</w:t>
      </w:r>
      <w:r w:rsidRPr="00954152">
        <w:t xml:space="preserve"> and confidence in participating in their communities, thus making integrated employment a more likely possibility. </w:t>
      </w:r>
    </w:p>
    <w:p w14:paraId="32961B18" w14:textId="77777777" w:rsidR="00954152" w:rsidRPr="00954152" w:rsidRDefault="00954152" w:rsidP="00B1367E">
      <w:r w:rsidRPr="00954152">
        <w:t>Initially, the state devised a plan to use new funding to increase rates for Day Habilitation so the minimum staffing ratio could be changed from 1:16 to 1:8. In considering the potential impact of this approach, the state recognized that simply increasing the rate for facility-based Day Habilitation would not necessarily guarantee any provider increased community integration opportunities for participants. Further, they recognized that increasing the rates across the board would not ensure the new dollars actually went to supporting integrated service provision, and to the providers that made the investment and effort to shift their service provision in this way. As a result of this analysis of likely impact, the state revised its plan and instead created two distinct Day Habilitation rates: one for facility-based service provision and one for community-based service provision</w:t>
      </w:r>
      <w:r w:rsidR="006677B7">
        <w:t xml:space="preserve">. </w:t>
      </w:r>
    </w:p>
    <w:p w14:paraId="439A3EC9" w14:textId="77777777" w:rsidR="00990B45" w:rsidRPr="00954152" w:rsidRDefault="00954152" w:rsidP="009051E9">
      <w:pPr>
        <w:spacing w:after="240"/>
        <w:ind w:right="-90"/>
      </w:pPr>
      <w:r w:rsidRPr="00954152">
        <w:t xml:space="preserve">This approach ensured that when increased funding is paid to a provider, </w:t>
      </w:r>
      <w:r w:rsidR="007F5558">
        <w:t>it is</w:t>
      </w:r>
      <w:r w:rsidRPr="00954152">
        <w:t xml:space="preserve"> the direct result of the provider increasing community-based service provision. This approach also allowed flexibility for individuals served to vary their schedules based on individual preferences and when specific types of community opportunities are available to them. It also allowed the state to track individual levels of community integration and to monitor how people’s time spent in the community is changing over time.</w:t>
      </w:r>
    </w:p>
    <w:tbl>
      <w:tblPr>
        <w:tblW w:w="5000" w:type="pct"/>
        <w:jc w:val="center"/>
        <w:tblCellMar>
          <w:left w:w="0" w:type="dxa"/>
          <w:right w:w="0" w:type="dxa"/>
        </w:tblCellMar>
        <w:tblLook w:val="0420" w:firstRow="1" w:lastRow="0" w:firstColumn="0" w:lastColumn="0" w:noHBand="0" w:noVBand="1"/>
        <w:tblCaption w:val="Day Habilitation "/>
        <w:tblDescription w:val="Day Habilitation table for service funding levels."/>
      </w:tblPr>
      <w:tblGrid>
        <w:gridCol w:w="1793"/>
        <w:gridCol w:w="1801"/>
        <w:gridCol w:w="1623"/>
        <w:gridCol w:w="2074"/>
        <w:gridCol w:w="2069"/>
      </w:tblGrid>
      <w:tr w:rsidR="00393E32" w:rsidRPr="001B644C" w14:paraId="5478993C" w14:textId="77777777" w:rsidTr="00F05DFF">
        <w:trPr>
          <w:trHeight w:hRule="exact" w:val="720"/>
          <w:tblHeader/>
          <w:jc w:val="center"/>
        </w:trPr>
        <w:tc>
          <w:tcPr>
            <w:tcW w:w="958" w:type="pct"/>
            <w:tcBorders>
              <w:bottom w:val="single" w:sz="4" w:space="0" w:color="BFBFBF" w:themeColor="background1" w:themeShade="BF"/>
            </w:tcBorders>
            <w:shd w:val="clear" w:color="auto" w:fill="215868" w:themeFill="accent5" w:themeFillShade="80"/>
            <w:tcMar>
              <w:top w:w="72" w:type="dxa"/>
              <w:left w:w="144" w:type="dxa"/>
              <w:bottom w:w="72" w:type="dxa"/>
              <w:right w:w="144" w:type="dxa"/>
            </w:tcMar>
            <w:vAlign w:val="center"/>
            <w:hideMark/>
          </w:tcPr>
          <w:p w14:paraId="0F678169" w14:textId="77777777" w:rsidR="004D4C63" w:rsidRPr="001B644C" w:rsidRDefault="004D4C63" w:rsidP="001E5946">
            <w:pPr>
              <w:spacing w:before="0" w:after="0" w:line="240" w:lineRule="auto"/>
              <w:jc w:val="center"/>
              <w:rPr>
                <w:rFonts w:ascii="Optima" w:hAnsi="Optima"/>
                <w:b/>
                <w:bCs/>
                <w:color w:val="FFFFFF" w:themeColor="background1"/>
                <w:sz w:val="19"/>
                <w:szCs w:val="19"/>
              </w:rPr>
            </w:pPr>
            <w:r w:rsidRPr="001B644C">
              <w:rPr>
                <w:rFonts w:ascii="Optima" w:hAnsi="Optima"/>
                <w:b/>
                <w:bCs/>
                <w:color w:val="FFFFFF" w:themeColor="background1"/>
                <w:sz w:val="19"/>
                <w:szCs w:val="19"/>
              </w:rPr>
              <w:t>Servic</w:t>
            </w:r>
            <w:r w:rsidR="00393E32">
              <w:rPr>
                <w:rFonts w:ascii="Optima" w:hAnsi="Optima"/>
                <w:b/>
                <w:bCs/>
                <w:color w:val="FFFFFF" w:themeColor="background1"/>
                <w:sz w:val="19"/>
                <w:szCs w:val="19"/>
              </w:rPr>
              <w:t>e</w:t>
            </w:r>
            <w:r w:rsidRPr="001B644C">
              <w:rPr>
                <w:rFonts w:ascii="Optima" w:hAnsi="Optima"/>
                <w:b/>
                <w:bCs/>
                <w:color w:val="FFFFFF" w:themeColor="background1"/>
                <w:sz w:val="19"/>
                <w:szCs w:val="19"/>
              </w:rPr>
              <w:t>-Funding Level</w:t>
            </w:r>
          </w:p>
        </w:tc>
        <w:tc>
          <w:tcPr>
            <w:tcW w:w="962" w:type="pct"/>
            <w:tcBorders>
              <w:left w:val="nil"/>
              <w:bottom w:val="single" w:sz="4" w:space="0" w:color="BFBFBF" w:themeColor="background1" w:themeShade="BF"/>
            </w:tcBorders>
            <w:shd w:val="clear" w:color="auto" w:fill="215868" w:themeFill="accent5" w:themeFillShade="80"/>
            <w:tcMar>
              <w:top w:w="72" w:type="dxa"/>
              <w:left w:w="144" w:type="dxa"/>
              <w:bottom w:w="72" w:type="dxa"/>
              <w:right w:w="144" w:type="dxa"/>
            </w:tcMar>
            <w:vAlign w:val="center"/>
            <w:hideMark/>
          </w:tcPr>
          <w:p w14:paraId="10DC4B33" w14:textId="77777777" w:rsidR="004D4C63" w:rsidRPr="001B644C" w:rsidRDefault="004D4C63" w:rsidP="001E5946">
            <w:pPr>
              <w:spacing w:before="0" w:after="0" w:line="240" w:lineRule="auto"/>
              <w:jc w:val="center"/>
              <w:rPr>
                <w:rFonts w:ascii="Optima" w:hAnsi="Optima"/>
                <w:b/>
                <w:bCs/>
                <w:color w:val="FFFFFF" w:themeColor="background1"/>
                <w:sz w:val="19"/>
                <w:szCs w:val="19"/>
              </w:rPr>
            </w:pPr>
            <w:r w:rsidRPr="001B644C">
              <w:rPr>
                <w:rFonts w:ascii="Optima" w:hAnsi="Optima"/>
                <w:b/>
                <w:bCs/>
                <w:color w:val="FFFFFF" w:themeColor="background1"/>
                <w:sz w:val="19"/>
                <w:szCs w:val="19"/>
              </w:rPr>
              <w:t>15 Min/Hourly Rates for Facility-Based Time</w:t>
            </w:r>
          </w:p>
        </w:tc>
        <w:tc>
          <w:tcPr>
            <w:tcW w:w="867" w:type="pct"/>
            <w:tcBorders>
              <w:left w:val="nil"/>
              <w:bottom w:val="single" w:sz="4" w:space="0" w:color="BFBFBF" w:themeColor="background1" w:themeShade="BF"/>
            </w:tcBorders>
            <w:shd w:val="clear" w:color="auto" w:fill="215868" w:themeFill="accent5" w:themeFillShade="80"/>
            <w:tcMar>
              <w:top w:w="72" w:type="dxa"/>
              <w:left w:w="144" w:type="dxa"/>
              <w:bottom w:w="72" w:type="dxa"/>
              <w:right w:w="144" w:type="dxa"/>
            </w:tcMar>
            <w:vAlign w:val="center"/>
            <w:hideMark/>
          </w:tcPr>
          <w:p w14:paraId="6E3DA3E3" w14:textId="77777777" w:rsidR="004D4C63" w:rsidRPr="001B644C" w:rsidRDefault="004D4C63" w:rsidP="001E5946">
            <w:pPr>
              <w:spacing w:before="0" w:after="0" w:line="240" w:lineRule="auto"/>
              <w:jc w:val="center"/>
              <w:rPr>
                <w:rFonts w:ascii="Optima" w:hAnsi="Optima"/>
                <w:b/>
                <w:bCs/>
                <w:color w:val="FFFFFF" w:themeColor="background1"/>
                <w:sz w:val="19"/>
                <w:szCs w:val="19"/>
              </w:rPr>
            </w:pPr>
            <w:r w:rsidRPr="001B644C">
              <w:rPr>
                <w:rFonts w:ascii="Optima" w:hAnsi="Optima"/>
                <w:b/>
                <w:bCs/>
                <w:color w:val="FFFFFF" w:themeColor="background1"/>
                <w:sz w:val="19"/>
                <w:szCs w:val="19"/>
              </w:rPr>
              <w:t>Facility-Based Minimum Staffing Ratio</w:t>
            </w:r>
          </w:p>
        </w:tc>
        <w:tc>
          <w:tcPr>
            <w:tcW w:w="1108" w:type="pct"/>
            <w:tcBorders>
              <w:left w:val="nil"/>
              <w:bottom w:val="single" w:sz="4" w:space="0" w:color="BFBFBF" w:themeColor="background1" w:themeShade="BF"/>
            </w:tcBorders>
            <w:shd w:val="clear" w:color="auto" w:fill="215868" w:themeFill="accent5" w:themeFillShade="80"/>
            <w:tcMar>
              <w:top w:w="72" w:type="dxa"/>
              <w:left w:w="144" w:type="dxa"/>
              <w:bottom w:w="72" w:type="dxa"/>
              <w:right w:w="144" w:type="dxa"/>
            </w:tcMar>
            <w:vAlign w:val="center"/>
            <w:hideMark/>
          </w:tcPr>
          <w:p w14:paraId="4DC53CCA" w14:textId="77777777" w:rsidR="004D4C63" w:rsidRPr="001B644C" w:rsidRDefault="004D4C63" w:rsidP="001E5946">
            <w:pPr>
              <w:spacing w:before="0" w:after="0" w:line="240" w:lineRule="auto"/>
              <w:jc w:val="center"/>
              <w:rPr>
                <w:rFonts w:ascii="Optima" w:hAnsi="Optima"/>
                <w:b/>
                <w:bCs/>
                <w:color w:val="FFFFFF" w:themeColor="background1"/>
                <w:sz w:val="19"/>
                <w:szCs w:val="19"/>
              </w:rPr>
            </w:pPr>
            <w:r w:rsidRPr="001B644C">
              <w:rPr>
                <w:rFonts w:ascii="Optima" w:hAnsi="Optima"/>
                <w:b/>
                <w:bCs/>
                <w:color w:val="FFFFFF" w:themeColor="background1"/>
                <w:sz w:val="19"/>
                <w:szCs w:val="19"/>
              </w:rPr>
              <w:t>15 Min/Hourly Rates for Community Access Time</w:t>
            </w:r>
          </w:p>
        </w:tc>
        <w:tc>
          <w:tcPr>
            <w:tcW w:w="1105" w:type="pct"/>
            <w:tcBorders>
              <w:left w:val="nil"/>
              <w:bottom w:val="single" w:sz="4" w:space="0" w:color="BFBFBF" w:themeColor="background1" w:themeShade="BF"/>
            </w:tcBorders>
            <w:shd w:val="clear" w:color="auto" w:fill="215868" w:themeFill="accent5" w:themeFillShade="80"/>
            <w:tcMar>
              <w:top w:w="72" w:type="dxa"/>
              <w:left w:w="144" w:type="dxa"/>
              <w:bottom w:w="72" w:type="dxa"/>
              <w:right w:w="144" w:type="dxa"/>
            </w:tcMar>
            <w:vAlign w:val="center"/>
            <w:hideMark/>
          </w:tcPr>
          <w:p w14:paraId="22B9FF01" w14:textId="77777777" w:rsidR="004D4C63" w:rsidRPr="001B644C" w:rsidRDefault="004D4C63" w:rsidP="001E5946">
            <w:pPr>
              <w:spacing w:before="0" w:after="0" w:line="240" w:lineRule="auto"/>
              <w:jc w:val="center"/>
              <w:rPr>
                <w:rFonts w:ascii="Optima" w:hAnsi="Optima"/>
                <w:b/>
                <w:bCs/>
                <w:color w:val="FFFFFF" w:themeColor="background1"/>
                <w:sz w:val="19"/>
                <w:szCs w:val="19"/>
              </w:rPr>
            </w:pPr>
            <w:r w:rsidRPr="001B644C">
              <w:rPr>
                <w:rFonts w:ascii="Optima" w:hAnsi="Optima"/>
                <w:b/>
                <w:bCs/>
                <w:color w:val="FFFFFF" w:themeColor="background1"/>
                <w:sz w:val="19"/>
                <w:szCs w:val="19"/>
              </w:rPr>
              <w:t>Community Access Minimum Staffing Ratio</w:t>
            </w:r>
          </w:p>
        </w:tc>
      </w:tr>
      <w:tr w:rsidR="008505BC" w:rsidRPr="008505BC" w14:paraId="38772386" w14:textId="77777777" w:rsidTr="00F05DFF">
        <w:trPr>
          <w:trHeight w:hRule="exact" w:val="576"/>
          <w:tblHeader/>
          <w:jc w:val="center"/>
        </w:trPr>
        <w:tc>
          <w:tcPr>
            <w:tcW w:w="958" w:type="pct"/>
            <w:tcBorders>
              <w:top w:val="single" w:sz="4" w:space="0" w:color="BFBFBF" w:themeColor="background1" w:themeShade="BF"/>
              <w:left w:val="single" w:sz="8" w:space="0" w:color="FFFFFF"/>
            </w:tcBorders>
            <w:shd w:val="clear" w:color="auto" w:fill="auto"/>
            <w:tcMar>
              <w:top w:w="72" w:type="dxa"/>
              <w:left w:w="144" w:type="dxa"/>
              <w:bottom w:w="72" w:type="dxa"/>
              <w:right w:w="144" w:type="dxa"/>
            </w:tcMar>
            <w:vAlign w:val="center"/>
            <w:hideMark/>
          </w:tcPr>
          <w:p w14:paraId="319B84C4" w14:textId="69F8021A"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Day Hab</w:t>
            </w:r>
            <w:r w:rsidR="008249FA" w:rsidRPr="008505BC">
              <w:rPr>
                <w:rFonts w:ascii="Optima" w:hAnsi="Optima"/>
                <w:color w:val="000000" w:themeColor="text1"/>
                <w:sz w:val="19"/>
                <w:szCs w:val="19"/>
              </w:rPr>
              <w:t>ilitation</w:t>
            </w:r>
            <w:r w:rsidRPr="008505BC">
              <w:rPr>
                <w:rFonts w:ascii="Optima" w:hAnsi="Optima"/>
                <w:color w:val="000000" w:themeColor="text1"/>
                <w:sz w:val="19"/>
                <w:szCs w:val="19"/>
              </w:rPr>
              <w:t xml:space="preserve"> Level 1</w:t>
            </w:r>
          </w:p>
        </w:tc>
        <w:tc>
          <w:tcPr>
            <w:tcW w:w="962" w:type="pct"/>
            <w:tcBorders>
              <w:top w:val="single" w:sz="4" w:space="0" w:color="BFBFBF" w:themeColor="background1" w:themeShade="BF"/>
              <w:left w:val="nil"/>
            </w:tcBorders>
            <w:shd w:val="clear" w:color="auto" w:fill="auto"/>
            <w:tcMar>
              <w:top w:w="72" w:type="dxa"/>
              <w:left w:w="144" w:type="dxa"/>
              <w:bottom w:w="72" w:type="dxa"/>
              <w:right w:w="144" w:type="dxa"/>
            </w:tcMar>
            <w:vAlign w:val="center"/>
            <w:hideMark/>
          </w:tcPr>
          <w:p w14:paraId="3641113F"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$1.94 / $7.76</w:t>
            </w:r>
          </w:p>
        </w:tc>
        <w:tc>
          <w:tcPr>
            <w:tcW w:w="867" w:type="pct"/>
            <w:tcBorders>
              <w:top w:val="single" w:sz="4" w:space="0" w:color="BFBFBF" w:themeColor="background1" w:themeShade="BF"/>
              <w:left w:val="nil"/>
            </w:tcBorders>
            <w:shd w:val="clear" w:color="auto" w:fill="auto"/>
            <w:tcMar>
              <w:top w:w="72" w:type="dxa"/>
              <w:left w:w="144" w:type="dxa"/>
              <w:bottom w:w="72" w:type="dxa"/>
              <w:right w:w="144" w:type="dxa"/>
            </w:tcMar>
            <w:vAlign w:val="center"/>
            <w:hideMark/>
          </w:tcPr>
          <w:p w14:paraId="793F60A5"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1:15</w:t>
            </w:r>
          </w:p>
        </w:tc>
        <w:tc>
          <w:tcPr>
            <w:tcW w:w="1108" w:type="pct"/>
            <w:tcBorders>
              <w:top w:val="single" w:sz="4" w:space="0" w:color="BFBFBF" w:themeColor="background1" w:themeShade="BF"/>
              <w:left w:val="nil"/>
            </w:tcBorders>
            <w:shd w:val="clear" w:color="auto" w:fill="auto"/>
            <w:tcMar>
              <w:top w:w="72" w:type="dxa"/>
              <w:left w:w="144" w:type="dxa"/>
              <w:bottom w:w="72" w:type="dxa"/>
              <w:right w:w="144" w:type="dxa"/>
            </w:tcMar>
            <w:vAlign w:val="center"/>
            <w:hideMark/>
          </w:tcPr>
          <w:p w14:paraId="0F6B9414"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$4.16 / $16.64</w:t>
            </w:r>
          </w:p>
        </w:tc>
        <w:tc>
          <w:tcPr>
            <w:tcW w:w="1105" w:type="pct"/>
            <w:tcBorders>
              <w:top w:val="single" w:sz="4" w:space="0" w:color="BFBFBF" w:themeColor="background1" w:themeShade="BF"/>
              <w:left w:val="nil"/>
              <w:right w:val="single" w:sz="8" w:space="0" w:color="FFFFFF"/>
            </w:tcBorders>
            <w:shd w:val="clear" w:color="auto" w:fill="auto"/>
            <w:tcMar>
              <w:top w:w="72" w:type="dxa"/>
              <w:left w:w="144" w:type="dxa"/>
              <w:bottom w:w="72" w:type="dxa"/>
              <w:right w:w="144" w:type="dxa"/>
            </w:tcMar>
            <w:vAlign w:val="center"/>
            <w:hideMark/>
          </w:tcPr>
          <w:p w14:paraId="2D1C79BD" w14:textId="77777777"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1:4</w:t>
            </w:r>
          </w:p>
        </w:tc>
      </w:tr>
      <w:tr w:rsidR="008505BC" w:rsidRPr="008505BC" w14:paraId="5D6351A8" w14:textId="77777777" w:rsidTr="00366B6C">
        <w:trPr>
          <w:trHeight w:hRule="exact" w:val="891"/>
          <w:tblHeader/>
          <w:jc w:val="center"/>
        </w:trPr>
        <w:tc>
          <w:tcPr>
            <w:tcW w:w="958"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4D9A99AE" w14:textId="32435835"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 xml:space="preserve">Day </w:t>
            </w:r>
            <w:r w:rsidR="008249FA" w:rsidRPr="008505BC">
              <w:rPr>
                <w:rFonts w:ascii="Optima" w:hAnsi="Optima"/>
                <w:color w:val="000000" w:themeColor="text1"/>
                <w:sz w:val="19"/>
                <w:szCs w:val="19"/>
              </w:rPr>
              <w:t>Habilitation</w:t>
            </w:r>
            <w:r w:rsidRPr="008505BC">
              <w:rPr>
                <w:rFonts w:ascii="Optima" w:hAnsi="Optima"/>
                <w:color w:val="000000" w:themeColor="text1"/>
                <w:sz w:val="19"/>
                <w:szCs w:val="19"/>
              </w:rPr>
              <w:t xml:space="preserve"> Level 1 w/Transportation</w:t>
            </w:r>
          </w:p>
        </w:tc>
        <w:tc>
          <w:tcPr>
            <w:tcW w:w="962"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3F06856C"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$2.26 / $9.04</w:t>
            </w:r>
          </w:p>
        </w:tc>
        <w:tc>
          <w:tcPr>
            <w:tcW w:w="867"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78395892"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1:15</w:t>
            </w:r>
          </w:p>
        </w:tc>
        <w:tc>
          <w:tcPr>
            <w:tcW w:w="1108"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4B07DF29"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$4.80 / $19.20</w:t>
            </w:r>
          </w:p>
        </w:tc>
        <w:tc>
          <w:tcPr>
            <w:tcW w:w="1105"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08090722" w14:textId="77777777"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1:4</w:t>
            </w:r>
          </w:p>
        </w:tc>
      </w:tr>
      <w:tr w:rsidR="008505BC" w:rsidRPr="008505BC" w14:paraId="609EF84A" w14:textId="77777777" w:rsidTr="00F05DFF">
        <w:trPr>
          <w:trHeight w:hRule="exact" w:val="576"/>
          <w:tblHeader/>
          <w:jc w:val="center"/>
        </w:trPr>
        <w:tc>
          <w:tcPr>
            <w:tcW w:w="958" w:type="pct"/>
            <w:tcBorders>
              <w:top w:val="single" w:sz="2" w:space="0" w:color="215868" w:themeColor="accent5" w:themeShade="80"/>
              <w:left w:val="single" w:sz="8" w:space="0" w:color="FFFFFF"/>
            </w:tcBorders>
            <w:shd w:val="clear" w:color="auto" w:fill="auto"/>
            <w:tcMar>
              <w:top w:w="72" w:type="dxa"/>
              <w:left w:w="144" w:type="dxa"/>
              <w:bottom w:w="72" w:type="dxa"/>
              <w:right w:w="144" w:type="dxa"/>
            </w:tcMar>
            <w:vAlign w:val="center"/>
            <w:hideMark/>
          </w:tcPr>
          <w:p w14:paraId="46407D9C" w14:textId="5C9BC770"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 xml:space="preserve">Day </w:t>
            </w:r>
            <w:r w:rsidR="008249FA" w:rsidRPr="008505BC">
              <w:rPr>
                <w:rFonts w:ascii="Optima" w:hAnsi="Optima"/>
                <w:color w:val="000000" w:themeColor="text1"/>
                <w:sz w:val="19"/>
                <w:szCs w:val="19"/>
              </w:rPr>
              <w:t>Habilitation</w:t>
            </w:r>
            <w:r w:rsidRPr="008505BC">
              <w:rPr>
                <w:rFonts w:ascii="Optima" w:hAnsi="Optima"/>
                <w:color w:val="000000" w:themeColor="text1"/>
                <w:sz w:val="19"/>
                <w:szCs w:val="19"/>
              </w:rPr>
              <w:t xml:space="preserve"> Level 2</w:t>
            </w:r>
          </w:p>
        </w:tc>
        <w:tc>
          <w:tcPr>
            <w:tcW w:w="962"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331FB2DF"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$2.74 / $10.96</w:t>
            </w:r>
          </w:p>
        </w:tc>
        <w:tc>
          <w:tcPr>
            <w:tcW w:w="867"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621DEFC0"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1:12</w:t>
            </w:r>
          </w:p>
        </w:tc>
        <w:tc>
          <w:tcPr>
            <w:tcW w:w="1108"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31837151"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$4.76 / $19.04</w:t>
            </w:r>
          </w:p>
        </w:tc>
        <w:tc>
          <w:tcPr>
            <w:tcW w:w="1105" w:type="pct"/>
            <w:tcBorders>
              <w:top w:val="single" w:sz="2" w:space="0" w:color="215868" w:themeColor="accent5" w:themeShade="80"/>
              <w:left w:val="nil"/>
              <w:right w:val="single" w:sz="8" w:space="0" w:color="FFFFFF"/>
            </w:tcBorders>
            <w:shd w:val="clear" w:color="auto" w:fill="auto"/>
            <w:tcMar>
              <w:top w:w="72" w:type="dxa"/>
              <w:left w:w="144" w:type="dxa"/>
              <w:bottom w:w="72" w:type="dxa"/>
              <w:right w:w="144" w:type="dxa"/>
            </w:tcMar>
            <w:vAlign w:val="center"/>
            <w:hideMark/>
          </w:tcPr>
          <w:p w14:paraId="1A9EFEBA" w14:textId="77777777"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1:3</w:t>
            </w:r>
          </w:p>
        </w:tc>
      </w:tr>
      <w:tr w:rsidR="008505BC" w:rsidRPr="008505BC" w14:paraId="7BB8FAE6" w14:textId="77777777" w:rsidTr="00366B6C">
        <w:trPr>
          <w:trHeight w:hRule="exact" w:val="891"/>
          <w:tblHeader/>
          <w:jc w:val="center"/>
        </w:trPr>
        <w:tc>
          <w:tcPr>
            <w:tcW w:w="958"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4DA81D1A" w14:textId="5F3EF9E3"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 xml:space="preserve">Day </w:t>
            </w:r>
            <w:r w:rsidR="008249FA" w:rsidRPr="008505BC">
              <w:rPr>
                <w:rFonts w:ascii="Optima" w:hAnsi="Optima"/>
                <w:color w:val="000000" w:themeColor="text1"/>
                <w:sz w:val="19"/>
                <w:szCs w:val="19"/>
              </w:rPr>
              <w:t>Habilitation</w:t>
            </w:r>
            <w:r w:rsidRPr="008505BC">
              <w:rPr>
                <w:rFonts w:ascii="Optima" w:hAnsi="Optima"/>
                <w:color w:val="000000" w:themeColor="text1"/>
                <w:sz w:val="19"/>
                <w:szCs w:val="19"/>
              </w:rPr>
              <w:t xml:space="preserve"> Level 2 w/Transportation</w:t>
            </w:r>
          </w:p>
        </w:tc>
        <w:tc>
          <w:tcPr>
            <w:tcW w:w="962"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45714FB4"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$3.05 / $12.20</w:t>
            </w:r>
          </w:p>
        </w:tc>
        <w:tc>
          <w:tcPr>
            <w:tcW w:w="867"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270B7D64"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1:12</w:t>
            </w:r>
          </w:p>
        </w:tc>
        <w:tc>
          <w:tcPr>
            <w:tcW w:w="1108"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7ED6265D"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$5.40 / $21.60</w:t>
            </w:r>
          </w:p>
        </w:tc>
        <w:tc>
          <w:tcPr>
            <w:tcW w:w="1105"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788AB119" w14:textId="77777777"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1:3</w:t>
            </w:r>
          </w:p>
        </w:tc>
      </w:tr>
      <w:tr w:rsidR="008505BC" w:rsidRPr="008505BC" w14:paraId="2B777E40" w14:textId="77777777" w:rsidTr="00F05DFF">
        <w:trPr>
          <w:trHeight w:hRule="exact" w:val="576"/>
          <w:tblHeader/>
          <w:jc w:val="center"/>
        </w:trPr>
        <w:tc>
          <w:tcPr>
            <w:tcW w:w="958" w:type="pct"/>
            <w:tcBorders>
              <w:top w:val="single" w:sz="2" w:space="0" w:color="215868" w:themeColor="accent5" w:themeShade="80"/>
              <w:left w:val="single" w:sz="8" w:space="0" w:color="FFFFFF"/>
            </w:tcBorders>
            <w:shd w:val="clear" w:color="auto" w:fill="auto"/>
            <w:tcMar>
              <w:top w:w="72" w:type="dxa"/>
              <w:left w:w="144" w:type="dxa"/>
              <w:bottom w:w="72" w:type="dxa"/>
              <w:right w:w="144" w:type="dxa"/>
            </w:tcMar>
            <w:vAlign w:val="center"/>
            <w:hideMark/>
          </w:tcPr>
          <w:p w14:paraId="027E3C46" w14:textId="0E057061"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 xml:space="preserve">Day </w:t>
            </w:r>
            <w:r w:rsidR="008249FA" w:rsidRPr="008505BC">
              <w:rPr>
                <w:rFonts w:ascii="Optima" w:hAnsi="Optima"/>
                <w:color w:val="000000" w:themeColor="text1"/>
                <w:sz w:val="19"/>
                <w:szCs w:val="19"/>
              </w:rPr>
              <w:t>Habilitation</w:t>
            </w:r>
            <w:r w:rsidRPr="008505BC">
              <w:rPr>
                <w:rFonts w:ascii="Optima" w:hAnsi="Optima"/>
                <w:color w:val="000000" w:themeColor="text1"/>
                <w:sz w:val="19"/>
                <w:szCs w:val="19"/>
              </w:rPr>
              <w:t xml:space="preserve"> Level 3</w:t>
            </w:r>
          </w:p>
        </w:tc>
        <w:tc>
          <w:tcPr>
            <w:tcW w:w="962"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3FDB0081"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$3.53 /</w:t>
            </w:r>
            <w:r w:rsidR="000E6927" w:rsidRPr="008505BC">
              <w:rPr>
                <w:rFonts w:ascii="Optima" w:hAnsi="Optima"/>
                <w:color w:val="000000" w:themeColor="text1"/>
                <w:sz w:val="19"/>
                <w:szCs w:val="19"/>
              </w:rPr>
              <w:t xml:space="preserve"> </w:t>
            </w:r>
            <w:r w:rsidRPr="008505BC">
              <w:rPr>
                <w:rFonts w:ascii="Optima" w:hAnsi="Optima"/>
                <w:color w:val="000000" w:themeColor="text1"/>
                <w:sz w:val="19"/>
                <w:szCs w:val="19"/>
              </w:rPr>
              <w:t>$14.12</w:t>
            </w:r>
          </w:p>
        </w:tc>
        <w:tc>
          <w:tcPr>
            <w:tcW w:w="867"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4FAF1BBF"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1:8</w:t>
            </w:r>
          </w:p>
        </w:tc>
        <w:tc>
          <w:tcPr>
            <w:tcW w:w="1108" w:type="pct"/>
            <w:tcBorders>
              <w:top w:val="single" w:sz="2" w:space="0" w:color="215868" w:themeColor="accent5" w:themeShade="80"/>
              <w:left w:val="nil"/>
              <w:right w:val="single" w:sz="8" w:space="0" w:color="FFFFFF"/>
            </w:tcBorders>
            <w:shd w:val="clear" w:color="auto" w:fill="auto"/>
            <w:tcMar>
              <w:top w:w="72" w:type="dxa"/>
              <w:left w:w="144" w:type="dxa"/>
              <w:bottom w:w="72" w:type="dxa"/>
              <w:right w:w="144" w:type="dxa"/>
            </w:tcMar>
            <w:vAlign w:val="center"/>
            <w:hideMark/>
          </w:tcPr>
          <w:p w14:paraId="0BC858CA"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$5.94/ $23.76</w:t>
            </w:r>
          </w:p>
        </w:tc>
        <w:tc>
          <w:tcPr>
            <w:tcW w:w="1105" w:type="pct"/>
            <w:tcBorders>
              <w:top w:val="single" w:sz="2" w:space="0" w:color="215868" w:themeColor="accent5" w:themeShade="8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002EE2A" w14:textId="77777777"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1:2</w:t>
            </w:r>
          </w:p>
        </w:tc>
      </w:tr>
      <w:tr w:rsidR="008505BC" w:rsidRPr="008505BC" w14:paraId="7E4D8238" w14:textId="77777777" w:rsidTr="00366B6C">
        <w:trPr>
          <w:trHeight w:hRule="exact" w:val="909"/>
          <w:tblHeader/>
          <w:jc w:val="center"/>
        </w:trPr>
        <w:tc>
          <w:tcPr>
            <w:tcW w:w="958"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2233318C" w14:textId="01B4F6D5" w:rsidR="004D4C63" w:rsidRPr="008505BC" w:rsidRDefault="004D4C63" w:rsidP="00176C0F">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 xml:space="preserve">Day </w:t>
            </w:r>
            <w:r w:rsidR="008249FA" w:rsidRPr="008505BC">
              <w:rPr>
                <w:rFonts w:ascii="Optima" w:hAnsi="Optima"/>
                <w:color w:val="000000" w:themeColor="text1"/>
                <w:sz w:val="19"/>
                <w:szCs w:val="19"/>
              </w:rPr>
              <w:t>Habilitation</w:t>
            </w:r>
            <w:r w:rsidRPr="008505BC">
              <w:rPr>
                <w:rFonts w:ascii="Optima" w:hAnsi="Optima"/>
                <w:color w:val="000000" w:themeColor="text1"/>
                <w:sz w:val="19"/>
                <w:szCs w:val="19"/>
              </w:rPr>
              <w:t xml:space="preserve"> Level 3 w/Transportation</w:t>
            </w:r>
          </w:p>
        </w:tc>
        <w:tc>
          <w:tcPr>
            <w:tcW w:w="962"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2100889A" w14:textId="77777777" w:rsidR="004D4C63" w:rsidRPr="008505BC" w:rsidRDefault="004D4C63" w:rsidP="00176C0F">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$3.84 / $15.36</w:t>
            </w:r>
          </w:p>
        </w:tc>
        <w:tc>
          <w:tcPr>
            <w:tcW w:w="867"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2C852D06" w14:textId="77777777" w:rsidR="004D4C63" w:rsidRPr="008505BC" w:rsidRDefault="004D4C63" w:rsidP="00176C0F">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1:8</w:t>
            </w:r>
          </w:p>
        </w:tc>
        <w:tc>
          <w:tcPr>
            <w:tcW w:w="1108"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0C1D180C" w14:textId="77777777" w:rsidR="004D4C63" w:rsidRPr="008505BC" w:rsidRDefault="004D4C63" w:rsidP="00176C0F">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$6.58 / $26.32</w:t>
            </w:r>
          </w:p>
        </w:tc>
        <w:tc>
          <w:tcPr>
            <w:tcW w:w="1105" w:type="pct"/>
            <w:tcBorders>
              <w:left w:val="nil"/>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5330482B" w14:textId="77777777" w:rsidR="004D4C63" w:rsidRPr="008505BC" w:rsidRDefault="004D4C63" w:rsidP="00176C0F">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1:2</w:t>
            </w:r>
          </w:p>
        </w:tc>
      </w:tr>
      <w:tr w:rsidR="008505BC" w:rsidRPr="008505BC" w14:paraId="22AC9EA9" w14:textId="77777777" w:rsidTr="00F05DFF">
        <w:trPr>
          <w:trHeight w:hRule="exact" w:val="576"/>
          <w:tblHeader/>
          <w:jc w:val="center"/>
        </w:trPr>
        <w:tc>
          <w:tcPr>
            <w:tcW w:w="958" w:type="pct"/>
            <w:tcBorders>
              <w:top w:val="single" w:sz="2" w:space="0" w:color="215868" w:themeColor="accent5" w:themeShade="80"/>
              <w:left w:val="single" w:sz="8" w:space="0" w:color="FFFFFF"/>
            </w:tcBorders>
            <w:shd w:val="clear" w:color="auto" w:fill="auto"/>
            <w:tcMar>
              <w:top w:w="72" w:type="dxa"/>
              <w:left w:w="144" w:type="dxa"/>
              <w:bottom w:w="72" w:type="dxa"/>
              <w:right w:w="144" w:type="dxa"/>
            </w:tcMar>
            <w:vAlign w:val="center"/>
            <w:hideMark/>
          </w:tcPr>
          <w:p w14:paraId="7E898E0F" w14:textId="166E08B2"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 xml:space="preserve">Day </w:t>
            </w:r>
            <w:r w:rsidR="008249FA" w:rsidRPr="008505BC">
              <w:rPr>
                <w:rFonts w:ascii="Optima" w:hAnsi="Optima"/>
                <w:color w:val="000000" w:themeColor="text1"/>
                <w:sz w:val="19"/>
                <w:szCs w:val="19"/>
              </w:rPr>
              <w:t>Habilitation</w:t>
            </w:r>
            <w:r w:rsidRPr="008505BC">
              <w:rPr>
                <w:rFonts w:ascii="Optima" w:hAnsi="Optima"/>
                <w:color w:val="000000" w:themeColor="text1"/>
                <w:sz w:val="19"/>
                <w:szCs w:val="19"/>
              </w:rPr>
              <w:t xml:space="preserve"> Level 4</w:t>
            </w:r>
          </w:p>
        </w:tc>
        <w:tc>
          <w:tcPr>
            <w:tcW w:w="962"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7E1BCF0E"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$4.53 / $18.12</w:t>
            </w:r>
          </w:p>
        </w:tc>
        <w:tc>
          <w:tcPr>
            <w:tcW w:w="867"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0BE344CD"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w:t>
            </w:r>
            <w:r w:rsidR="00871174" w:rsidRPr="008505BC">
              <w:rPr>
                <w:rFonts w:ascii="Optima" w:hAnsi="Optima"/>
                <w:color w:val="000000" w:themeColor="text1"/>
                <w:sz w:val="19"/>
                <w:szCs w:val="19"/>
              </w:rPr>
              <w:t xml:space="preserve"> </w:t>
            </w:r>
            <w:r w:rsidRPr="008505BC">
              <w:rPr>
                <w:rFonts w:ascii="Optima" w:hAnsi="Optima"/>
                <w:color w:val="000000" w:themeColor="text1"/>
                <w:sz w:val="19"/>
                <w:szCs w:val="19"/>
              </w:rPr>
              <w:t>(min 75%</w:t>
            </w:r>
            <w:r w:rsidR="00412C5B" w:rsidRPr="008505BC">
              <w:rPr>
                <w:rFonts w:ascii="Optima" w:hAnsi="Optima"/>
                <w:color w:val="000000" w:themeColor="text1"/>
                <w:sz w:val="19"/>
                <w:szCs w:val="19"/>
              </w:rPr>
              <w:br/>
            </w:r>
            <w:r w:rsidRPr="008505BC">
              <w:rPr>
                <w:rFonts w:ascii="Optima" w:hAnsi="Optima"/>
                <w:color w:val="000000" w:themeColor="text1"/>
                <w:sz w:val="19"/>
                <w:szCs w:val="19"/>
              </w:rPr>
              <w:t>of time)</w:t>
            </w:r>
          </w:p>
        </w:tc>
        <w:tc>
          <w:tcPr>
            <w:tcW w:w="1108" w:type="pct"/>
            <w:tcBorders>
              <w:top w:val="single" w:sz="2" w:space="0" w:color="215868" w:themeColor="accent5" w:themeShade="80"/>
              <w:left w:val="nil"/>
            </w:tcBorders>
            <w:shd w:val="clear" w:color="auto" w:fill="auto"/>
            <w:tcMar>
              <w:top w:w="72" w:type="dxa"/>
              <w:left w:w="144" w:type="dxa"/>
              <w:bottom w:w="72" w:type="dxa"/>
              <w:right w:w="144" w:type="dxa"/>
            </w:tcMar>
            <w:vAlign w:val="center"/>
            <w:hideMark/>
          </w:tcPr>
          <w:p w14:paraId="28D31190"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$9.06 / $36.24</w:t>
            </w:r>
          </w:p>
        </w:tc>
        <w:tc>
          <w:tcPr>
            <w:tcW w:w="1105" w:type="pct"/>
            <w:tcBorders>
              <w:top w:val="single" w:sz="2" w:space="0" w:color="215868" w:themeColor="accent5" w:themeShade="80"/>
              <w:left w:val="nil"/>
              <w:right w:val="single" w:sz="8" w:space="0" w:color="FFFFFF"/>
            </w:tcBorders>
            <w:shd w:val="clear" w:color="auto" w:fill="auto"/>
            <w:tcMar>
              <w:top w:w="72" w:type="dxa"/>
              <w:left w:w="144" w:type="dxa"/>
              <w:bottom w:w="72" w:type="dxa"/>
              <w:right w:w="144" w:type="dxa"/>
            </w:tcMar>
            <w:vAlign w:val="center"/>
            <w:hideMark/>
          </w:tcPr>
          <w:p w14:paraId="445597C8" w14:textId="77777777"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w:t>
            </w:r>
          </w:p>
        </w:tc>
      </w:tr>
      <w:tr w:rsidR="008505BC" w:rsidRPr="008505BC" w14:paraId="00958B12" w14:textId="77777777" w:rsidTr="00366B6C">
        <w:trPr>
          <w:trHeight w:hRule="exact" w:val="891"/>
          <w:tblHeader/>
          <w:jc w:val="center"/>
        </w:trPr>
        <w:tc>
          <w:tcPr>
            <w:tcW w:w="958"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534F8C6A" w14:textId="16505ACD"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 xml:space="preserve">Day </w:t>
            </w:r>
            <w:r w:rsidR="008249FA" w:rsidRPr="008505BC">
              <w:rPr>
                <w:rFonts w:ascii="Optima" w:hAnsi="Optima"/>
                <w:color w:val="000000" w:themeColor="text1"/>
                <w:sz w:val="19"/>
                <w:szCs w:val="19"/>
              </w:rPr>
              <w:t>Habilitation</w:t>
            </w:r>
            <w:r w:rsidRPr="008505BC">
              <w:rPr>
                <w:rFonts w:ascii="Optima" w:hAnsi="Optima"/>
                <w:color w:val="000000" w:themeColor="text1"/>
                <w:sz w:val="19"/>
                <w:szCs w:val="19"/>
              </w:rPr>
              <w:t xml:space="preserve"> Level 4 w/Transportation</w:t>
            </w:r>
          </w:p>
        </w:tc>
        <w:tc>
          <w:tcPr>
            <w:tcW w:w="962"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2DCAA23D"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$4.85 / $19.40</w:t>
            </w:r>
          </w:p>
        </w:tc>
        <w:tc>
          <w:tcPr>
            <w:tcW w:w="867"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51BECEEF"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w:t>
            </w:r>
            <w:r w:rsidR="00871174" w:rsidRPr="008505BC">
              <w:rPr>
                <w:rFonts w:ascii="Optima" w:hAnsi="Optima"/>
                <w:color w:val="000000" w:themeColor="text1"/>
                <w:sz w:val="19"/>
                <w:szCs w:val="19"/>
              </w:rPr>
              <w:t xml:space="preserve"> </w:t>
            </w:r>
            <w:r w:rsidRPr="008505BC">
              <w:rPr>
                <w:rFonts w:ascii="Optima" w:hAnsi="Optima"/>
                <w:color w:val="000000" w:themeColor="text1"/>
                <w:sz w:val="19"/>
                <w:szCs w:val="19"/>
              </w:rPr>
              <w:t>(min 75%</w:t>
            </w:r>
            <w:r w:rsidR="00412C5B" w:rsidRPr="008505BC">
              <w:rPr>
                <w:rFonts w:ascii="Optima" w:hAnsi="Optima"/>
                <w:color w:val="000000" w:themeColor="text1"/>
                <w:sz w:val="19"/>
                <w:szCs w:val="19"/>
              </w:rPr>
              <w:br/>
            </w:r>
            <w:r w:rsidRPr="008505BC">
              <w:rPr>
                <w:rFonts w:ascii="Optima" w:hAnsi="Optima"/>
                <w:color w:val="000000" w:themeColor="text1"/>
                <w:sz w:val="19"/>
                <w:szCs w:val="19"/>
              </w:rPr>
              <w:t>of time)</w:t>
            </w:r>
          </w:p>
        </w:tc>
        <w:tc>
          <w:tcPr>
            <w:tcW w:w="1108"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20157953" w14:textId="77777777" w:rsidR="004D4C63" w:rsidRPr="008505BC" w:rsidRDefault="004D4C63" w:rsidP="00871174">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$9.70 / $38.80</w:t>
            </w:r>
          </w:p>
        </w:tc>
        <w:tc>
          <w:tcPr>
            <w:tcW w:w="1105" w:type="pct"/>
            <w:tcBorders>
              <w:bottom w:val="single" w:sz="2" w:space="0" w:color="215868" w:themeColor="accent5" w:themeShade="80"/>
            </w:tcBorders>
            <w:shd w:val="clear" w:color="auto" w:fill="DAEEF3" w:themeFill="accent5" w:themeFillTint="33"/>
            <w:tcMar>
              <w:top w:w="72" w:type="dxa"/>
              <w:left w:w="144" w:type="dxa"/>
              <w:bottom w:w="72" w:type="dxa"/>
              <w:right w:w="144" w:type="dxa"/>
            </w:tcMar>
            <w:vAlign w:val="center"/>
            <w:hideMark/>
          </w:tcPr>
          <w:p w14:paraId="72DC181A" w14:textId="77777777" w:rsidR="004D4C63" w:rsidRPr="008505BC" w:rsidRDefault="004D4C63" w:rsidP="001E5946">
            <w:pPr>
              <w:spacing w:before="0" w:after="0" w:line="240" w:lineRule="auto"/>
              <w:jc w:val="center"/>
              <w:rPr>
                <w:rFonts w:ascii="Optima" w:hAnsi="Optima"/>
                <w:color w:val="000000" w:themeColor="text1"/>
                <w:sz w:val="19"/>
                <w:szCs w:val="19"/>
              </w:rPr>
            </w:pPr>
            <w:r w:rsidRPr="008505BC">
              <w:rPr>
                <w:rFonts w:ascii="Optima" w:hAnsi="Optima"/>
                <w:color w:val="000000" w:themeColor="text1"/>
                <w:sz w:val="19"/>
                <w:szCs w:val="19"/>
              </w:rPr>
              <w:t>1:1</w:t>
            </w:r>
          </w:p>
        </w:tc>
      </w:tr>
    </w:tbl>
    <w:p w14:paraId="0404DB21" w14:textId="77777777" w:rsidR="007C5088" w:rsidRPr="007C5088" w:rsidRDefault="007C5088" w:rsidP="00871174">
      <w:pPr>
        <w:spacing w:before="360"/>
      </w:pPr>
      <w:r w:rsidRPr="007C5088">
        <w:t>Alabama’s Division of Developmental Disabilities also chose to apply new funding to key service categories designed to support competitive integrated employment. Rather than using new funding to give relatively small, inconsequential, across-the-board rate increases to all services, the agency chose to prioritize competitive integrated employment and invest the new dollars in more impactful rate increases for the following key services:</w:t>
      </w:r>
    </w:p>
    <w:p w14:paraId="49572D32" w14:textId="77777777" w:rsidR="007C5088" w:rsidRPr="007C5088" w:rsidRDefault="007C5088" w:rsidP="00FE2C1F">
      <w:pPr>
        <w:pStyle w:val="ListBullet"/>
      </w:pPr>
      <w:r w:rsidRPr="007C5088">
        <w:t xml:space="preserve">Individual Supported Employment Job Coaching rate increased by </w:t>
      </w:r>
      <w:r w:rsidR="0051649A">
        <w:t>5</w:t>
      </w:r>
      <w:r w:rsidRPr="007C5088">
        <w:t>0%</w:t>
      </w:r>
    </w:p>
    <w:p w14:paraId="306DC2F2" w14:textId="77777777" w:rsidR="007C5088" w:rsidRPr="007C5088" w:rsidRDefault="007C5088" w:rsidP="00FE2C1F">
      <w:pPr>
        <w:pStyle w:val="ListBullet"/>
      </w:pPr>
      <w:r w:rsidRPr="007C5088">
        <w:t>Benefits and Career Counseling rate increased by 100% to support this work being done by a certified Work Incentives Benefits Counselor</w:t>
      </w:r>
    </w:p>
    <w:p w14:paraId="7DDC8817" w14:textId="77777777" w:rsidR="007C5088" w:rsidRPr="007C5088" w:rsidRDefault="007C5088" w:rsidP="00B1367E">
      <w:pPr>
        <w:pStyle w:val="ListBullet"/>
      </w:pPr>
      <w:r w:rsidRPr="007C5088">
        <w:t>Personal Care on the Worksite rate increased by 38%</w:t>
      </w:r>
    </w:p>
    <w:p w14:paraId="105DD3D1" w14:textId="12634133" w:rsidR="004D4C63" w:rsidRDefault="007C5088" w:rsidP="00B1367E">
      <w:r w:rsidRPr="007C5088">
        <w:t>All of these targeted rate increases support increasing provider capacity to deliver these services to more waiver participants which supports the state’s efforts to promote the benefits of competitive integrated employment in person-centered planning processes.</w:t>
      </w:r>
    </w:p>
    <w:p w14:paraId="04C8EC64" w14:textId="2B2167E9" w:rsidR="009051E9" w:rsidRDefault="009051E9">
      <w:pPr>
        <w:spacing w:before="0" w:after="0" w:line="240" w:lineRule="auto"/>
      </w:pPr>
      <w:r>
        <w:br w:type="page"/>
      </w:r>
    </w:p>
    <w:p w14:paraId="7A93BD55" w14:textId="77777777" w:rsidR="004D4C63" w:rsidRPr="00DA2A97" w:rsidRDefault="004D4C63" w:rsidP="00B11115">
      <w:pPr>
        <w:pStyle w:val="Heading1"/>
      </w:pPr>
      <w:bookmarkStart w:id="23" w:name="_Toc70944176"/>
      <w:r w:rsidRPr="00DA2A97">
        <w:t>Fee-for-Service Reimbursement: Innovations to Incentivize Increased Competitive Integrated Employment</w:t>
      </w:r>
      <w:bookmarkEnd w:id="23"/>
    </w:p>
    <w:p w14:paraId="10D35FDE" w14:textId="77777777" w:rsidR="007C5088" w:rsidRPr="007C5088" w:rsidRDefault="007C5088" w:rsidP="00B1367E">
      <w:r w:rsidRPr="007C5088">
        <w:t xml:space="preserve">Many programs still pay direct service providers using a fee-for-service reimbursement model. The drawbacks of fee-for-service have been widely discussed in both the VR and Medicaid realms. </w:t>
      </w:r>
      <w:r w:rsidRPr="007C5088">
        <w:rPr>
          <w:shd w:val="clear" w:color="auto" w:fill="FFFFFF"/>
        </w:rPr>
        <w:t>Research has shown that fee-for-service incentivizes quantity over quality, encouraging providers to perform as many services as possible for maximum reimbursement, which can negatively affect quality and cost of care.</w:t>
      </w:r>
      <w:r w:rsidRPr="007C5088">
        <w:rPr>
          <w:shd w:val="clear" w:color="auto" w:fill="FFFFFF"/>
          <w:vertAlign w:val="superscript"/>
        </w:rPr>
        <w:footnoteReference w:id="9"/>
      </w:r>
      <w:r w:rsidRPr="007C5088">
        <w:rPr>
          <w:vertAlign w:val="superscript"/>
        </w:rPr>
        <w:footnoteReference w:id="10"/>
      </w:r>
      <w:r w:rsidRPr="007C5088">
        <w:rPr>
          <w:shd w:val="clear" w:color="auto" w:fill="FFFFFF"/>
        </w:rPr>
        <w:t xml:space="preserve"> My detailed analysis of the reasons fee-for-service is not a good payment model for Supported Employment, written back in 2014, is still very relevant today.</w:t>
      </w:r>
      <w:r w:rsidRPr="007C5088">
        <w:rPr>
          <w:shd w:val="clear" w:color="auto" w:fill="FFFFFF"/>
          <w:vertAlign w:val="superscript"/>
        </w:rPr>
        <w:footnoteReference w:id="11"/>
      </w:r>
      <w:r w:rsidRPr="007C5088">
        <w:rPr>
          <w:shd w:val="clear" w:color="auto" w:fill="FFFFFF"/>
        </w:rPr>
        <w:t xml:space="preserve"> Recognition of the profound disconnect between the best practices and quality outcomes associated with Supported Employment and what fee-for-service reimbursement incentivizes has led funders to consider new approaches. Outcome-based approaches are discussed elsewhere in this guide</w:t>
      </w:r>
      <w:r w:rsidR="0017308D">
        <w:rPr>
          <w:shd w:val="clear" w:color="auto" w:fill="FFFFFF"/>
        </w:rPr>
        <w:t>,</w:t>
      </w:r>
      <w:r w:rsidRPr="007C5088">
        <w:rPr>
          <w:shd w:val="clear" w:color="auto" w:fill="FFFFFF"/>
        </w:rPr>
        <w:t xml:space="preserve"> but some innovations done with the fee-for-service reimbursement structure are discussed here. These examples provide options for incrementally moving away from fee-for-service and supporting providers to make this change successfully.</w:t>
      </w:r>
    </w:p>
    <w:p w14:paraId="1811700A" w14:textId="77777777" w:rsidR="004D4C63" w:rsidRPr="006A2BD9" w:rsidRDefault="004D4C63" w:rsidP="00B11115">
      <w:pPr>
        <w:pStyle w:val="Heading2"/>
      </w:pPr>
      <w:bookmarkStart w:id="24" w:name="_Toc70944177"/>
      <w:r w:rsidRPr="006A2BD9">
        <w:t>C</w:t>
      </w:r>
      <w:r w:rsidR="006346ED" w:rsidRPr="006A2BD9">
        <w:t>ase</w:t>
      </w:r>
      <w:r w:rsidRPr="006A2BD9">
        <w:t xml:space="preserve"> E</w:t>
      </w:r>
      <w:r w:rsidR="006346ED" w:rsidRPr="006A2BD9">
        <w:t>xample</w:t>
      </w:r>
      <w:r w:rsidR="008C4BED" w:rsidRPr="006A2BD9">
        <w:t xml:space="preserve">: </w:t>
      </w:r>
      <w:r w:rsidRPr="006A2BD9">
        <w:t>T</w:t>
      </w:r>
      <w:r w:rsidR="006346ED" w:rsidRPr="006A2BD9">
        <w:t>ennessee</w:t>
      </w:r>
      <w:bookmarkEnd w:id="24"/>
    </w:p>
    <w:p w14:paraId="7003DF6F" w14:textId="099AE357" w:rsidR="006829C6" w:rsidRPr="006829C6" w:rsidRDefault="006829C6" w:rsidP="00B1367E">
      <w:r w:rsidRPr="006829C6">
        <w:t xml:space="preserve">In Tennessee’s 1915c intellectual disability waivers, day and employment services </w:t>
      </w:r>
      <w:r w:rsidR="00771010">
        <w:t>were paid</w:t>
      </w:r>
      <w:r w:rsidRPr="006829C6">
        <w:t xml:space="preserve"> historically through day (per diem) rates. Six hours of service had to be provided in order for a day to be billable. The state made the day rates for Individual Supported Employment higher than all other day rates to incentivize community employment. They also set Community-Based Day Services rates higher than the rates for Facility-Based Day Services to incentivize community service provision. </w:t>
      </w:r>
    </w:p>
    <w:p w14:paraId="5F9FA12E" w14:textId="1BE6DAA7" w:rsidR="006829C6" w:rsidRPr="006829C6" w:rsidRDefault="006829C6" w:rsidP="00B1367E">
      <w:r w:rsidRPr="006829C6">
        <w:t>Providers were able to bill the day rate associated with the type of service in which the individual spent the most amount of time on a given day. For example, if an individual spent 3.25 hours in Community-Based Day Services and 2.75 hours in Facility-Based Day Services, the provider was able to bill the Community-Based Day Services rate. A similar approach was taken for Supported Employment</w:t>
      </w:r>
      <w:r w:rsidR="00771010">
        <w:t>,</w:t>
      </w:r>
      <w:r w:rsidRPr="006829C6">
        <w:t xml:space="preserve"> but with a further incentive which allowed the provider to bill the higher Supported Employment day rate if an individual spent just two of the six hours in Supported Employment. Unfortunately, in this model, six hours of service delivery was still required so fading of job coaching did not typically occur</w:t>
      </w:r>
      <w:r w:rsidR="00D71A84">
        <w:t>,</w:t>
      </w:r>
      <w:r w:rsidRPr="006829C6">
        <w:t xml:space="preserve"> and data showed that the average hours people worked stayed very close to the two-hour minimum required to bill the Supported Employment day rate</w:t>
      </w:r>
      <w:r w:rsidR="006677B7">
        <w:t xml:space="preserve">. </w:t>
      </w:r>
    </w:p>
    <w:p w14:paraId="09F7454B" w14:textId="40823182" w:rsidR="006B76E6" w:rsidRDefault="006829C6" w:rsidP="00871174">
      <w:r w:rsidRPr="006829C6">
        <w:t>Supporting people in small groups (up to 3) became the norm, whether the service was Community-Based Day Services or Supported Employment. In 2012-2013, Tennessee was serving nearly 7,000 individuals with intellectual disabilities (ID), and this is how service utilization looked:</w:t>
      </w:r>
    </w:p>
    <w:p w14:paraId="5DB22104" w14:textId="77777777" w:rsidR="006B76E6" w:rsidRDefault="006B76E6">
      <w:pPr>
        <w:spacing w:before="0" w:after="0" w:line="240" w:lineRule="auto"/>
      </w:pPr>
      <w:r>
        <w:br w:type="page"/>
      </w:r>
    </w:p>
    <w:tbl>
      <w:tblPr>
        <w:tblStyle w:val="EconSysTable"/>
        <w:tblW w:w="0" w:type="auto"/>
        <w:jc w:val="center"/>
        <w:tblInd w:w="0" w:type="dxa"/>
        <w:tblCellMar>
          <w:top w:w="0" w:type="dxa"/>
        </w:tblCellMar>
        <w:tblLook w:val="0420" w:firstRow="1" w:lastRow="0" w:firstColumn="0" w:lastColumn="0" w:noHBand="0" w:noVBand="1"/>
      </w:tblPr>
      <w:tblGrid>
        <w:gridCol w:w="4140"/>
        <w:gridCol w:w="1350"/>
      </w:tblGrid>
      <w:tr w:rsidR="000A057D" w:rsidRPr="000A057D" w14:paraId="7BC692D3" w14:textId="77777777" w:rsidTr="00A823AF">
        <w:trPr>
          <w:cnfStyle w:val="100000000000" w:firstRow="1" w:lastRow="0" w:firstColumn="0" w:lastColumn="0" w:oddVBand="0" w:evenVBand="0" w:oddHBand="0" w:evenHBand="0" w:firstRowFirstColumn="0" w:firstRowLastColumn="0" w:lastRowFirstColumn="0" w:lastRowLastColumn="0"/>
          <w:trHeight w:val="374"/>
          <w:jc w:val="center"/>
        </w:trPr>
        <w:tc>
          <w:tcPr>
            <w:tcW w:w="4140" w:type="dxa"/>
            <w:shd w:val="clear" w:color="auto" w:fill="5F497A" w:themeFill="accent4" w:themeFillShade="BF"/>
            <w:vAlign w:val="center"/>
          </w:tcPr>
          <w:p w14:paraId="0A29E28C" w14:textId="77777777" w:rsidR="000A057D" w:rsidRPr="000A057D" w:rsidRDefault="000A057D" w:rsidP="000A057D">
            <w:pPr>
              <w:spacing w:before="0" w:after="0" w:line="240" w:lineRule="auto"/>
              <w:rPr>
                <w:rFonts w:ascii="Optima" w:hAnsi="Optima"/>
                <w:bCs/>
                <w:color w:val="FFFFFF" w:themeColor="background1"/>
                <w:sz w:val="19"/>
                <w:szCs w:val="19"/>
              </w:rPr>
            </w:pPr>
            <w:r w:rsidRPr="000A057D">
              <w:rPr>
                <w:rFonts w:ascii="Optima" w:hAnsi="Optima"/>
                <w:bCs/>
                <w:color w:val="FFFFFF" w:themeColor="background1"/>
                <w:sz w:val="19"/>
                <w:szCs w:val="19"/>
              </w:rPr>
              <w:t>Service</w:t>
            </w:r>
          </w:p>
        </w:tc>
        <w:tc>
          <w:tcPr>
            <w:tcW w:w="1350" w:type="dxa"/>
            <w:shd w:val="clear" w:color="auto" w:fill="5F497A" w:themeFill="accent4" w:themeFillShade="BF"/>
            <w:vAlign w:val="center"/>
          </w:tcPr>
          <w:p w14:paraId="03E4CE2F" w14:textId="77777777" w:rsidR="000A057D" w:rsidRPr="000A057D" w:rsidRDefault="000A057D" w:rsidP="000A057D">
            <w:pPr>
              <w:spacing w:before="0" w:after="0" w:line="240" w:lineRule="auto"/>
              <w:ind w:right="-20"/>
              <w:jc w:val="center"/>
              <w:rPr>
                <w:rFonts w:ascii="Optima" w:hAnsi="Optima"/>
                <w:bCs/>
                <w:color w:val="FFFFFF" w:themeColor="background1"/>
                <w:sz w:val="19"/>
                <w:szCs w:val="19"/>
              </w:rPr>
            </w:pPr>
            <w:r w:rsidRPr="000A057D">
              <w:rPr>
                <w:rFonts w:ascii="Optima" w:hAnsi="Optima"/>
                <w:bCs/>
                <w:color w:val="FFFFFF" w:themeColor="background1"/>
                <w:sz w:val="19"/>
                <w:szCs w:val="19"/>
              </w:rPr>
              <w:t>Utilization</w:t>
            </w:r>
          </w:p>
        </w:tc>
      </w:tr>
      <w:tr w:rsidR="00A4005B" w:rsidRPr="000A057D" w14:paraId="09F1E5A8" w14:textId="77777777" w:rsidTr="00A823AF">
        <w:trPr>
          <w:cnfStyle w:val="000000100000" w:firstRow="0" w:lastRow="0" w:firstColumn="0" w:lastColumn="0" w:oddVBand="0" w:evenVBand="0" w:oddHBand="1" w:evenHBand="0" w:firstRowFirstColumn="0" w:firstRowLastColumn="0" w:lastRowFirstColumn="0" w:lastRowLastColumn="0"/>
          <w:trHeight w:val="374"/>
          <w:jc w:val="center"/>
        </w:trPr>
        <w:tc>
          <w:tcPr>
            <w:tcW w:w="4140" w:type="dxa"/>
            <w:shd w:val="clear" w:color="auto" w:fill="auto"/>
          </w:tcPr>
          <w:p w14:paraId="5EDE2D5E" w14:textId="77777777" w:rsidR="009754DA" w:rsidRPr="000A057D" w:rsidRDefault="009754DA" w:rsidP="000A057D">
            <w:pPr>
              <w:spacing w:before="0" w:after="0" w:line="240" w:lineRule="auto"/>
              <w:contextualSpacing w:val="0"/>
              <w:rPr>
                <w:rFonts w:ascii="Optima" w:hAnsi="Optima"/>
                <w:color w:val="0D0D0D" w:themeColor="text1" w:themeTint="F2"/>
                <w:sz w:val="19"/>
                <w:szCs w:val="19"/>
              </w:rPr>
            </w:pPr>
            <w:r w:rsidRPr="000A057D">
              <w:rPr>
                <w:rFonts w:ascii="Optima" w:hAnsi="Optima"/>
                <w:color w:val="0D0D0D" w:themeColor="text1" w:themeTint="F2"/>
                <w:sz w:val="19"/>
                <w:szCs w:val="19"/>
              </w:rPr>
              <w:t>Community-Based Day</w:t>
            </w:r>
          </w:p>
        </w:tc>
        <w:tc>
          <w:tcPr>
            <w:tcW w:w="1350" w:type="dxa"/>
            <w:shd w:val="clear" w:color="auto" w:fill="auto"/>
          </w:tcPr>
          <w:p w14:paraId="0C7F47CB" w14:textId="77777777" w:rsidR="009754DA" w:rsidRPr="000A057D" w:rsidRDefault="009754DA" w:rsidP="004904BF">
            <w:pPr>
              <w:spacing w:before="0" w:after="0" w:line="240" w:lineRule="auto"/>
              <w:ind w:left="-30" w:right="120"/>
              <w:contextualSpacing w:val="0"/>
              <w:jc w:val="right"/>
              <w:rPr>
                <w:rFonts w:ascii="Optima" w:hAnsi="Optima"/>
                <w:color w:val="0D0D0D" w:themeColor="text1" w:themeTint="F2"/>
                <w:sz w:val="19"/>
                <w:szCs w:val="19"/>
              </w:rPr>
            </w:pPr>
            <w:r w:rsidRPr="000A057D">
              <w:rPr>
                <w:rFonts w:ascii="Optima" w:hAnsi="Optima"/>
                <w:color w:val="0D0D0D" w:themeColor="text1" w:themeTint="F2"/>
                <w:sz w:val="19"/>
                <w:szCs w:val="19"/>
              </w:rPr>
              <w:t>89.6%</w:t>
            </w:r>
          </w:p>
        </w:tc>
      </w:tr>
      <w:tr w:rsidR="00A4005B" w:rsidRPr="00F55C2E" w14:paraId="76AF3A57" w14:textId="77777777" w:rsidTr="00A823AF">
        <w:trPr>
          <w:cnfStyle w:val="000000010000" w:firstRow="0" w:lastRow="0" w:firstColumn="0" w:lastColumn="0" w:oddVBand="0" w:evenVBand="0" w:oddHBand="0" w:evenHBand="1" w:firstRowFirstColumn="0" w:firstRowLastColumn="0" w:lastRowFirstColumn="0" w:lastRowLastColumn="0"/>
          <w:trHeight w:val="374"/>
          <w:jc w:val="center"/>
        </w:trPr>
        <w:tc>
          <w:tcPr>
            <w:tcW w:w="4140" w:type="dxa"/>
            <w:shd w:val="clear" w:color="auto" w:fill="E5DFEC" w:themeFill="accent4" w:themeFillTint="33"/>
          </w:tcPr>
          <w:p w14:paraId="20040645" w14:textId="77777777" w:rsidR="009754DA" w:rsidRPr="00F55C2E" w:rsidRDefault="009754DA" w:rsidP="000A057D">
            <w:pPr>
              <w:spacing w:before="0" w:after="0" w:line="240" w:lineRule="auto"/>
              <w:contextualSpacing w:val="0"/>
              <w:rPr>
                <w:rFonts w:ascii="Optima" w:hAnsi="Optima"/>
                <w:bCs/>
                <w:color w:val="0D0D0D" w:themeColor="text1" w:themeTint="F2"/>
                <w:sz w:val="19"/>
                <w:szCs w:val="19"/>
              </w:rPr>
            </w:pPr>
            <w:r w:rsidRPr="00F55C2E">
              <w:rPr>
                <w:rFonts w:ascii="Optima" w:hAnsi="Optima"/>
                <w:bCs/>
                <w:color w:val="0D0D0D" w:themeColor="text1" w:themeTint="F2"/>
                <w:sz w:val="19"/>
                <w:szCs w:val="19"/>
              </w:rPr>
              <w:t>Facility-Based Day</w:t>
            </w:r>
          </w:p>
        </w:tc>
        <w:tc>
          <w:tcPr>
            <w:tcW w:w="1350" w:type="dxa"/>
            <w:shd w:val="clear" w:color="auto" w:fill="E5DFEC" w:themeFill="accent4" w:themeFillTint="33"/>
          </w:tcPr>
          <w:p w14:paraId="55714D4C" w14:textId="77777777" w:rsidR="009754DA" w:rsidRPr="00F55C2E" w:rsidRDefault="009754DA" w:rsidP="004904BF">
            <w:pPr>
              <w:spacing w:before="0" w:after="0" w:line="240" w:lineRule="auto"/>
              <w:ind w:left="-30" w:right="120"/>
              <w:contextualSpacing w:val="0"/>
              <w:jc w:val="right"/>
              <w:rPr>
                <w:rFonts w:ascii="Optima" w:hAnsi="Optima"/>
                <w:bCs/>
                <w:color w:val="0D0D0D" w:themeColor="text1" w:themeTint="F2"/>
                <w:sz w:val="19"/>
                <w:szCs w:val="19"/>
              </w:rPr>
            </w:pPr>
            <w:r w:rsidRPr="00F55C2E">
              <w:rPr>
                <w:rFonts w:ascii="Optima" w:hAnsi="Optima"/>
                <w:bCs/>
                <w:color w:val="0D0D0D" w:themeColor="text1" w:themeTint="F2"/>
                <w:sz w:val="19"/>
                <w:szCs w:val="19"/>
              </w:rPr>
              <w:t>50.0%</w:t>
            </w:r>
          </w:p>
        </w:tc>
      </w:tr>
      <w:tr w:rsidR="00A4005B" w:rsidRPr="00F55C2E" w14:paraId="7A722E21" w14:textId="77777777" w:rsidTr="00A823AF">
        <w:trPr>
          <w:cnfStyle w:val="000000100000" w:firstRow="0" w:lastRow="0" w:firstColumn="0" w:lastColumn="0" w:oddVBand="0" w:evenVBand="0" w:oddHBand="1" w:evenHBand="0" w:firstRowFirstColumn="0" w:firstRowLastColumn="0" w:lastRowFirstColumn="0" w:lastRowLastColumn="0"/>
          <w:trHeight w:val="374"/>
          <w:jc w:val="center"/>
        </w:trPr>
        <w:tc>
          <w:tcPr>
            <w:tcW w:w="4140" w:type="dxa"/>
            <w:shd w:val="clear" w:color="auto" w:fill="auto"/>
          </w:tcPr>
          <w:p w14:paraId="3B5E24BA" w14:textId="77777777" w:rsidR="009754DA" w:rsidRPr="00F55C2E" w:rsidRDefault="009754DA" w:rsidP="000A057D">
            <w:pPr>
              <w:spacing w:before="0" w:after="0" w:line="240" w:lineRule="auto"/>
              <w:contextualSpacing w:val="0"/>
              <w:rPr>
                <w:rFonts w:ascii="Optima" w:hAnsi="Optima"/>
                <w:bCs/>
                <w:color w:val="0D0D0D" w:themeColor="text1" w:themeTint="F2"/>
                <w:sz w:val="19"/>
                <w:szCs w:val="19"/>
              </w:rPr>
            </w:pPr>
            <w:r w:rsidRPr="00F55C2E">
              <w:rPr>
                <w:rFonts w:ascii="Optima" w:hAnsi="Optima"/>
                <w:bCs/>
                <w:color w:val="0D0D0D" w:themeColor="text1" w:themeTint="F2"/>
                <w:sz w:val="19"/>
                <w:szCs w:val="19"/>
              </w:rPr>
              <w:t>Individual Supported Employment (1-3 ppl)</w:t>
            </w:r>
          </w:p>
        </w:tc>
        <w:tc>
          <w:tcPr>
            <w:tcW w:w="1350" w:type="dxa"/>
            <w:shd w:val="clear" w:color="auto" w:fill="auto"/>
          </w:tcPr>
          <w:p w14:paraId="25B3B6A2" w14:textId="77777777" w:rsidR="009754DA" w:rsidRPr="00F55C2E" w:rsidRDefault="0024600B" w:rsidP="004904BF">
            <w:pPr>
              <w:spacing w:before="0" w:after="0" w:line="240" w:lineRule="auto"/>
              <w:ind w:left="-30" w:right="120"/>
              <w:contextualSpacing w:val="0"/>
              <w:jc w:val="right"/>
              <w:rPr>
                <w:rFonts w:ascii="Optima" w:hAnsi="Optima"/>
                <w:bCs/>
                <w:color w:val="0D0D0D" w:themeColor="text1" w:themeTint="F2"/>
                <w:sz w:val="19"/>
                <w:szCs w:val="19"/>
              </w:rPr>
            </w:pPr>
            <w:r w:rsidRPr="00F55C2E">
              <w:rPr>
                <w:rFonts w:ascii="Optima" w:hAnsi="Optima"/>
                <w:bCs/>
                <w:color w:val="0D0D0D" w:themeColor="text1" w:themeTint="F2"/>
                <w:sz w:val="19"/>
                <w:szCs w:val="19"/>
              </w:rPr>
              <w:t>16.0%</w:t>
            </w:r>
          </w:p>
        </w:tc>
      </w:tr>
      <w:tr w:rsidR="00A4005B" w:rsidRPr="00F55C2E" w14:paraId="1A67601E" w14:textId="77777777" w:rsidTr="00A823AF">
        <w:trPr>
          <w:cnfStyle w:val="000000010000" w:firstRow="0" w:lastRow="0" w:firstColumn="0" w:lastColumn="0" w:oddVBand="0" w:evenVBand="0" w:oddHBand="0" w:evenHBand="1" w:firstRowFirstColumn="0" w:firstRowLastColumn="0" w:lastRowFirstColumn="0" w:lastRowLastColumn="0"/>
          <w:trHeight w:val="374"/>
          <w:jc w:val="center"/>
        </w:trPr>
        <w:tc>
          <w:tcPr>
            <w:tcW w:w="4140" w:type="dxa"/>
            <w:shd w:val="clear" w:color="auto" w:fill="E5DFEC" w:themeFill="accent4" w:themeFillTint="33"/>
          </w:tcPr>
          <w:p w14:paraId="09609A8F" w14:textId="77777777" w:rsidR="009754DA" w:rsidRPr="00F55C2E" w:rsidRDefault="009754DA" w:rsidP="000A057D">
            <w:pPr>
              <w:spacing w:before="0" w:after="0" w:line="240" w:lineRule="auto"/>
              <w:contextualSpacing w:val="0"/>
              <w:rPr>
                <w:rFonts w:ascii="Optima" w:hAnsi="Optima"/>
                <w:bCs/>
                <w:color w:val="0D0D0D" w:themeColor="text1" w:themeTint="F2"/>
                <w:sz w:val="19"/>
                <w:szCs w:val="19"/>
              </w:rPr>
            </w:pPr>
            <w:r w:rsidRPr="00F55C2E">
              <w:rPr>
                <w:rFonts w:ascii="Optima" w:hAnsi="Optima"/>
                <w:bCs/>
                <w:color w:val="0D0D0D" w:themeColor="text1" w:themeTint="F2"/>
                <w:sz w:val="19"/>
                <w:szCs w:val="19"/>
              </w:rPr>
              <w:t>Supported Employment Small Group (4+ ppl)</w:t>
            </w:r>
          </w:p>
        </w:tc>
        <w:tc>
          <w:tcPr>
            <w:tcW w:w="1350" w:type="dxa"/>
            <w:shd w:val="clear" w:color="auto" w:fill="E5DFEC" w:themeFill="accent4" w:themeFillTint="33"/>
          </w:tcPr>
          <w:p w14:paraId="5A160915" w14:textId="77777777" w:rsidR="009754DA" w:rsidRPr="00F55C2E" w:rsidRDefault="009754DA" w:rsidP="004904BF">
            <w:pPr>
              <w:spacing w:before="0" w:after="0" w:line="240" w:lineRule="auto"/>
              <w:ind w:left="-30" w:right="120"/>
              <w:contextualSpacing w:val="0"/>
              <w:jc w:val="right"/>
              <w:rPr>
                <w:rFonts w:ascii="Optima" w:hAnsi="Optima"/>
                <w:bCs/>
                <w:color w:val="0D0D0D" w:themeColor="text1" w:themeTint="F2"/>
                <w:sz w:val="19"/>
                <w:szCs w:val="19"/>
              </w:rPr>
            </w:pPr>
            <w:r w:rsidRPr="00F55C2E">
              <w:rPr>
                <w:rFonts w:ascii="Optima" w:hAnsi="Optima"/>
                <w:bCs/>
                <w:color w:val="0D0D0D" w:themeColor="text1" w:themeTint="F2"/>
                <w:sz w:val="19"/>
                <w:szCs w:val="19"/>
              </w:rPr>
              <w:t>3.0%</w:t>
            </w:r>
          </w:p>
        </w:tc>
      </w:tr>
    </w:tbl>
    <w:p w14:paraId="0ADF318C" w14:textId="77777777" w:rsidR="0003304B" w:rsidRPr="00043C33" w:rsidRDefault="0003304B" w:rsidP="000A057D">
      <w:pPr>
        <w:pStyle w:val="EndnoteText"/>
        <w:spacing w:after="0"/>
        <w:jc w:val="center"/>
      </w:pPr>
      <w:r>
        <w:t>Note: Individuals receiving multiple services are counted twice in these percentages.</w:t>
      </w:r>
    </w:p>
    <w:p w14:paraId="2F7C88C0" w14:textId="77777777" w:rsidR="00FE36F4" w:rsidRDefault="00FE36F4" w:rsidP="002476FD">
      <w:pPr>
        <w:pStyle w:val="NoSpacing"/>
      </w:pPr>
    </w:p>
    <w:p w14:paraId="5796ECC3" w14:textId="372A2FBF" w:rsidR="00C82EBE" w:rsidRDefault="004D4C63" w:rsidP="0038269A">
      <w:pPr>
        <w:spacing w:before="60" w:after="60"/>
      </w:pPr>
      <w:r w:rsidRPr="00CD3FA8">
        <w:t>With over $103 million being spent annually on employment and day services for people with ID, the balance of investment looked like this in 2012-2013:</w:t>
      </w:r>
    </w:p>
    <w:p w14:paraId="6876730C" w14:textId="77777777" w:rsidR="0068617A" w:rsidRPr="00CD3FA8" w:rsidRDefault="0068617A" w:rsidP="00757DA4">
      <w:pPr>
        <w:pStyle w:val="NoSpacing"/>
      </w:pPr>
    </w:p>
    <w:tbl>
      <w:tblPr>
        <w:tblStyle w:val="EconSysTable"/>
        <w:tblW w:w="0" w:type="auto"/>
        <w:jc w:val="center"/>
        <w:tblInd w:w="0" w:type="dxa"/>
        <w:tblCellMar>
          <w:top w:w="0" w:type="dxa"/>
        </w:tblCellMar>
        <w:tblLook w:val="0420" w:firstRow="1" w:lastRow="0" w:firstColumn="0" w:lastColumn="0" w:noHBand="0" w:noVBand="1"/>
      </w:tblPr>
      <w:tblGrid>
        <w:gridCol w:w="3240"/>
        <w:gridCol w:w="2250"/>
      </w:tblGrid>
      <w:tr w:rsidR="000A057D" w:rsidRPr="000A057D" w14:paraId="3615F60D" w14:textId="77777777" w:rsidTr="00A823AF">
        <w:trPr>
          <w:cnfStyle w:val="100000000000" w:firstRow="1" w:lastRow="0" w:firstColumn="0" w:lastColumn="0" w:oddVBand="0" w:evenVBand="0" w:oddHBand="0" w:evenHBand="0" w:firstRowFirstColumn="0" w:firstRowLastColumn="0" w:lastRowFirstColumn="0" w:lastRowLastColumn="0"/>
          <w:trHeight w:val="374"/>
          <w:jc w:val="center"/>
        </w:trPr>
        <w:tc>
          <w:tcPr>
            <w:tcW w:w="3240" w:type="dxa"/>
            <w:shd w:val="clear" w:color="auto" w:fill="5F497A" w:themeFill="accent4" w:themeFillShade="BF"/>
            <w:vAlign w:val="center"/>
          </w:tcPr>
          <w:p w14:paraId="5E8E1519" w14:textId="77777777" w:rsidR="000A057D" w:rsidRPr="000A057D" w:rsidRDefault="000A057D" w:rsidP="000A057D">
            <w:pPr>
              <w:spacing w:before="0" w:after="0" w:line="240" w:lineRule="auto"/>
              <w:ind w:right="-30"/>
              <w:rPr>
                <w:rFonts w:ascii="Optima" w:hAnsi="Optima"/>
                <w:bCs/>
                <w:color w:val="FFFFFF" w:themeColor="background1"/>
                <w:sz w:val="19"/>
                <w:szCs w:val="19"/>
              </w:rPr>
            </w:pPr>
            <w:r w:rsidRPr="000A057D">
              <w:rPr>
                <w:rFonts w:ascii="Optima" w:hAnsi="Optima"/>
                <w:bCs/>
                <w:color w:val="FFFFFF" w:themeColor="background1"/>
                <w:sz w:val="19"/>
                <w:szCs w:val="19"/>
              </w:rPr>
              <w:t>Service</w:t>
            </w:r>
          </w:p>
        </w:tc>
        <w:tc>
          <w:tcPr>
            <w:tcW w:w="2250" w:type="dxa"/>
            <w:shd w:val="clear" w:color="auto" w:fill="5F497A" w:themeFill="accent4" w:themeFillShade="BF"/>
            <w:vAlign w:val="center"/>
          </w:tcPr>
          <w:p w14:paraId="0BCC423E" w14:textId="66445992" w:rsidR="000A057D" w:rsidRPr="000A057D" w:rsidRDefault="000E4706" w:rsidP="004904BF">
            <w:pPr>
              <w:spacing w:before="0" w:after="0" w:line="240" w:lineRule="auto"/>
              <w:ind w:left="-30"/>
              <w:jc w:val="right"/>
              <w:rPr>
                <w:rFonts w:ascii="Optima" w:hAnsi="Optima"/>
                <w:bCs/>
                <w:color w:val="FFFFFF" w:themeColor="background1"/>
                <w:sz w:val="19"/>
                <w:szCs w:val="19"/>
              </w:rPr>
            </w:pPr>
            <w:r w:rsidRPr="000E4706">
              <w:rPr>
                <w:rFonts w:ascii="Optima" w:hAnsi="Optima"/>
                <w:bCs/>
                <w:color w:val="FFFFFF" w:themeColor="background1"/>
                <w:sz w:val="19"/>
                <w:szCs w:val="19"/>
              </w:rPr>
              <w:t>Balance of Investment</w:t>
            </w:r>
          </w:p>
        </w:tc>
      </w:tr>
      <w:tr w:rsidR="000A057D" w:rsidRPr="004904BF" w14:paraId="42CB30F6" w14:textId="77777777" w:rsidTr="00A823AF">
        <w:trPr>
          <w:cnfStyle w:val="000000100000" w:firstRow="0" w:lastRow="0" w:firstColumn="0" w:lastColumn="0" w:oddVBand="0" w:evenVBand="0" w:oddHBand="1" w:evenHBand="0" w:firstRowFirstColumn="0" w:firstRowLastColumn="0" w:lastRowFirstColumn="0" w:lastRowLastColumn="0"/>
          <w:trHeight w:val="374"/>
          <w:jc w:val="center"/>
        </w:trPr>
        <w:tc>
          <w:tcPr>
            <w:tcW w:w="3240" w:type="dxa"/>
            <w:shd w:val="clear" w:color="auto" w:fill="auto"/>
          </w:tcPr>
          <w:p w14:paraId="5405EBD3" w14:textId="77777777" w:rsidR="00C82EBE" w:rsidRPr="004904BF" w:rsidRDefault="00C82EBE" w:rsidP="000A057D">
            <w:pPr>
              <w:spacing w:before="0" w:after="0" w:line="240" w:lineRule="auto"/>
              <w:ind w:right="-30"/>
              <w:contextualSpacing w:val="0"/>
              <w:rPr>
                <w:rFonts w:ascii="Optima" w:hAnsi="Optima"/>
                <w:color w:val="0D0D0D" w:themeColor="text1" w:themeTint="F2"/>
                <w:sz w:val="19"/>
                <w:szCs w:val="19"/>
              </w:rPr>
            </w:pPr>
            <w:r w:rsidRPr="004904BF">
              <w:rPr>
                <w:rFonts w:ascii="Optima" w:hAnsi="Optima"/>
                <w:color w:val="0D0D0D" w:themeColor="text1" w:themeTint="F2"/>
                <w:sz w:val="19"/>
                <w:szCs w:val="19"/>
              </w:rPr>
              <w:t xml:space="preserve">Community-Based </w:t>
            </w:r>
            <w:r w:rsidR="00E97F33" w:rsidRPr="004904BF">
              <w:rPr>
                <w:rFonts w:ascii="Optima" w:hAnsi="Optima"/>
                <w:color w:val="0D0D0D" w:themeColor="text1" w:themeTint="F2"/>
                <w:sz w:val="19"/>
                <w:szCs w:val="19"/>
              </w:rPr>
              <w:t>Non-Work</w:t>
            </w:r>
          </w:p>
        </w:tc>
        <w:tc>
          <w:tcPr>
            <w:tcW w:w="2250" w:type="dxa"/>
            <w:shd w:val="clear" w:color="auto" w:fill="auto"/>
          </w:tcPr>
          <w:p w14:paraId="0234E894" w14:textId="77777777" w:rsidR="00C82EBE" w:rsidRPr="004904BF" w:rsidRDefault="00E97F33" w:rsidP="000A057D">
            <w:pPr>
              <w:spacing w:before="0" w:after="0" w:line="240" w:lineRule="auto"/>
              <w:ind w:left="-30"/>
              <w:contextualSpacing w:val="0"/>
              <w:jc w:val="right"/>
              <w:rPr>
                <w:rFonts w:ascii="Optima" w:hAnsi="Optima"/>
                <w:color w:val="0D0D0D" w:themeColor="text1" w:themeTint="F2"/>
                <w:sz w:val="19"/>
                <w:szCs w:val="19"/>
              </w:rPr>
            </w:pPr>
            <w:r w:rsidRPr="004904BF">
              <w:rPr>
                <w:rFonts w:ascii="Optima" w:hAnsi="Optima"/>
                <w:color w:val="0D0D0D" w:themeColor="text1" w:themeTint="F2"/>
                <w:sz w:val="19"/>
                <w:szCs w:val="19"/>
              </w:rPr>
              <w:t>65.4</w:t>
            </w:r>
            <w:r w:rsidR="00C82EBE" w:rsidRPr="004904BF">
              <w:rPr>
                <w:rFonts w:ascii="Optima" w:hAnsi="Optima"/>
                <w:color w:val="0D0D0D" w:themeColor="text1" w:themeTint="F2"/>
                <w:sz w:val="19"/>
                <w:szCs w:val="19"/>
              </w:rPr>
              <w:t>%</w:t>
            </w:r>
            <w:r w:rsidRPr="004904BF">
              <w:rPr>
                <w:rFonts w:ascii="Optima" w:hAnsi="Optima"/>
                <w:color w:val="0D0D0D" w:themeColor="text1" w:themeTint="F2"/>
                <w:sz w:val="19"/>
                <w:szCs w:val="19"/>
              </w:rPr>
              <w:t xml:space="preserve"> of total funding</w:t>
            </w:r>
          </w:p>
        </w:tc>
      </w:tr>
      <w:tr w:rsidR="000A057D" w:rsidRPr="00F55C2E" w14:paraId="199E36FF" w14:textId="77777777" w:rsidTr="00A823AF">
        <w:trPr>
          <w:cnfStyle w:val="000000010000" w:firstRow="0" w:lastRow="0" w:firstColumn="0" w:lastColumn="0" w:oddVBand="0" w:evenVBand="0" w:oddHBand="0" w:evenHBand="1" w:firstRowFirstColumn="0" w:firstRowLastColumn="0" w:lastRowFirstColumn="0" w:lastRowLastColumn="0"/>
          <w:trHeight w:val="374"/>
          <w:jc w:val="center"/>
        </w:trPr>
        <w:tc>
          <w:tcPr>
            <w:tcW w:w="3240" w:type="dxa"/>
            <w:shd w:val="clear" w:color="auto" w:fill="E5DFEC" w:themeFill="accent4" w:themeFillTint="33"/>
          </w:tcPr>
          <w:p w14:paraId="082213E1" w14:textId="77777777" w:rsidR="00C82EBE" w:rsidRPr="00F55C2E" w:rsidRDefault="00C82EBE" w:rsidP="000A057D">
            <w:pPr>
              <w:spacing w:before="0" w:after="0" w:line="240" w:lineRule="auto"/>
              <w:ind w:right="-30"/>
              <w:contextualSpacing w:val="0"/>
              <w:rPr>
                <w:rFonts w:ascii="Optima" w:hAnsi="Optima"/>
                <w:bCs/>
                <w:color w:val="0D0D0D" w:themeColor="text1" w:themeTint="F2"/>
                <w:sz w:val="19"/>
                <w:szCs w:val="19"/>
              </w:rPr>
            </w:pPr>
            <w:r w:rsidRPr="00F55C2E">
              <w:rPr>
                <w:rFonts w:ascii="Optima" w:hAnsi="Optima"/>
                <w:bCs/>
                <w:color w:val="0D0D0D" w:themeColor="text1" w:themeTint="F2"/>
                <w:sz w:val="19"/>
                <w:szCs w:val="19"/>
              </w:rPr>
              <w:t xml:space="preserve">Facility-Based </w:t>
            </w:r>
            <w:r w:rsidR="00E97F33" w:rsidRPr="00F55C2E">
              <w:rPr>
                <w:rFonts w:ascii="Optima" w:hAnsi="Optima"/>
                <w:bCs/>
                <w:color w:val="0D0D0D" w:themeColor="text1" w:themeTint="F2"/>
                <w:sz w:val="19"/>
                <w:szCs w:val="19"/>
              </w:rPr>
              <w:t>Work &amp; Non-Work</w:t>
            </w:r>
          </w:p>
        </w:tc>
        <w:tc>
          <w:tcPr>
            <w:tcW w:w="2250" w:type="dxa"/>
            <w:shd w:val="clear" w:color="auto" w:fill="E5DFEC" w:themeFill="accent4" w:themeFillTint="33"/>
          </w:tcPr>
          <w:p w14:paraId="1E61664C" w14:textId="77777777" w:rsidR="00C82EBE" w:rsidRPr="00F55C2E" w:rsidRDefault="00E97F33" w:rsidP="000A057D">
            <w:pPr>
              <w:spacing w:before="0" w:after="0" w:line="240" w:lineRule="auto"/>
              <w:ind w:left="-30"/>
              <w:contextualSpacing w:val="0"/>
              <w:jc w:val="right"/>
              <w:rPr>
                <w:rFonts w:ascii="Optima" w:hAnsi="Optima"/>
                <w:bCs/>
                <w:color w:val="0D0D0D" w:themeColor="text1" w:themeTint="F2"/>
                <w:sz w:val="19"/>
                <w:szCs w:val="19"/>
              </w:rPr>
            </w:pPr>
            <w:r w:rsidRPr="00F55C2E">
              <w:rPr>
                <w:rFonts w:ascii="Optima" w:hAnsi="Optima"/>
                <w:bCs/>
                <w:color w:val="0D0D0D" w:themeColor="text1" w:themeTint="F2"/>
                <w:sz w:val="19"/>
                <w:szCs w:val="19"/>
              </w:rPr>
              <w:t>23.4</w:t>
            </w:r>
            <w:r w:rsidR="00C82EBE" w:rsidRPr="00F55C2E">
              <w:rPr>
                <w:rFonts w:ascii="Optima" w:hAnsi="Optima"/>
                <w:bCs/>
                <w:color w:val="0D0D0D" w:themeColor="text1" w:themeTint="F2"/>
                <w:sz w:val="19"/>
                <w:szCs w:val="19"/>
              </w:rPr>
              <w:t>%</w:t>
            </w:r>
            <w:r w:rsidR="00DE4577" w:rsidRPr="00F55C2E">
              <w:rPr>
                <w:rFonts w:ascii="Optima" w:hAnsi="Optima"/>
                <w:bCs/>
                <w:color w:val="0D0D0D" w:themeColor="text1" w:themeTint="F2"/>
                <w:sz w:val="19"/>
                <w:szCs w:val="19"/>
              </w:rPr>
              <w:t xml:space="preserve"> of total funding</w:t>
            </w:r>
          </w:p>
        </w:tc>
      </w:tr>
      <w:tr w:rsidR="000A057D" w:rsidRPr="00F55C2E" w14:paraId="109E057F" w14:textId="77777777" w:rsidTr="00A823AF">
        <w:trPr>
          <w:cnfStyle w:val="000000100000" w:firstRow="0" w:lastRow="0" w:firstColumn="0" w:lastColumn="0" w:oddVBand="0" w:evenVBand="0" w:oddHBand="1" w:evenHBand="0" w:firstRowFirstColumn="0" w:firstRowLastColumn="0" w:lastRowFirstColumn="0" w:lastRowLastColumn="0"/>
          <w:trHeight w:val="374"/>
          <w:jc w:val="center"/>
        </w:trPr>
        <w:tc>
          <w:tcPr>
            <w:tcW w:w="3240" w:type="dxa"/>
            <w:shd w:val="clear" w:color="auto" w:fill="auto"/>
          </w:tcPr>
          <w:p w14:paraId="65B08FC1" w14:textId="77777777" w:rsidR="00C82EBE" w:rsidRPr="00F55C2E" w:rsidRDefault="00C82EBE" w:rsidP="000A057D">
            <w:pPr>
              <w:spacing w:before="0" w:after="0" w:line="240" w:lineRule="auto"/>
              <w:ind w:right="-30"/>
              <w:contextualSpacing w:val="0"/>
              <w:rPr>
                <w:rFonts w:ascii="Optima" w:hAnsi="Optima"/>
                <w:bCs/>
                <w:color w:val="0D0D0D" w:themeColor="text1" w:themeTint="F2"/>
                <w:sz w:val="19"/>
                <w:szCs w:val="19"/>
              </w:rPr>
            </w:pPr>
            <w:r w:rsidRPr="00F55C2E">
              <w:rPr>
                <w:rFonts w:ascii="Optima" w:hAnsi="Optima"/>
                <w:bCs/>
                <w:color w:val="0D0D0D" w:themeColor="text1" w:themeTint="F2"/>
                <w:sz w:val="19"/>
                <w:szCs w:val="19"/>
              </w:rPr>
              <w:t>Individual Supported Employment</w:t>
            </w:r>
          </w:p>
        </w:tc>
        <w:tc>
          <w:tcPr>
            <w:tcW w:w="2250" w:type="dxa"/>
            <w:shd w:val="clear" w:color="auto" w:fill="auto"/>
          </w:tcPr>
          <w:p w14:paraId="4187C504" w14:textId="77777777" w:rsidR="00C82EBE" w:rsidRPr="00F55C2E" w:rsidRDefault="00C82EBE" w:rsidP="000A057D">
            <w:pPr>
              <w:spacing w:before="0" w:after="0" w:line="240" w:lineRule="auto"/>
              <w:ind w:left="-30"/>
              <w:contextualSpacing w:val="0"/>
              <w:jc w:val="right"/>
              <w:rPr>
                <w:rFonts w:ascii="Optima" w:hAnsi="Optima"/>
                <w:bCs/>
                <w:color w:val="0D0D0D" w:themeColor="text1" w:themeTint="F2"/>
                <w:sz w:val="19"/>
                <w:szCs w:val="19"/>
              </w:rPr>
            </w:pPr>
            <w:r w:rsidRPr="00F55C2E">
              <w:rPr>
                <w:rFonts w:ascii="Optima" w:hAnsi="Optima"/>
                <w:bCs/>
                <w:color w:val="0D0D0D" w:themeColor="text1" w:themeTint="F2"/>
                <w:sz w:val="19"/>
                <w:szCs w:val="19"/>
              </w:rPr>
              <w:t>1</w:t>
            </w:r>
            <w:r w:rsidR="00E97F33" w:rsidRPr="00F55C2E">
              <w:rPr>
                <w:rFonts w:ascii="Optima" w:hAnsi="Optima"/>
                <w:bCs/>
                <w:color w:val="0D0D0D" w:themeColor="text1" w:themeTint="F2"/>
                <w:sz w:val="19"/>
                <w:szCs w:val="19"/>
              </w:rPr>
              <w:t>0.3</w:t>
            </w:r>
            <w:r w:rsidRPr="00F55C2E">
              <w:rPr>
                <w:rFonts w:ascii="Optima" w:hAnsi="Optima"/>
                <w:bCs/>
                <w:color w:val="0D0D0D" w:themeColor="text1" w:themeTint="F2"/>
                <w:sz w:val="19"/>
                <w:szCs w:val="19"/>
              </w:rPr>
              <w:t>%</w:t>
            </w:r>
            <w:r w:rsidR="00DE4577" w:rsidRPr="00F55C2E">
              <w:rPr>
                <w:rFonts w:ascii="Optima" w:hAnsi="Optima"/>
                <w:bCs/>
                <w:color w:val="0D0D0D" w:themeColor="text1" w:themeTint="F2"/>
                <w:sz w:val="19"/>
                <w:szCs w:val="19"/>
              </w:rPr>
              <w:t xml:space="preserve"> of total funding</w:t>
            </w:r>
          </w:p>
        </w:tc>
      </w:tr>
      <w:tr w:rsidR="000A057D" w:rsidRPr="00F55C2E" w14:paraId="5F33EC4F" w14:textId="77777777" w:rsidTr="00A823AF">
        <w:trPr>
          <w:cnfStyle w:val="000000010000" w:firstRow="0" w:lastRow="0" w:firstColumn="0" w:lastColumn="0" w:oddVBand="0" w:evenVBand="0" w:oddHBand="0" w:evenHBand="1" w:firstRowFirstColumn="0" w:firstRowLastColumn="0" w:lastRowFirstColumn="0" w:lastRowLastColumn="0"/>
          <w:trHeight w:val="374"/>
          <w:jc w:val="center"/>
        </w:trPr>
        <w:tc>
          <w:tcPr>
            <w:tcW w:w="3240" w:type="dxa"/>
            <w:shd w:val="clear" w:color="auto" w:fill="E5DFEC" w:themeFill="accent4" w:themeFillTint="33"/>
          </w:tcPr>
          <w:p w14:paraId="194580DA" w14:textId="77777777" w:rsidR="00C82EBE" w:rsidRPr="00F55C2E" w:rsidRDefault="00C82EBE" w:rsidP="000A057D">
            <w:pPr>
              <w:spacing w:before="0" w:after="0" w:line="240" w:lineRule="auto"/>
              <w:ind w:right="-30"/>
              <w:contextualSpacing w:val="0"/>
              <w:rPr>
                <w:rFonts w:ascii="Optima" w:hAnsi="Optima"/>
                <w:bCs/>
                <w:color w:val="0D0D0D" w:themeColor="text1" w:themeTint="F2"/>
                <w:sz w:val="19"/>
                <w:szCs w:val="19"/>
              </w:rPr>
            </w:pPr>
            <w:r w:rsidRPr="00F55C2E">
              <w:rPr>
                <w:rFonts w:ascii="Optima" w:hAnsi="Optima"/>
                <w:bCs/>
                <w:color w:val="0D0D0D" w:themeColor="text1" w:themeTint="F2"/>
                <w:sz w:val="19"/>
                <w:szCs w:val="19"/>
              </w:rPr>
              <w:t>Supported Employment Small Group</w:t>
            </w:r>
          </w:p>
        </w:tc>
        <w:tc>
          <w:tcPr>
            <w:tcW w:w="2250" w:type="dxa"/>
            <w:shd w:val="clear" w:color="auto" w:fill="E5DFEC" w:themeFill="accent4" w:themeFillTint="33"/>
          </w:tcPr>
          <w:p w14:paraId="1A6CE904" w14:textId="77777777" w:rsidR="00C82EBE" w:rsidRPr="00F55C2E" w:rsidRDefault="00E97F33" w:rsidP="000A057D">
            <w:pPr>
              <w:spacing w:before="0" w:after="0" w:line="240" w:lineRule="auto"/>
              <w:ind w:left="-30"/>
              <w:contextualSpacing w:val="0"/>
              <w:jc w:val="right"/>
              <w:rPr>
                <w:rFonts w:ascii="Optima" w:hAnsi="Optima"/>
                <w:bCs/>
                <w:color w:val="0D0D0D" w:themeColor="text1" w:themeTint="F2"/>
                <w:sz w:val="19"/>
                <w:szCs w:val="19"/>
              </w:rPr>
            </w:pPr>
            <w:r w:rsidRPr="00F55C2E">
              <w:rPr>
                <w:rFonts w:ascii="Optima" w:hAnsi="Optima"/>
                <w:bCs/>
                <w:color w:val="0D0D0D" w:themeColor="text1" w:themeTint="F2"/>
                <w:sz w:val="19"/>
                <w:szCs w:val="19"/>
              </w:rPr>
              <w:t>0.8</w:t>
            </w:r>
            <w:r w:rsidR="00C82EBE" w:rsidRPr="00F55C2E">
              <w:rPr>
                <w:rFonts w:ascii="Optima" w:hAnsi="Optima"/>
                <w:bCs/>
                <w:color w:val="0D0D0D" w:themeColor="text1" w:themeTint="F2"/>
                <w:sz w:val="19"/>
                <w:szCs w:val="19"/>
              </w:rPr>
              <w:t>%</w:t>
            </w:r>
            <w:r w:rsidR="00DE4577" w:rsidRPr="00F55C2E">
              <w:rPr>
                <w:rFonts w:ascii="Optima" w:hAnsi="Optima"/>
                <w:bCs/>
                <w:color w:val="0D0D0D" w:themeColor="text1" w:themeTint="F2"/>
                <w:sz w:val="19"/>
                <w:szCs w:val="19"/>
              </w:rPr>
              <w:t xml:space="preserve"> of total funding</w:t>
            </w:r>
          </w:p>
        </w:tc>
      </w:tr>
    </w:tbl>
    <w:p w14:paraId="65FD72D5" w14:textId="77777777" w:rsidR="001C76E7" w:rsidRDefault="001C76E7" w:rsidP="001E5946">
      <w:pPr>
        <w:pStyle w:val="NoSpacing"/>
      </w:pPr>
    </w:p>
    <w:p w14:paraId="472B30F1" w14:textId="207B421B" w:rsidR="00B418DC" w:rsidRPr="00B418DC" w:rsidRDefault="00B418DC" w:rsidP="00B1367E">
      <w:r w:rsidRPr="00B418DC">
        <w:t>In-Home Day Services were then added to the waiver. The utilization for this service was higher than expected. Despite the intent to limit In-Home Day Services to people with a unique need for this, the service grew rapidly in the first years it was available while Supported Employment participation continued to remain low. The state then implemented a policy that if any portion of the six-hour billable day was in-home, the entire day could only be billed under In-Home Day Services</w:t>
      </w:r>
      <w:r w:rsidR="0037194D">
        <w:t xml:space="preserve">. </w:t>
      </w:r>
      <w:r w:rsidRPr="00B418DC">
        <w:t>Unfortunately, rather than correcting the initial over-utilization of this service that occurred, utilization continued at the same levels</w:t>
      </w:r>
      <w:r w:rsidR="00BB3EF6">
        <w:t>,</w:t>
      </w:r>
      <w:r w:rsidRPr="00B418DC">
        <w:t xml:space="preserve"> while data subsequently collected in 2017 showed that people receiving In-Home Day Services rarely left their homes for any portion of the day.</w:t>
      </w:r>
    </w:p>
    <w:p w14:paraId="5F01660A" w14:textId="2C04EBD0" w:rsidR="00B418DC" w:rsidRDefault="00B418DC" w:rsidP="00B1367E">
      <w:r w:rsidRPr="00B418DC">
        <w:t xml:space="preserve">There was minimal positive change in </w:t>
      </w:r>
      <w:r w:rsidR="00771010">
        <w:t>competitive integrated employment</w:t>
      </w:r>
      <w:r w:rsidRPr="00B418DC">
        <w:t xml:space="preserve"> numbers between 2012-2016 when the state began considering the development of an alternative funding model. As of 2015, only 14% of working-age adults enrolled in the ID waivers had a job in the community. Additionally, data collection done during 2017 affirmed the bulk of the service hours provided for days paid under the Supported Employment-Individual rate (72% of total hours) were actually not </w:t>
      </w:r>
      <w:r w:rsidR="00F655C6">
        <w:t>Supported Employment</w:t>
      </w:r>
      <w:r w:rsidRPr="00B418DC">
        <w:t xml:space="preserve"> services</w:t>
      </w:r>
      <w:r w:rsidR="0037194D">
        <w:t xml:space="preserve">. </w:t>
      </w:r>
      <w:r w:rsidRPr="00B418DC">
        <w:t>Overall, there was a recognition of the need for change in order to advance Employment First</w:t>
      </w:r>
      <w:r w:rsidR="006677B7">
        <w:t xml:space="preserve">. </w:t>
      </w:r>
    </w:p>
    <w:p w14:paraId="53B47B54" w14:textId="77777777" w:rsidR="00B418DC" w:rsidRPr="001C76E7" w:rsidRDefault="00B418DC" w:rsidP="00B1367E">
      <w:pPr>
        <w:rPr>
          <w:b/>
          <w:bCs/>
        </w:rPr>
      </w:pPr>
      <w:r w:rsidRPr="001C76E7">
        <w:rPr>
          <w:b/>
          <w:bCs/>
        </w:rPr>
        <w:t>Tennessee is implementing three key changes to facilitate an impactful change.</w:t>
      </w:r>
      <w:r w:rsidRPr="001C76E7">
        <w:rPr>
          <w:b/>
          <w:bCs/>
          <w:vertAlign w:val="superscript"/>
        </w:rPr>
        <w:footnoteReference w:id="12"/>
      </w:r>
    </w:p>
    <w:p w14:paraId="187CC878" w14:textId="3081818C" w:rsidR="004702EF" w:rsidRDefault="00B418DC" w:rsidP="0038269A">
      <w:pPr>
        <w:spacing w:after="0"/>
        <w:rPr>
          <w:b/>
          <w:bCs/>
          <w:i/>
          <w:iCs/>
        </w:rPr>
      </w:pPr>
      <w:r w:rsidRPr="00B418DC">
        <w:rPr>
          <w:b/>
          <w:i/>
        </w:rPr>
        <w:t>First, Tennessee redesigned services to transition all day rates to 15-minute unit rates.</w:t>
      </w:r>
      <w:r w:rsidRPr="00B418DC">
        <w:t xml:space="preserve"> This was done to ensure payments for services better matched actual services provided and to allow greater flexibility for waiver participants in terms of when they could receive day/employment services and how much service they received in a given day. The move to 15-minute unit rates will also allow providers to bill for services provided on days where a full six hours of service was not needed or desired by the waiver participant. </w:t>
      </w:r>
      <w:r w:rsidR="004702EF">
        <w:rPr>
          <w:b/>
          <w:bCs/>
          <w:i/>
          <w:iCs/>
        </w:rPr>
        <w:br w:type="page"/>
      </w:r>
    </w:p>
    <w:p w14:paraId="7608BCE7" w14:textId="60C8F571" w:rsidR="00B418DC" w:rsidRPr="00B418DC" w:rsidRDefault="00B418DC" w:rsidP="00B1367E">
      <w:r w:rsidRPr="001B422A">
        <w:rPr>
          <w:b/>
          <w:bCs/>
          <w:i/>
          <w:iCs/>
        </w:rPr>
        <w:t>Second, Tennessee chose not to create a flat fee-for-service 15-minute unit reimbursement rate for individual Job Coaching, even though this is typical nationally.</w:t>
      </w:r>
      <w:r w:rsidRPr="00D7744E">
        <w:rPr>
          <w:b/>
          <w:bCs/>
        </w:rPr>
        <w:t xml:space="preserve"> </w:t>
      </w:r>
      <w:r w:rsidRPr="00B418DC">
        <w:t>While there was a desire to move directly to an outcome-based reimbursement model (e.g.</w:t>
      </w:r>
      <w:r w:rsidR="00B52854">
        <w:t>,</w:t>
      </w:r>
      <w:r w:rsidRPr="00B418DC">
        <w:t xml:space="preserve"> paying for job coaching based on hours worked by the supported employee), Tennessee recognized providers were not ready for such a significant shift</w:t>
      </w:r>
      <w:r w:rsidR="00C20EA3">
        <w:t>,</w:t>
      </w:r>
      <w:r w:rsidRPr="00B418DC">
        <w:t xml:space="preserve"> and the state lacked the data necessary to build an outcome-based rate model. </w:t>
      </w:r>
      <w:r w:rsidRPr="000856A0">
        <w:rPr>
          <w:i/>
          <w:iCs/>
        </w:rPr>
        <w:t>The state recognized the first thing that it needed to do was implement a reimbursement model that encouraged and rewarded fading of job coaching supports resulting from the use of best practices.</w:t>
      </w:r>
    </w:p>
    <w:p w14:paraId="4843CEB2" w14:textId="1297D9AC" w:rsidR="00B418DC" w:rsidRPr="00B418DC" w:rsidRDefault="00B418DC" w:rsidP="00B1367E">
      <w:r w:rsidRPr="00B418DC">
        <w:t>Since historically there was an absence of emphasis regarding the best practice expectation of fading, particularly because a billable day typically required six hours of face-to-face service, Tennessee needed a reimbursement model that included incentives for fading</w:t>
      </w:r>
      <w:r w:rsidR="00771010">
        <w:t>,</w:t>
      </w:r>
      <w:r w:rsidRPr="00B418DC">
        <w:t xml:space="preserve"> but still utilized a familiar fee-for-service structure</w:t>
      </w:r>
      <w:r w:rsidR="006677B7">
        <w:t xml:space="preserve">. </w:t>
      </w:r>
      <w:r w:rsidRPr="00B418DC">
        <w:rPr>
          <w:b/>
        </w:rPr>
        <w:t>The interim model developed uses tiered fee-for-service rates for Job Coaching that essentially reimburse the provider at a higher level if more fading is achieved, and at a lower level if less fading is achieved.</w:t>
      </w:r>
    </w:p>
    <w:p w14:paraId="6C5D6857" w14:textId="64B00551" w:rsidR="00B418DC" w:rsidRPr="00B418DC" w:rsidRDefault="00B418DC" w:rsidP="00B1367E">
      <w:r w:rsidRPr="00B418DC">
        <w:t>The model is risk adjusted in two ways to ensure no c</w:t>
      </w:r>
      <w:r w:rsidR="004E51C3">
        <w:t>herry picking of easy to serve individuals</w:t>
      </w:r>
      <w:r w:rsidRPr="00B418DC">
        <w:t xml:space="preserve"> occurs</w:t>
      </w:r>
      <w:r w:rsidR="004E51C3">
        <w:t>, resulting in</w:t>
      </w:r>
      <w:r w:rsidRPr="00B418DC">
        <w:t xml:space="preserve"> waiver participant</w:t>
      </w:r>
      <w:r w:rsidR="004E51C3">
        <w:t>s with high acuity</w:t>
      </w:r>
      <w:r w:rsidRPr="00B418DC">
        <w:t xml:space="preserve"> </w:t>
      </w:r>
      <w:r w:rsidR="004E51C3">
        <w:t>being</w:t>
      </w:r>
      <w:r w:rsidRPr="00B418DC">
        <w:t xml:space="preserve"> unable to access Supported Employment job coaching. First, the model is risk adjusted based on the person’s acuity so that fading expectations are lower for people with higher acuity and vice versa. Second, the model is risk adjusted based on the length of time the person has held the job so that fading expectations are greater as the person holds the job longer and vice versa</w:t>
      </w:r>
      <w:r w:rsidR="006677B7">
        <w:t xml:space="preserve">. </w:t>
      </w:r>
    </w:p>
    <w:p w14:paraId="5678BE1A" w14:textId="616C1CB7" w:rsidR="001B5EEF" w:rsidRDefault="00B418DC" w:rsidP="001E5946">
      <w:r w:rsidRPr="00B418DC">
        <w:t>Below is a table showing the reimbursement structure. Note that acuity levels 1-3 are the lowest levels while acuity level 6 is the exception category with no fading expectations, but rather a corresponding reimbursement rate and associated staffing ratio that does not financially incentivize inappropriate use of this level. Note also that while the model expects fading to continue over time, resulting in a lower percentage of hours the person works where a job coach needs to be present, the model still allows for the possibility that fading may be less than expected</w:t>
      </w:r>
      <w:r w:rsidR="00BE39EC">
        <w:t>.</w:t>
      </w:r>
      <w:r w:rsidRPr="00B418DC">
        <w:t xml:space="preserve"> </w:t>
      </w:r>
      <w:r w:rsidR="00BE39EC">
        <w:t>This</w:t>
      </w:r>
      <w:r w:rsidR="00BE39EC" w:rsidRPr="00B418DC">
        <w:t xml:space="preserve"> </w:t>
      </w:r>
      <w:r w:rsidRPr="00B418DC">
        <w:t>gives providers a safety net</w:t>
      </w:r>
      <w:r w:rsidR="00771010">
        <w:t>,</w:t>
      </w:r>
      <w:r w:rsidRPr="00B418DC">
        <w:t xml:space="preserve"> but reimburses the provider at a rate more aligned with a personal assistance rate if the service is not resulting in the outcomes typically associated with the provision of job coaching (namely fading). </w:t>
      </w:r>
    </w:p>
    <w:p w14:paraId="0B9682E2" w14:textId="3FA83D0A" w:rsidR="00E64689" w:rsidRDefault="00E64689" w:rsidP="001E5946">
      <w:r w:rsidRPr="00B418DC">
        <w:t xml:space="preserve">This model does not have mechanisms built in that incentivize providers to assist supported employees to increase their paid work hours. </w:t>
      </w:r>
      <w:r>
        <w:t>(</w:t>
      </w:r>
      <w:r w:rsidRPr="00B418DC">
        <w:t xml:space="preserve">Outcome-based models discussed elsewhere in this guide do have this incentive </w:t>
      </w:r>
      <w:r w:rsidR="004E709F">
        <w:t xml:space="preserve">already </w:t>
      </w:r>
      <w:r w:rsidRPr="00B418DC">
        <w:t>built in.</w:t>
      </w:r>
      <w:r>
        <w:t>)</w:t>
      </w:r>
      <w:r w:rsidRPr="00B418DC">
        <w:t xml:space="preserve"> However, this model does offer a fee-for-service approach that has incentives for fading job coaching: a core principle of ensuring evidence-based practices are utilized and long-term cost-effectiveness can be assured. The model also includes a low level of ongoing support to prevent job loss, track both supported employee and employer ongoing satisfaction, and ensure income reporting to Social Security is done regularly. This “Stabilization and Monitoring” payment level has minimum monthly contact requirements but also ensures a provider is available to respond as and when needed (without the need for service reauthorization process), and there are regular efforts to ensure all parties continue to be happy with the employment situation. Experience across the country suggests it is “penny-wise and pound</w:t>
      </w:r>
      <w:r>
        <w:t>-</w:t>
      </w:r>
      <w:r w:rsidRPr="00B418DC">
        <w:t>foolish” to force fading of job coaching to zero rather than providing this highly cost-effective level of ongoing support to prevent the loss of competitive integrated employment. Re-employment after job loss is expensive, not to mention the negative impact on both the supported employee and employer, which might often be prevented if ongoing monitoring of the situation is being done by a Supported Employment provider agency.</w:t>
      </w:r>
    </w:p>
    <w:p w14:paraId="5B605145" w14:textId="1513122A" w:rsidR="00464353" w:rsidRDefault="00464353">
      <w:pPr>
        <w:spacing w:before="0" w:after="0" w:line="240" w:lineRule="auto"/>
        <w:rPr>
          <w:rFonts w:eastAsia="Times New Roman"/>
        </w:rPr>
      </w:pPr>
      <w:r>
        <w:br w:type="page"/>
      </w:r>
    </w:p>
    <w:tbl>
      <w:tblPr>
        <w:tblW w:w="9540" w:type="dxa"/>
        <w:jc w:val="center"/>
        <w:tblBorders>
          <w:bottom w:val="single" w:sz="4" w:space="0" w:color="B4C6E7"/>
          <w:insideH w:val="single" w:sz="4" w:space="0" w:color="B4C6E7"/>
          <w:insideV w:val="single" w:sz="4" w:space="0" w:color="B4C6E7"/>
        </w:tblBorders>
        <w:tblLayout w:type="fixed"/>
        <w:tblLook w:val="0420" w:firstRow="1" w:lastRow="0" w:firstColumn="0" w:lastColumn="0" w:noHBand="0" w:noVBand="1"/>
        <w:tblCaption w:val="Reimbursement Structure"/>
        <w:tblDescription w:val="Below is a table showing the reimbursement structure"/>
      </w:tblPr>
      <w:tblGrid>
        <w:gridCol w:w="1350"/>
        <w:gridCol w:w="1370"/>
        <w:gridCol w:w="1170"/>
        <w:gridCol w:w="1350"/>
        <w:gridCol w:w="1260"/>
        <w:gridCol w:w="1350"/>
        <w:gridCol w:w="1690"/>
      </w:tblGrid>
      <w:tr w:rsidR="00E41AB4" w:rsidRPr="001F42AB" w14:paraId="4C60D097" w14:textId="77777777" w:rsidTr="00AE07EF">
        <w:trPr>
          <w:trHeight w:val="530"/>
          <w:tblHeader/>
          <w:jc w:val="center"/>
        </w:trPr>
        <w:tc>
          <w:tcPr>
            <w:tcW w:w="1350" w:type="dxa"/>
            <w:tcBorders>
              <w:top w:val="nil"/>
              <w:bottom w:val="single" w:sz="4" w:space="0" w:color="BFBFBF" w:themeColor="background1" w:themeShade="BF"/>
              <w:right w:val="nil"/>
            </w:tcBorders>
            <w:shd w:val="clear" w:color="auto" w:fill="215868" w:themeFill="accent5" w:themeFillShade="80"/>
            <w:vAlign w:val="center"/>
            <w:hideMark/>
          </w:tcPr>
          <w:p w14:paraId="7121C5E2" w14:textId="77777777" w:rsidR="00E41AB4" w:rsidRPr="001F42AB" w:rsidRDefault="00E41AB4" w:rsidP="001E5946">
            <w:pPr>
              <w:spacing w:before="0" w:after="0" w:line="240" w:lineRule="auto"/>
              <w:jc w:val="center"/>
              <w:rPr>
                <w:rFonts w:ascii="Optima" w:eastAsia="Times New Roman" w:hAnsi="Optima" w:cs="Calibri"/>
                <w:b/>
                <w:bCs/>
                <w:color w:val="FFFFFF" w:themeColor="background1"/>
                <w:sz w:val="19"/>
                <w:szCs w:val="19"/>
              </w:rPr>
            </w:pPr>
            <w:r w:rsidRPr="001F42AB">
              <w:rPr>
                <w:rFonts w:ascii="Optima" w:eastAsia="Times New Roman" w:hAnsi="Optima" w:cs="Calibri"/>
                <w:b/>
                <w:bCs/>
                <w:color w:val="FFFFFF" w:themeColor="background1"/>
                <w:sz w:val="19"/>
                <w:szCs w:val="19"/>
              </w:rPr>
              <w:t>Months on job</w:t>
            </w:r>
          </w:p>
        </w:tc>
        <w:tc>
          <w:tcPr>
            <w:tcW w:w="1370" w:type="dxa"/>
            <w:tcBorders>
              <w:top w:val="nil"/>
              <w:left w:val="nil"/>
              <w:bottom w:val="nil"/>
              <w:right w:val="nil"/>
            </w:tcBorders>
            <w:shd w:val="clear" w:color="auto" w:fill="215868" w:themeFill="accent5" w:themeFillShade="80"/>
            <w:vAlign w:val="center"/>
          </w:tcPr>
          <w:p w14:paraId="37B15228" w14:textId="77777777" w:rsidR="00E41AB4" w:rsidRPr="001F42AB" w:rsidRDefault="00E41AB4" w:rsidP="001E5946">
            <w:pPr>
              <w:spacing w:before="0" w:after="0" w:line="240" w:lineRule="auto"/>
              <w:jc w:val="center"/>
              <w:rPr>
                <w:rFonts w:ascii="Optima" w:eastAsia="Times New Roman" w:hAnsi="Optima" w:cs="Calibri"/>
                <w:b/>
                <w:bCs/>
                <w:color w:val="FFFFFF" w:themeColor="background1"/>
                <w:sz w:val="19"/>
                <w:szCs w:val="19"/>
              </w:rPr>
            </w:pPr>
            <w:r w:rsidRPr="001F42AB">
              <w:rPr>
                <w:rFonts w:ascii="Optima" w:eastAsia="Times New Roman" w:hAnsi="Optima" w:cs="Calibri"/>
                <w:b/>
                <w:bCs/>
                <w:color w:val="FFFFFF" w:themeColor="background1"/>
                <w:sz w:val="19"/>
                <w:szCs w:val="19"/>
              </w:rPr>
              <w:t>Coach hours as % of work hours</w:t>
            </w:r>
          </w:p>
        </w:tc>
        <w:tc>
          <w:tcPr>
            <w:tcW w:w="1170" w:type="dxa"/>
            <w:tcBorders>
              <w:top w:val="nil"/>
              <w:left w:val="nil"/>
              <w:bottom w:val="nil"/>
              <w:right w:val="nil"/>
            </w:tcBorders>
            <w:shd w:val="clear" w:color="auto" w:fill="215868" w:themeFill="accent5" w:themeFillShade="80"/>
            <w:noWrap/>
            <w:vAlign w:val="center"/>
            <w:hideMark/>
          </w:tcPr>
          <w:p w14:paraId="28A9A778" w14:textId="77777777" w:rsidR="00E41AB4" w:rsidRPr="001F42AB" w:rsidRDefault="00E41AB4" w:rsidP="001E5946">
            <w:pPr>
              <w:spacing w:before="0" w:after="0" w:line="240" w:lineRule="auto"/>
              <w:jc w:val="center"/>
              <w:rPr>
                <w:rFonts w:ascii="Optima" w:eastAsia="Times New Roman" w:hAnsi="Optima" w:cs="Calibri"/>
                <w:b/>
                <w:bCs/>
                <w:color w:val="FFFFFF" w:themeColor="background1"/>
                <w:sz w:val="19"/>
                <w:szCs w:val="19"/>
              </w:rPr>
            </w:pPr>
            <w:r w:rsidRPr="001F42AB">
              <w:rPr>
                <w:rFonts w:ascii="Optima" w:eastAsia="Times New Roman" w:hAnsi="Optima" w:cs="Calibri"/>
                <w:b/>
                <w:bCs/>
                <w:color w:val="FFFFFF" w:themeColor="background1"/>
                <w:sz w:val="19"/>
                <w:szCs w:val="19"/>
              </w:rPr>
              <w:t xml:space="preserve">Level </w:t>
            </w:r>
            <w:r>
              <w:rPr>
                <w:rFonts w:ascii="Optima" w:eastAsia="Times New Roman" w:hAnsi="Optima" w:cs="Calibri"/>
                <w:b/>
                <w:bCs/>
                <w:color w:val="FFFFFF" w:themeColor="background1"/>
                <w:sz w:val="19"/>
                <w:szCs w:val="19"/>
              </w:rPr>
              <w:t>1-3</w:t>
            </w:r>
          </w:p>
        </w:tc>
        <w:tc>
          <w:tcPr>
            <w:tcW w:w="1350" w:type="dxa"/>
            <w:tcBorders>
              <w:top w:val="nil"/>
              <w:left w:val="nil"/>
              <w:bottom w:val="nil"/>
              <w:right w:val="nil"/>
            </w:tcBorders>
            <w:shd w:val="clear" w:color="auto" w:fill="215868" w:themeFill="accent5" w:themeFillShade="80"/>
            <w:vAlign w:val="center"/>
          </w:tcPr>
          <w:p w14:paraId="0F8A5F65" w14:textId="77777777" w:rsidR="00E41AB4" w:rsidRPr="001F42AB" w:rsidRDefault="00E41AB4" w:rsidP="001E5946">
            <w:pPr>
              <w:spacing w:before="0" w:after="0" w:line="240" w:lineRule="auto"/>
              <w:jc w:val="center"/>
              <w:rPr>
                <w:rFonts w:ascii="Optima" w:eastAsia="Times New Roman" w:hAnsi="Optima" w:cs="Calibri"/>
                <w:b/>
                <w:bCs/>
                <w:color w:val="FFFFFF" w:themeColor="background1"/>
                <w:sz w:val="19"/>
                <w:szCs w:val="19"/>
              </w:rPr>
            </w:pPr>
            <w:r w:rsidRPr="001F42AB">
              <w:rPr>
                <w:rFonts w:ascii="Optima" w:eastAsia="Times New Roman" w:hAnsi="Optima" w:cs="Calibri"/>
                <w:b/>
                <w:bCs/>
                <w:color w:val="FFFFFF" w:themeColor="background1"/>
                <w:sz w:val="19"/>
                <w:szCs w:val="19"/>
              </w:rPr>
              <w:t>Coach hours as % of work hours</w:t>
            </w:r>
            <w:r w:rsidRPr="001F42AB" w:rsidDel="00E41AB4">
              <w:rPr>
                <w:rFonts w:ascii="Optima" w:eastAsia="Times New Roman" w:hAnsi="Optima" w:cs="Calibri"/>
                <w:b/>
                <w:bCs/>
                <w:color w:val="FFFFFF" w:themeColor="background1"/>
                <w:sz w:val="19"/>
                <w:szCs w:val="19"/>
              </w:rPr>
              <w:t xml:space="preserve"> </w:t>
            </w:r>
          </w:p>
        </w:tc>
        <w:tc>
          <w:tcPr>
            <w:tcW w:w="1260" w:type="dxa"/>
            <w:tcBorders>
              <w:top w:val="nil"/>
              <w:left w:val="nil"/>
              <w:bottom w:val="nil"/>
              <w:right w:val="nil"/>
            </w:tcBorders>
            <w:shd w:val="clear" w:color="auto" w:fill="215868" w:themeFill="accent5" w:themeFillShade="80"/>
            <w:noWrap/>
            <w:vAlign w:val="center"/>
            <w:hideMark/>
          </w:tcPr>
          <w:p w14:paraId="4A7A4D07" w14:textId="77777777" w:rsidR="00E41AB4" w:rsidRPr="001F42AB" w:rsidRDefault="00E41AB4" w:rsidP="001E5946">
            <w:pPr>
              <w:spacing w:before="0" w:after="0" w:line="240" w:lineRule="auto"/>
              <w:jc w:val="center"/>
              <w:rPr>
                <w:rFonts w:ascii="Optima" w:eastAsia="Times New Roman" w:hAnsi="Optima" w:cs="Calibri"/>
                <w:b/>
                <w:bCs/>
                <w:color w:val="FFFFFF" w:themeColor="background1"/>
                <w:sz w:val="19"/>
                <w:szCs w:val="19"/>
              </w:rPr>
            </w:pPr>
            <w:r w:rsidRPr="001F42AB">
              <w:rPr>
                <w:rFonts w:ascii="Optima" w:eastAsia="Times New Roman" w:hAnsi="Optima" w:cs="Calibri"/>
                <w:b/>
                <w:bCs/>
                <w:color w:val="FFFFFF" w:themeColor="background1"/>
                <w:sz w:val="19"/>
                <w:szCs w:val="19"/>
              </w:rPr>
              <w:t xml:space="preserve">Level </w:t>
            </w:r>
            <w:r>
              <w:rPr>
                <w:rFonts w:ascii="Optima" w:eastAsia="Times New Roman" w:hAnsi="Optima" w:cs="Calibri"/>
                <w:b/>
                <w:bCs/>
                <w:color w:val="FFFFFF" w:themeColor="background1"/>
                <w:sz w:val="19"/>
                <w:szCs w:val="19"/>
              </w:rPr>
              <w:t>4</w:t>
            </w:r>
          </w:p>
        </w:tc>
        <w:tc>
          <w:tcPr>
            <w:tcW w:w="1350" w:type="dxa"/>
            <w:tcBorders>
              <w:top w:val="nil"/>
              <w:left w:val="nil"/>
              <w:bottom w:val="nil"/>
              <w:right w:val="nil"/>
            </w:tcBorders>
            <w:shd w:val="clear" w:color="auto" w:fill="215868" w:themeFill="accent5" w:themeFillShade="80"/>
            <w:vAlign w:val="center"/>
            <w:hideMark/>
          </w:tcPr>
          <w:p w14:paraId="50E9ED3E" w14:textId="77777777" w:rsidR="00E41AB4" w:rsidRPr="001F42AB" w:rsidRDefault="00E41AB4" w:rsidP="001E5946">
            <w:pPr>
              <w:spacing w:before="0" w:after="0" w:line="240" w:lineRule="auto"/>
              <w:jc w:val="center"/>
              <w:rPr>
                <w:rFonts w:ascii="Optima" w:eastAsia="Times New Roman" w:hAnsi="Optima" w:cs="Calibri"/>
                <w:b/>
                <w:bCs/>
                <w:color w:val="FFFFFF" w:themeColor="background1"/>
                <w:sz w:val="19"/>
                <w:szCs w:val="19"/>
              </w:rPr>
            </w:pPr>
            <w:r w:rsidRPr="001F42AB">
              <w:rPr>
                <w:rFonts w:ascii="Optima" w:eastAsia="Times New Roman" w:hAnsi="Optima" w:cs="Calibri"/>
                <w:b/>
                <w:bCs/>
                <w:color w:val="FFFFFF" w:themeColor="background1"/>
                <w:sz w:val="19"/>
                <w:szCs w:val="19"/>
              </w:rPr>
              <w:t>Coach hours as % of work hours</w:t>
            </w:r>
          </w:p>
        </w:tc>
        <w:tc>
          <w:tcPr>
            <w:tcW w:w="1690" w:type="dxa"/>
            <w:tcBorders>
              <w:top w:val="nil"/>
              <w:left w:val="nil"/>
              <w:bottom w:val="nil"/>
            </w:tcBorders>
            <w:shd w:val="clear" w:color="auto" w:fill="215868" w:themeFill="accent5" w:themeFillShade="80"/>
            <w:vAlign w:val="center"/>
            <w:hideMark/>
          </w:tcPr>
          <w:p w14:paraId="393F4C59" w14:textId="77777777" w:rsidR="00E41AB4" w:rsidRPr="001F42AB" w:rsidRDefault="00E41AB4" w:rsidP="001E5946">
            <w:pPr>
              <w:spacing w:before="0" w:after="0" w:line="240" w:lineRule="auto"/>
              <w:jc w:val="center"/>
              <w:rPr>
                <w:rFonts w:ascii="Optima" w:eastAsia="Times New Roman" w:hAnsi="Optima" w:cs="Calibri"/>
                <w:b/>
                <w:bCs/>
                <w:color w:val="FFFFFF" w:themeColor="background1"/>
                <w:sz w:val="19"/>
                <w:szCs w:val="19"/>
              </w:rPr>
            </w:pPr>
            <w:r w:rsidRPr="001F42AB">
              <w:rPr>
                <w:rFonts w:ascii="Optima" w:eastAsia="Times New Roman" w:hAnsi="Optima" w:cs="Calibri"/>
                <w:b/>
                <w:bCs/>
                <w:color w:val="FFFFFF" w:themeColor="background1"/>
                <w:sz w:val="19"/>
                <w:szCs w:val="19"/>
              </w:rPr>
              <w:t>Level 6</w:t>
            </w:r>
            <w:r w:rsidRPr="001F42AB">
              <w:rPr>
                <w:rFonts w:ascii="Optima" w:eastAsia="Times New Roman" w:hAnsi="Optima" w:cs="Calibri"/>
                <w:b/>
                <w:bCs/>
                <w:color w:val="FFFFFF" w:themeColor="background1"/>
                <w:sz w:val="19"/>
                <w:szCs w:val="19"/>
              </w:rPr>
              <w:br/>
              <w:t>(2:1 staffing required; all F2F)</w:t>
            </w:r>
          </w:p>
        </w:tc>
      </w:tr>
      <w:tr w:rsidR="00E41AB4" w:rsidRPr="008F49A1" w14:paraId="0FE5422C" w14:textId="77777777" w:rsidTr="00AE07EF">
        <w:trPr>
          <w:trHeight w:val="432"/>
          <w:tblHeader/>
          <w:jc w:val="center"/>
        </w:trPr>
        <w:tc>
          <w:tcPr>
            <w:tcW w:w="1350" w:type="dxa"/>
            <w:tcBorders>
              <w:top w:val="single" w:sz="4" w:space="0" w:color="BFBFBF" w:themeColor="background1" w:themeShade="BF"/>
              <w:bottom w:val="single" w:sz="2" w:space="0" w:color="BFBFBF" w:themeColor="background1" w:themeShade="BF"/>
              <w:right w:val="single" w:sz="2" w:space="0" w:color="D9D9D9" w:themeColor="background1" w:themeShade="D9"/>
            </w:tcBorders>
            <w:shd w:val="clear" w:color="auto" w:fill="auto"/>
            <w:vAlign w:val="center"/>
            <w:hideMark/>
          </w:tcPr>
          <w:p w14:paraId="392F1E07" w14:textId="77777777" w:rsidR="00E41AB4" w:rsidRPr="008F49A1" w:rsidRDefault="00E41AB4" w:rsidP="00106C86">
            <w:pPr>
              <w:spacing w:before="40" w:after="40" w:line="240" w:lineRule="auto"/>
              <w:jc w:val="center"/>
              <w:rPr>
                <w:rFonts w:ascii="Optima" w:eastAsia="Times New Roman" w:hAnsi="Optima" w:cs="Calibri"/>
                <w:b/>
                <w:bCs/>
                <w:color w:val="404040"/>
                <w:sz w:val="19"/>
                <w:szCs w:val="19"/>
              </w:rPr>
            </w:pPr>
            <w:r w:rsidRPr="008F49A1">
              <w:rPr>
                <w:rFonts w:ascii="Optima" w:eastAsia="Times New Roman" w:hAnsi="Optima" w:cs="Calibri"/>
                <w:b/>
                <w:bCs/>
                <w:color w:val="404040"/>
                <w:sz w:val="19"/>
                <w:szCs w:val="19"/>
              </w:rPr>
              <w:t>1-6</w:t>
            </w:r>
            <w:r w:rsidR="001E5946">
              <w:rPr>
                <w:rFonts w:ascii="Optima" w:eastAsia="Times New Roman" w:hAnsi="Optima" w:cs="Calibri"/>
                <w:b/>
                <w:bCs/>
                <w:color w:val="404040"/>
                <w:sz w:val="19"/>
                <w:szCs w:val="19"/>
              </w:rPr>
              <w:t xml:space="preserve"> </w:t>
            </w:r>
            <w:r w:rsidRPr="008F49A1">
              <w:rPr>
                <w:rFonts w:ascii="Optima" w:eastAsia="Times New Roman" w:hAnsi="Optima" w:cs="Calibri"/>
                <w:b/>
                <w:bCs/>
                <w:color w:val="404040"/>
                <w:sz w:val="19"/>
                <w:szCs w:val="19"/>
              </w:rPr>
              <w:t>months</w:t>
            </w:r>
          </w:p>
        </w:tc>
        <w:tc>
          <w:tcPr>
            <w:tcW w:w="1370" w:type="dxa"/>
            <w:tcBorders>
              <w:top w:val="nil"/>
              <w:left w:val="single" w:sz="2" w:space="0" w:color="D9D9D9" w:themeColor="background1" w:themeShade="D9"/>
              <w:bottom w:val="single" w:sz="2" w:space="0" w:color="BFBFBF" w:themeColor="background1" w:themeShade="BF"/>
              <w:right w:val="nil"/>
            </w:tcBorders>
            <w:shd w:val="clear" w:color="auto" w:fill="auto"/>
            <w:vAlign w:val="center"/>
          </w:tcPr>
          <w:p w14:paraId="5F9FBEF8" w14:textId="77777777" w:rsidR="00E41AB4" w:rsidRPr="008F49A1" w:rsidRDefault="00E41AB4" w:rsidP="00106C86">
            <w:pPr>
              <w:spacing w:before="40" w:after="40" w:line="240" w:lineRule="auto"/>
              <w:jc w:val="center"/>
              <w:rPr>
                <w:rFonts w:ascii="Optima" w:eastAsia="Times New Roman" w:hAnsi="Optima" w:cs="Calibri"/>
                <w:color w:val="404040"/>
                <w:sz w:val="19"/>
                <w:szCs w:val="19"/>
              </w:rPr>
            </w:pPr>
          </w:p>
        </w:tc>
        <w:tc>
          <w:tcPr>
            <w:tcW w:w="1170" w:type="dxa"/>
            <w:tcBorders>
              <w:top w:val="nil"/>
              <w:left w:val="nil"/>
              <w:bottom w:val="single" w:sz="2" w:space="0" w:color="BFBFBF" w:themeColor="background1" w:themeShade="BF"/>
              <w:right w:val="single" w:sz="2" w:space="0" w:color="BFBFBF" w:themeColor="background1" w:themeShade="BF"/>
            </w:tcBorders>
            <w:shd w:val="clear" w:color="auto" w:fill="auto"/>
            <w:noWrap/>
            <w:vAlign w:val="center"/>
            <w:hideMark/>
          </w:tcPr>
          <w:p w14:paraId="0E6E146D" w14:textId="77777777" w:rsidR="00E41AB4" w:rsidRPr="008F49A1" w:rsidRDefault="00E41AB4" w:rsidP="00106C86">
            <w:pPr>
              <w:spacing w:before="40" w:after="4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nil"/>
              <w:left w:val="single" w:sz="2" w:space="0" w:color="BFBFBF" w:themeColor="background1" w:themeShade="BF"/>
              <w:bottom w:val="single" w:sz="2" w:space="0" w:color="BFBFBF" w:themeColor="background1" w:themeShade="BF"/>
              <w:right w:val="nil"/>
            </w:tcBorders>
            <w:shd w:val="clear" w:color="auto" w:fill="auto"/>
            <w:noWrap/>
            <w:vAlign w:val="center"/>
          </w:tcPr>
          <w:p w14:paraId="30125564" w14:textId="77777777" w:rsidR="00E41AB4" w:rsidRPr="008F49A1" w:rsidRDefault="00E41AB4" w:rsidP="00106C86">
            <w:pPr>
              <w:spacing w:before="40" w:after="4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r w:rsidR="00AC7650">
              <w:rPr>
                <w:rFonts w:ascii="Optima" w:eastAsia="Times New Roman" w:hAnsi="Optima" w:cs="Calibri"/>
                <w:color w:val="404040"/>
                <w:sz w:val="19"/>
                <w:szCs w:val="19"/>
              </w:rPr>
              <w:t>100%</w:t>
            </w:r>
          </w:p>
        </w:tc>
        <w:tc>
          <w:tcPr>
            <w:tcW w:w="1260" w:type="dxa"/>
            <w:tcBorders>
              <w:top w:val="nil"/>
              <w:left w:val="nil"/>
              <w:bottom w:val="single" w:sz="2" w:space="0" w:color="BFBFBF" w:themeColor="background1" w:themeShade="BF"/>
              <w:right w:val="single" w:sz="2" w:space="0" w:color="BFBFBF" w:themeColor="background1" w:themeShade="BF"/>
            </w:tcBorders>
            <w:shd w:val="clear" w:color="auto" w:fill="auto"/>
            <w:noWrap/>
            <w:vAlign w:val="center"/>
            <w:hideMark/>
          </w:tcPr>
          <w:p w14:paraId="4A62B538" w14:textId="77777777" w:rsidR="00E41AB4" w:rsidRPr="008F49A1" w:rsidRDefault="00E41AB4" w:rsidP="00106C86">
            <w:pPr>
              <w:spacing w:before="40" w:after="4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nil"/>
              <w:left w:val="single" w:sz="2" w:space="0" w:color="BFBFBF" w:themeColor="background1" w:themeShade="BF"/>
              <w:bottom w:val="single" w:sz="2" w:space="0" w:color="BFBFBF" w:themeColor="background1" w:themeShade="BF"/>
              <w:right w:val="nil"/>
            </w:tcBorders>
            <w:shd w:val="clear" w:color="auto" w:fill="auto"/>
            <w:noWrap/>
            <w:vAlign w:val="center"/>
            <w:hideMark/>
          </w:tcPr>
          <w:p w14:paraId="47CF01A8" w14:textId="77777777" w:rsidR="00E41AB4" w:rsidRPr="008F49A1" w:rsidRDefault="00E41AB4" w:rsidP="00106C86">
            <w:pPr>
              <w:spacing w:before="40" w:after="4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100.00%</w:t>
            </w:r>
          </w:p>
        </w:tc>
        <w:tc>
          <w:tcPr>
            <w:tcW w:w="1690" w:type="dxa"/>
            <w:tcBorders>
              <w:top w:val="nil"/>
              <w:left w:val="nil"/>
              <w:bottom w:val="single" w:sz="2" w:space="0" w:color="BFBFBF" w:themeColor="background1" w:themeShade="BF"/>
            </w:tcBorders>
            <w:shd w:val="clear" w:color="auto" w:fill="auto"/>
            <w:noWrap/>
            <w:vAlign w:val="center"/>
            <w:hideMark/>
          </w:tcPr>
          <w:p w14:paraId="6B7F5B7A" w14:textId="77777777" w:rsidR="00E41AB4" w:rsidRPr="008F49A1" w:rsidRDefault="00E41AB4" w:rsidP="00106C86">
            <w:pPr>
              <w:spacing w:before="40" w:after="4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$8.91 ($35.64)</w:t>
            </w:r>
          </w:p>
        </w:tc>
      </w:tr>
      <w:tr w:rsidR="00E41AB4" w:rsidRPr="008F49A1" w14:paraId="0D6F24E8" w14:textId="77777777" w:rsidTr="00AE07EF">
        <w:trPr>
          <w:trHeight w:val="175"/>
          <w:tblHeader/>
          <w:jc w:val="center"/>
        </w:trPr>
        <w:tc>
          <w:tcPr>
            <w:tcW w:w="1350" w:type="dxa"/>
            <w:vMerge w:val="restart"/>
            <w:tcBorders>
              <w:top w:val="single" w:sz="2" w:space="0" w:color="BFBFBF" w:themeColor="background1" w:themeShade="BF"/>
              <w:right w:val="single" w:sz="2" w:space="0" w:color="D9D9D9" w:themeColor="background1" w:themeShade="D9"/>
            </w:tcBorders>
            <w:shd w:val="clear" w:color="auto" w:fill="DAEEF3" w:themeFill="accent5" w:themeFillTint="33"/>
            <w:vAlign w:val="center"/>
            <w:hideMark/>
          </w:tcPr>
          <w:p w14:paraId="6928465B"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r w:rsidRPr="008F49A1">
              <w:rPr>
                <w:rFonts w:ascii="Optima" w:eastAsia="Times New Roman" w:hAnsi="Optima" w:cs="Calibri"/>
                <w:b/>
                <w:bCs/>
                <w:color w:val="404040"/>
                <w:sz w:val="19"/>
                <w:szCs w:val="19"/>
              </w:rPr>
              <w:t>7-12</w:t>
            </w:r>
            <w:r w:rsidR="00B92065">
              <w:rPr>
                <w:rFonts w:ascii="Optima" w:eastAsia="Times New Roman" w:hAnsi="Optima" w:cs="Calibri"/>
                <w:b/>
                <w:bCs/>
                <w:color w:val="404040"/>
                <w:sz w:val="19"/>
                <w:szCs w:val="19"/>
              </w:rPr>
              <w:br/>
            </w:r>
            <w:r w:rsidRPr="008F49A1">
              <w:rPr>
                <w:rFonts w:ascii="Optima" w:eastAsia="Times New Roman" w:hAnsi="Optima" w:cs="Calibri"/>
                <w:b/>
                <w:bCs/>
                <w:color w:val="404040"/>
                <w:sz w:val="19"/>
                <w:szCs w:val="19"/>
              </w:rPr>
              <w:t>months</w:t>
            </w:r>
          </w:p>
        </w:tc>
        <w:tc>
          <w:tcPr>
            <w:tcW w:w="1370" w:type="dxa"/>
            <w:tcBorders>
              <w:top w:val="single" w:sz="2" w:space="0" w:color="BFBFBF" w:themeColor="background1" w:themeShade="BF"/>
              <w:left w:val="single" w:sz="2" w:space="0" w:color="D9D9D9" w:themeColor="background1" w:themeShade="D9"/>
              <w:bottom w:val="single" w:sz="2" w:space="0" w:color="D9D9D9" w:themeColor="background1" w:themeShade="D9"/>
              <w:right w:val="nil"/>
            </w:tcBorders>
            <w:shd w:val="clear" w:color="auto" w:fill="DAEEF3" w:themeFill="accent5" w:themeFillTint="33"/>
            <w:vAlign w:val="center"/>
          </w:tcPr>
          <w:p w14:paraId="49200FFD"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80-100%</w:t>
            </w:r>
          </w:p>
        </w:tc>
        <w:tc>
          <w:tcPr>
            <w:tcW w:w="1170" w:type="dxa"/>
            <w:tcBorders>
              <w:top w:val="single" w:sz="2" w:space="0" w:color="BFBFBF" w:themeColor="background1" w:themeShade="BF"/>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6E122B35"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$5.00 ($20)</w:t>
            </w:r>
          </w:p>
        </w:tc>
        <w:tc>
          <w:tcPr>
            <w:tcW w:w="1350" w:type="dxa"/>
            <w:tcBorders>
              <w:top w:val="single" w:sz="2" w:space="0" w:color="BFBFBF" w:themeColor="background1" w:themeShade="BF"/>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tcPr>
          <w:p w14:paraId="4A108956"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90-100%</w:t>
            </w:r>
          </w:p>
        </w:tc>
        <w:tc>
          <w:tcPr>
            <w:tcW w:w="1260" w:type="dxa"/>
            <w:tcBorders>
              <w:top w:val="single" w:sz="2" w:space="0" w:color="BFBFBF" w:themeColor="background1" w:themeShade="BF"/>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77719675"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$5.00 ($20)</w:t>
            </w:r>
          </w:p>
        </w:tc>
        <w:tc>
          <w:tcPr>
            <w:tcW w:w="1350" w:type="dxa"/>
            <w:tcBorders>
              <w:top w:val="single" w:sz="2" w:space="0" w:color="BFBFBF" w:themeColor="background1" w:themeShade="BF"/>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hideMark/>
          </w:tcPr>
          <w:p w14:paraId="5BA60E1F"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100.00%</w:t>
            </w:r>
          </w:p>
        </w:tc>
        <w:tc>
          <w:tcPr>
            <w:tcW w:w="1690" w:type="dxa"/>
            <w:tcBorders>
              <w:top w:val="single" w:sz="2" w:space="0" w:color="BFBFBF" w:themeColor="background1" w:themeShade="BF"/>
              <w:left w:val="nil"/>
              <w:bottom w:val="single" w:sz="2" w:space="0" w:color="D9D9D9" w:themeColor="background1" w:themeShade="D9"/>
            </w:tcBorders>
            <w:shd w:val="clear" w:color="auto" w:fill="DAEEF3" w:themeFill="accent5" w:themeFillTint="33"/>
            <w:noWrap/>
            <w:vAlign w:val="center"/>
            <w:hideMark/>
          </w:tcPr>
          <w:p w14:paraId="0C78B2C7"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$8.91 ($35.64)</w:t>
            </w:r>
          </w:p>
        </w:tc>
      </w:tr>
      <w:tr w:rsidR="00E41AB4" w:rsidRPr="008F49A1" w14:paraId="61C895DF" w14:textId="77777777" w:rsidTr="00AE07EF">
        <w:trPr>
          <w:trHeight w:val="187"/>
          <w:tblHeader/>
          <w:jc w:val="center"/>
        </w:trPr>
        <w:tc>
          <w:tcPr>
            <w:tcW w:w="1350" w:type="dxa"/>
            <w:vMerge/>
            <w:tcBorders>
              <w:right w:val="single" w:sz="2" w:space="0" w:color="D9D9D9" w:themeColor="background1" w:themeShade="D9"/>
            </w:tcBorders>
            <w:shd w:val="clear" w:color="auto" w:fill="DAEEF3" w:themeFill="accent5" w:themeFillTint="33"/>
            <w:vAlign w:val="center"/>
            <w:hideMark/>
          </w:tcPr>
          <w:p w14:paraId="7BE79CFD"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DAEEF3" w:themeFill="accent5" w:themeFillTint="33"/>
            <w:vAlign w:val="center"/>
          </w:tcPr>
          <w:p w14:paraId="7F7E8566"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60-79%</w:t>
            </w:r>
          </w:p>
        </w:tc>
        <w:tc>
          <w:tcPr>
            <w:tcW w:w="1170" w:type="dxa"/>
            <w:tcBorders>
              <w:top w:val="single" w:sz="2" w:space="0" w:color="D9D9D9" w:themeColor="background1" w:themeShade="D9"/>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33D0A50C"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$5.75 ($23)</w:t>
            </w:r>
          </w:p>
        </w:tc>
        <w:tc>
          <w:tcPr>
            <w:tcW w:w="1350" w:type="dxa"/>
            <w:tcBorders>
              <w:top w:val="single" w:sz="2" w:space="0" w:color="D9D9D9" w:themeColor="background1" w:themeShade="D9"/>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tcPr>
          <w:p w14:paraId="66589519"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80-89%</w:t>
            </w:r>
          </w:p>
        </w:tc>
        <w:tc>
          <w:tcPr>
            <w:tcW w:w="1260" w:type="dxa"/>
            <w:tcBorders>
              <w:top w:val="single" w:sz="2" w:space="0" w:color="D9D9D9" w:themeColor="background1" w:themeShade="D9"/>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6F5CD4D1"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$5.75 ($23)</w:t>
            </w:r>
          </w:p>
        </w:tc>
        <w:tc>
          <w:tcPr>
            <w:tcW w:w="1350" w:type="dxa"/>
            <w:tcBorders>
              <w:top w:val="single" w:sz="2" w:space="0" w:color="D9D9D9" w:themeColor="background1" w:themeShade="D9"/>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hideMark/>
          </w:tcPr>
          <w:p w14:paraId="575D55FA"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c>
          <w:tcPr>
            <w:tcW w:w="1690" w:type="dxa"/>
            <w:tcBorders>
              <w:top w:val="single" w:sz="2" w:space="0" w:color="D9D9D9" w:themeColor="background1" w:themeShade="D9"/>
              <w:left w:val="nil"/>
              <w:bottom w:val="single" w:sz="2" w:space="0" w:color="D9D9D9" w:themeColor="background1" w:themeShade="D9"/>
            </w:tcBorders>
            <w:shd w:val="clear" w:color="auto" w:fill="DAEEF3" w:themeFill="accent5" w:themeFillTint="33"/>
            <w:noWrap/>
            <w:vAlign w:val="center"/>
            <w:hideMark/>
          </w:tcPr>
          <w:p w14:paraId="32B841FF"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r>
      <w:tr w:rsidR="00E41AB4" w:rsidRPr="008F49A1" w14:paraId="5ABA0BD5" w14:textId="77777777" w:rsidTr="00AE07EF">
        <w:trPr>
          <w:trHeight w:val="187"/>
          <w:tblHeader/>
          <w:jc w:val="center"/>
        </w:trPr>
        <w:tc>
          <w:tcPr>
            <w:tcW w:w="1350" w:type="dxa"/>
            <w:vMerge/>
            <w:tcBorders>
              <w:bottom w:val="single" w:sz="2" w:space="0" w:color="BFBFBF" w:themeColor="background1" w:themeShade="BF"/>
              <w:right w:val="single" w:sz="2" w:space="0" w:color="D9D9D9" w:themeColor="background1" w:themeShade="D9"/>
            </w:tcBorders>
            <w:shd w:val="clear" w:color="auto" w:fill="DAEEF3" w:themeFill="accent5" w:themeFillTint="33"/>
            <w:vAlign w:val="center"/>
            <w:hideMark/>
          </w:tcPr>
          <w:p w14:paraId="672A7BBA"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p>
        </w:tc>
        <w:tc>
          <w:tcPr>
            <w:tcW w:w="1370" w:type="dxa"/>
            <w:tcBorders>
              <w:top w:val="single" w:sz="2" w:space="0" w:color="D9D9D9" w:themeColor="background1" w:themeShade="D9"/>
              <w:left w:val="single" w:sz="2" w:space="0" w:color="D9D9D9" w:themeColor="background1" w:themeShade="D9"/>
              <w:bottom w:val="single" w:sz="2" w:space="0" w:color="BFBFBF" w:themeColor="background1" w:themeShade="BF"/>
              <w:right w:val="nil"/>
            </w:tcBorders>
            <w:shd w:val="clear" w:color="auto" w:fill="DAEEF3" w:themeFill="accent5" w:themeFillTint="33"/>
            <w:vAlign w:val="center"/>
          </w:tcPr>
          <w:p w14:paraId="63D9881A"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&lt; 60%</w:t>
            </w:r>
          </w:p>
        </w:tc>
        <w:tc>
          <w:tcPr>
            <w:tcW w:w="1170" w:type="dxa"/>
            <w:tcBorders>
              <w:top w:val="single" w:sz="2" w:space="0" w:color="D9D9D9" w:themeColor="background1" w:themeShade="D9"/>
              <w:left w:val="nil"/>
              <w:bottom w:val="single" w:sz="2" w:space="0" w:color="BFBFBF" w:themeColor="background1" w:themeShade="BF"/>
              <w:right w:val="single" w:sz="2" w:space="0" w:color="BFBFBF" w:themeColor="background1" w:themeShade="BF"/>
            </w:tcBorders>
            <w:shd w:val="clear" w:color="auto" w:fill="DAEEF3" w:themeFill="accent5" w:themeFillTint="33"/>
            <w:noWrap/>
            <w:vAlign w:val="center"/>
            <w:hideMark/>
          </w:tcPr>
          <w:p w14:paraId="2B473F1D"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single" w:sz="2" w:space="0" w:color="D9D9D9" w:themeColor="background1" w:themeShade="D9"/>
              <w:left w:val="single" w:sz="2" w:space="0" w:color="BFBFBF" w:themeColor="background1" w:themeShade="BF"/>
              <w:bottom w:val="single" w:sz="2" w:space="0" w:color="BFBFBF" w:themeColor="background1" w:themeShade="BF"/>
              <w:right w:val="nil"/>
            </w:tcBorders>
            <w:shd w:val="clear" w:color="auto" w:fill="DAEEF3" w:themeFill="accent5" w:themeFillTint="33"/>
            <w:noWrap/>
            <w:vAlign w:val="center"/>
          </w:tcPr>
          <w:p w14:paraId="674D0410"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&lt; 80%</w:t>
            </w:r>
          </w:p>
        </w:tc>
        <w:tc>
          <w:tcPr>
            <w:tcW w:w="1260" w:type="dxa"/>
            <w:tcBorders>
              <w:top w:val="single" w:sz="2" w:space="0" w:color="D9D9D9" w:themeColor="background1" w:themeShade="D9"/>
              <w:left w:val="nil"/>
              <w:bottom w:val="single" w:sz="2" w:space="0" w:color="BFBFBF" w:themeColor="background1" w:themeShade="BF"/>
              <w:right w:val="single" w:sz="2" w:space="0" w:color="BFBFBF" w:themeColor="background1" w:themeShade="BF"/>
            </w:tcBorders>
            <w:shd w:val="clear" w:color="auto" w:fill="DAEEF3" w:themeFill="accent5" w:themeFillTint="33"/>
            <w:noWrap/>
            <w:vAlign w:val="center"/>
            <w:hideMark/>
          </w:tcPr>
          <w:p w14:paraId="10A1D36D"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single" w:sz="2" w:space="0" w:color="D9D9D9" w:themeColor="background1" w:themeShade="D9"/>
              <w:left w:val="single" w:sz="2" w:space="0" w:color="BFBFBF" w:themeColor="background1" w:themeShade="BF"/>
              <w:bottom w:val="single" w:sz="2" w:space="0" w:color="BFBFBF" w:themeColor="background1" w:themeShade="BF"/>
              <w:right w:val="nil"/>
            </w:tcBorders>
            <w:shd w:val="clear" w:color="auto" w:fill="DAEEF3" w:themeFill="accent5" w:themeFillTint="33"/>
            <w:noWrap/>
            <w:vAlign w:val="center"/>
            <w:hideMark/>
          </w:tcPr>
          <w:p w14:paraId="2B38A882"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c>
          <w:tcPr>
            <w:tcW w:w="1690" w:type="dxa"/>
            <w:tcBorders>
              <w:top w:val="single" w:sz="2" w:space="0" w:color="D9D9D9" w:themeColor="background1" w:themeShade="D9"/>
              <w:left w:val="nil"/>
              <w:bottom w:val="single" w:sz="2" w:space="0" w:color="BFBFBF" w:themeColor="background1" w:themeShade="BF"/>
            </w:tcBorders>
            <w:shd w:val="clear" w:color="auto" w:fill="DAEEF3" w:themeFill="accent5" w:themeFillTint="33"/>
            <w:noWrap/>
            <w:vAlign w:val="center"/>
            <w:hideMark/>
          </w:tcPr>
          <w:p w14:paraId="37A547A3"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r>
      <w:tr w:rsidR="00E41AB4" w:rsidRPr="008F49A1" w14:paraId="1C6B0DE1" w14:textId="77777777" w:rsidTr="00AE07EF">
        <w:trPr>
          <w:trHeight w:val="187"/>
          <w:tblHeader/>
          <w:jc w:val="center"/>
        </w:trPr>
        <w:tc>
          <w:tcPr>
            <w:tcW w:w="1350" w:type="dxa"/>
            <w:vMerge w:val="restart"/>
            <w:tcBorders>
              <w:top w:val="single" w:sz="2" w:space="0" w:color="BFBFBF" w:themeColor="background1" w:themeShade="BF"/>
              <w:bottom w:val="single" w:sz="2" w:space="0" w:color="BFBFBF" w:themeColor="background1" w:themeShade="BF"/>
              <w:right w:val="single" w:sz="2" w:space="0" w:color="D9D9D9" w:themeColor="background1" w:themeShade="D9"/>
            </w:tcBorders>
            <w:shd w:val="clear" w:color="000000" w:fill="FFFFFF"/>
            <w:vAlign w:val="center"/>
            <w:hideMark/>
          </w:tcPr>
          <w:p w14:paraId="2E64DF7E"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r w:rsidRPr="008F49A1">
              <w:rPr>
                <w:rFonts w:ascii="Optima" w:eastAsia="Times New Roman" w:hAnsi="Optima" w:cs="Calibri"/>
                <w:b/>
                <w:bCs/>
                <w:color w:val="404040"/>
                <w:sz w:val="19"/>
                <w:szCs w:val="19"/>
              </w:rPr>
              <w:t>13-24 months</w:t>
            </w:r>
          </w:p>
        </w:tc>
        <w:tc>
          <w:tcPr>
            <w:tcW w:w="1370" w:type="dxa"/>
            <w:tcBorders>
              <w:top w:val="single" w:sz="2" w:space="0" w:color="BFBFBF" w:themeColor="background1" w:themeShade="BF"/>
              <w:left w:val="single" w:sz="2" w:space="0" w:color="D9D9D9" w:themeColor="background1" w:themeShade="D9"/>
              <w:bottom w:val="single" w:sz="2" w:space="0" w:color="D9D9D9" w:themeColor="background1" w:themeShade="D9"/>
              <w:right w:val="nil"/>
            </w:tcBorders>
            <w:shd w:val="clear" w:color="000000" w:fill="FFFFFF"/>
            <w:vAlign w:val="center"/>
          </w:tcPr>
          <w:p w14:paraId="6EDEBAF0"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60-100%</w:t>
            </w:r>
          </w:p>
        </w:tc>
        <w:tc>
          <w:tcPr>
            <w:tcW w:w="1170" w:type="dxa"/>
            <w:tcBorders>
              <w:top w:val="single" w:sz="2" w:space="0" w:color="BFBFBF" w:themeColor="background1" w:themeShade="BF"/>
              <w:left w:val="nil"/>
              <w:bottom w:val="single" w:sz="2" w:space="0" w:color="D9D9D9" w:themeColor="background1" w:themeShade="D9"/>
              <w:right w:val="single" w:sz="2" w:space="0" w:color="BFBFBF" w:themeColor="background1" w:themeShade="BF"/>
            </w:tcBorders>
            <w:shd w:val="clear" w:color="000000" w:fill="FFFFFF"/>
            <w:noWrap/>
            <w:vAlign w:val="center"/>
            <w:hideMark/>
          </w:tcPr>
          <w:p w14:paraId="71B6850B"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$5.00 ($20)</w:t>
            </w:r>
          </w:p>
        </w:tc>
        <w:tc>
          <w:tcPr>
            <w:tcW w:w="1350" w:type="dxa"/>
            <w:tcBorders>
              <w:top w:val="single" w:sz="2" w:space="0" w:color="BFBFBF" w:themeColor="background1" w:themeShade="BF"/>
              <w:left w:val="single" w:sz="2" w:space="0" w:color="BFBFBF" w:themeColor="background1" w:themeShade="BF"/>
              <w:bottom w:val="single" w:sz="2" w:space="0" w:color="D9D9D9" w:themeColor="background1" w:themeShade="D9"/>
              <w:right w:val="nil"/>
            </w:tcBorders>
            <w:shd w:val="clear" w:color="000000" w:fill="FFFFFF"/>
            <w:noWrap/>
            <w:vAlign w:val="center"/>
          </w:tcPr>
          <w:p w14:paraId="021ADA94"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75-100%</w:t>
            </w:r>
          </w:p>
        </w:tc>
        <w:tc>
          <w:tcPr>
            <w:tcW w:w="1260" w:type="dxa"/>
            <w:tcBorders>
              <w:top w:val="single" w:sz="2" w:space="0" w:color="BFBFBF" w:themeColor="background1" w:themeShade="BF"/>
              <w:left w:val="nil"/>
              <w:bottom w:val="single" w:sz="2" w:space="0" w:color="D9D9D9" w:themeColor="background1" w:themeShade="D9"/>
              <w:right w:val="single" w:sz="2" w:space="0" w:color="BFBFBF" w:themeColor="background1" w:themeShade="BF"/>
            </w:tcBorders>
            <w:shd w:val="clear" w:color="000000" w:fill="FFFFFF"/>
            <w:noWrap/>
            <w:vAlign w:val="center"/>
            <w:hideMark/>
          </w:tcPr>
          <w:p w14:paraId="5B4022AD"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$5.00 ($20)</w:t>
            </w:r>
          </w:p>
        </w:tc>
        <w:tc>
          <w:tcPr>
            <w:tcW w:w="1350" w:type="dxa"/>
            <w:tcBorders>
              <w:top w:val="single" w:sz="2" w:space="0" w:color="BFBFBF" w:themeColor="background1" w:themeShade="BF"/>
              <w:left w:val="single" w:sz="2" w:space="0" w:color="BFBFBF" w:themeColor="background1" w:themeShade="BF"/>
              <w:bottom w:val="single" w:sz="2" w:space="0" w:color="D9D9D9" w:themeColor="background1" w:themeShade="D9"/>
              <w:right w:val="nil"/>
            </w:tcBorders>
            <w:shd w:val="clear" w:color="000000" w:fill="FFFFFF"/>
            <w:noWrap/>
            <w:vAlign w:val="center"/>
            <w:hideMark/>
          </w:tcPr>
          <w:p w14:paraId="467F288E"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100.00%</w:t>
            </w:r>
          </w:p>
        </w:tc>
        <w:tc>
          <w:tcPr>
            <w:tcW w:w="1690" w:type="dxa"/>
            <w:tcBorders>
              <w:top w:val="single" w:sz="2" w:space="0" w:color="BFBFBF" w:themeColor="background1" w:themeShade="BF"/>
              <w:left w:val="nil"/>
              <w:bottom w:val="single" w:sz="2" w:space="0" w:color="D9D9D9" w:themeColor="background1" w:themeShade="D9"/>
            </w:tcBorders>
            <w:shd w:val="clear" w:color="000000" w:fill="FFFFFF"/>
            <w:noWrap/>
            <w:vAlign w:val="center"/>
            <w:hideMark/>
          </w:tcPr>
          <w:p w14:paraId="1743BB09"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$8.91 ($35.64)</w:t>
            </w:r>
          </w:p>
        </w:tc>
      </w:tr>
      <w:tr w:rsidR="00E41AB4" w:rsidRPr="008F49A1" w14:paraId="4D36295C" w14:textId="77777777" w:rsidTr="00AE07EF">
        <w:trPr>
          <w:trHeight w:val="187"/>
          <w:tblHeader/>
          <w:jc w:val="center"/>
        </w:trPr>
        <w:tc>
          <w:tcPr>
            <w:tcW w:w="1350" w:type="dxa"/>
            <w:vMerge/>
            <w:tcBorders>
              <w:top w:val="single" w:sz="2" w:space="0" w:color="BFBFBF" w:themeColor="background1" w:themeShade="BF"/>
              <w:bottom w:val="nil"/>
              <w:right w:val="single" w:sz="2" w:space="0" w:color="D9D9D9" w:themeColor="background1" w:themeShade="D9"/>
            </w:tcBorders>
            <w:shd w:val="clear" w:color="000000" w:fill="FFFFFF"/>
            <w:vAlign w:val="center"/>
            <w:hideMark/>
          </w:tcPr>
          <w:p w14:paraId="520040C3"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000000" w:fill="FFFFFF"/>
            <w:vAlign w:val="center"/>
          </w:tcPr>
          <w:p w14:paraId="6EC15260"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40-59%</w:t>
            </w:r>
          </w:p>
        </w:tc>
        <w:tc>
          <w:tcPr>
            <w:tcW w:w="1170" w:type="dxa"/>
            <w:tcBorders>
              <w:top w:val="single" w:sz="2" w:space="0" w:color="D9D9D9" w:themeColor="background1" w:themeShade="D9"/>
              <w:left w:val="nil"/>
              <w:bottom w:val="single" w:sz="2" w:space="0" w:color="D9D9D9" w:themeColor="background1" w:themeShade="D9"/>
              <w:right w:val="single" w:sz="2" w:space="0" w:color="BFBFBF" w:themeColor="background1" w:themeShade="BF"/>
            </w:tcBorders>
            <w:shd w:val="clear" w:color="000000" w:fill="FFFFFF"/>
            <w:noWrap/>
            <w:vAlign w:val="center"/>
            <w:hideMark/>
          </w:tcPr>
          <w:p w14:paraId="09822F67"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$5.75 ($23)</w:t>
            </w:r>
          </w:p>
        </w:tc>
        <w:tc>
          <w:tcPr>
            <w:tcW w:w="1350" w:type="dxa"/>
            <w:tcBorders>
              <w:top w:val="single" w:sz="2" w:space="0" w:color="D9D9D9" w:themeColor="background1" w:themeShade="D9"/>
              <w:left w:val="single" w:sz="2" w:space="0" w:color="BFBFBF" w:themeColor="background1" w:themeShade="BF"/>
              <w:bottom w:val="single" w:sz="2" w:space="0" w:color="D9D9D9" w:themeColor="background1" w:themeShade="D9"/>
              <w:right w:val="nil"/>
            </w:tcBorders>
            <w:shd w:val="clear" w:color="000000" w:fill="FFFFFF"/>
            <w:noWrap/>
            <w:vAlign w:val="center"/>
          </w:tcPr>
          <w:p w14:paraId="62614614"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60-74%</w:t>
            </w:r>
          </w:p>
        </w:tc>
        <w:tc>
          <w:tcPr>
            <w:tcW w:w="1260" w:type="dxa"/>
            <w:tcBorders>
              <w:top w:val="single" w:sz="2" w:space="0" w:color="D9D9D9" w:themeColor="background1" w:themeShade="D9"/>
              <w:left w:val="nil"/>
              <w:bottom w:val="single" w:sz="2" w:space="0" w:color="D9D9D9" w:themeColor="background1" w:themeShade="D9"/>
              <w:right w:val="single" w:sz="2" w:space="0" w:color="BFBFBF" w:themeColor="background1" w:themeShade="BF"/>
            </w:tcBorders>
            <w:shd w:val="clear" w:color="000000" w:fill="FFFFFF"/>
            <w:noWrap/>
            <w:vAlign w:val="center"/>
            <w:hideMark/>
          </w:tcPr>
          <w:p w14:paraId="48CA47EE"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$5.75 ($23)</w:t>
            </w:r>
          </w:p>
        </w:tc>
        <w:tc>
          <w:tcPr>
            <w:tcW w:w="1350" w:type="dxa"/>
            <w:tcBorders>
              <w:top w:val="single" w:sz="2" w:space="0" w:color="D9D9D9" w:themeColor="background1" w:themeShade="D9"/>
              <w:left w:val="single" w:sz="2" w:space="0" w:color="BFBFBF" w:themeColor="background1" w:themeShade="BF"/>
              <w:bottom w:val="single" w:sz="2" w:space="0" w:color="D9D9D9" w:themeColor="background1" w:themeShade="D9"/>
              <w:right w:val="nil"/>
            </w:tcBorders>
            <w:shd w:val="clear" w:color="000000" w:fill="FFFFFF"/>
            <w:noWrap/>
            <w:vAlign w:val="center"/>
            <w:hideMark/>
          </w:tcPr>
          <w:p w14:paraId="13364710"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c>
          <w:tcPr>
            <w:tcW w:w="1690" w:type="dxa"/>
            <w:tcBorders>
              <w:top w:val="single" w:sz="2" w:space="0" w:color="D9D9D9" w:themeColor="background1" w:themeShade="D9"/>
              <w:left w:val="nil"/>
              <w:bottom w:val="single" w:sz="2" w:space="0" w:color="D9D9D9" w:themeColor="background1" w:themeShade="D9"/>
            </w:tcBorders>
            <w:shd w:val="clear" w:color="000000" w:fill="FFFFFF"/>
            <w:noWrap/>
            <w:vAlign w:val="center"/>
            <w:hideMark/>
          </w:tcPr>
          <w:p w14:paraId="2450DCDF"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r>
      <w:tr w:rsidR="00E41AB4" w:rsidRPr="008F49A1" w14:paraId="13D7A9BF" w14:textId="77777777" w:rsidTr="00AE07EF">
        <w:trPr>
          <w:trHeight w:val="187"/>
          <w:tblHeader/>
          <w:jc w:val="center"/>
        </w:trPr>
        <w:tc>
          <w:tcPr>
            <w:tcW w:w="1350" w:type="dxa"/>
            <w:vMerge/>
            <w:tcBorders>
              <w:top w:val="nil"/>
              <w:right w:val="single" w:sz="2" w:space="0" w:color="D9D9D9" w:themeColor="background1" w:themeShade="D9"/>
            </w:tcBorders>
            <w:shd w:val="clear" w:color="000000" w:fill="FFFFFF"/>
            <w:vAlign w:val="center"/>
            <w:hideMark/>
          </w:tcPr>
          <w:p w14:paraId="31DD79CD"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p>
        </w:tc>
        <w:tc>
          <w:tcPr>
            <w:tcW w:w="1370" w:type="dxa"/>
            <w:tcBorders>
              <w:top w:val="single" w:sz="2" w:space="0" w:color="D9D9D9" w:themeColor="background1" w:themeShade="D9"/>
              <w:left w:val="single" w:sz="2" w:space="0" w:color="D9D9D9" w:themeColor="background1" w:themeShade="D9"/>
              <w:bottom w:val="single" w:sz="2" w:space="0" w:color="BFBFBF" w:themeColor="background1" w:themeShade="BF"/>
              <w:right w:val="nil"/>
            </w:tcBorders>
            <w:shd w:val="clear" w:color="000000" w:fill="FFFFFF"/>
            <w:vAlign w:val="center"/>
          </w:tcPr>
          <w:p w14:paraId="18967CF9"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&lt; 40%</w:t>
            </w:r>
          </w:p>
        </w:tc>
        <w:tc>
          <w:tcPr>
            <w:tcW w:w="1170" w:type="dxa"/>
            <w:tcBorders>
              <w:top w:val="single" w:sz="2" w:space="0" w:color="D9D9D9" w:themeColor="background1" w:themeShade="D9"/>
              <w:left w:val="nil"/>
              <w:bottom w:val="single" w:sz="2" w:space="0" w:color="BFBFBF" w:themeColor="background1" w:themeShade="BF"/>
              <w:right w:val="single" w:sz="2" w:space="0" w:color="BFBFBF" w:themeColor="background1" w:themeShade="BF"/>
            </w:tcBorders>
            <w:shd w:val="clear" w:color="000000" w:fill="FFFFFF"/>
            <w:noWrap/>
            <w:vAlign w:val="center"/>
            <w:hideMark/>
          </w:tcPr>
          <w:p w14:paraId="60452B94"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single" w:sz="2" w:space="0" w:color="D9D9D9" w:themeColor="background1" w:themeShade="D9"/>
              <w:left w:val="single" w:sz="2" w:space="0" w:color="BFBFBF" w:themeColor="background1" w:themeShade="BF"/>
              <w:bottom w:val="single" w:sz="2" w:space="0" w:color="BFBFBF" w:themeColor="background1" w:themeShade="BF"/>
              <w:right w:val="nil"/>
            </w:tcBorders>
            <w:shd w:val="clear" w:color="000000" w:fill="FFFFFF"/>
            <w:noWrap/>
            <w:vAlign w:val="center"/>
          </w:tcPr>
          <w:p w14:paraId="58A5C5C6"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&lt; 60%</w:t>
            </w:r>
          </w:p>
        </w:tc>
        <w:tc>
          <w:tcPr>
            <w:tcW w:w="1260" w:type="dxa"/>
            <w:tcBorders>
              <w:top w:val="single" w:sz="2" w:space="0" w:color="D9D9D9" w:themeColor="background1" w:themeShade="D9"/>
              <w:left w:val="nil"/>
              <w:bottom w:val="single" w:sz="2" w:space="0" w:color="BFBFBF" w:themeColor="background1" w:themeShade="BF"/>
              <w:right w:val="single" w:sz="2" w:space="0" w:color="BFBFBF" w:themeColor="background1" w:themeShade="BF"/>
            </w:tcBorders>
            <w:shd w:val="clear" w:color="000000" w:fill="FFFFFF"/>
            <w:noWrap/>
            <w:vAlign w:val="center"/>
            <w:hideMark/>
          </w:tcPr>
          <w:p w14:paraId="6AA1242E"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single" w:sz="2" w:space="0" w:color="D9D9D9" w:themeColor="background1" w:themeShade="D9"/>
              <w:left w:val="single" w:sz="2" w:space="0" w:color="BFBFBF" w:themeColor="background1" w:themeShade="BF"/>
              <w:bottom w:val="single" w:sz="2" w:space="0" w:color="BFBFBF" w:themeColor="background1" w:themeShade="BF"/>
              <w:right w:val="nil"/>
            </w:tcBorders>
            <w:shd w:val="clear" w:color="000000" w:fill="FFFFFF"/>
            <w:noWrap/>
            <w:vAlign w:val="center"/>
            <w:hideMark/>
          </w:tcPr>
          <w:p w14:paraId="42F5DE17"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c>
          <w:tcPr>
            <w:tcW w:w="1690" w:type="dxa"/>
            <w:tcBorders>
              <w:top w:val="single" w:sz="2" w:space="0" w:color="D9D9D9" w:themeColor="background1" w:themeShade="D9"/>
              <w:left w:val="nil"/>
              <w:bottom w:val="single" w:sz="2" w:space="0" w:color="BFBFBF" w:themeColor="background1" w:themeShade="BF"/>
            </w:tcBorders>
            <w:shd w:val="clear" w:color="000000" w:fill="FFFFFF"/>
            <w:noWrap/>
            <w:vAlign w:val="center"/>
            <w:hideMark/>
          </w:tcPr>
          <w:p w14:paraId="6D55E8FA"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r>
      <w:tr w:rsidR="00E41AB4" w:rsidRPr="008F49A1" w14:paraId="5F9E8CE8" w14:textId="77777777" w:rsidTr="00AE07EF">
        <w:trPr>
          <w:trHeight w:val="187"/>
          <w:tblHeader/>
          <w:jc w:val="center"/>
        </w:trPr>
        <w:tc>
          <w:tcPr>
            <w:tcW w:w="1350" w:type="dxa"/>
            <w:vMerge w:val="restart"/>
            <w:tcBorders>
              <w:top w:val="single" w:sz="2" w:space="0" w:color="BFBFBF" w:themeColor="background1" w:themeShade="BF"/>
              <w:right w:val="single" w:sz="2" w:space="0" w:color="D9D9D9" w:themeColor="background1" w:themeShade="D9"/>
            </w:tcBorders>
            <w:shd w:val="clear" w:color="auto" w:fill="DAEEF3" w:themeFill="accent5" w:themeFillTint="33"/>
            <w:vAlign w:val="center"/>
            <w:hideMark/>
          </w:tcPr>
          <w:p w14:paraId="5397BFA7"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r w:rsidRPr="008F49A1">
              <w:rPr>
                <w:rFonts w:ascii="Optima" w:eastAsia="Times New Roman" w:hAnsi="Optima" w:cs="Calibri"/>
                <w:b/>
                <w:bCs/>
                <w:color w:val="404040"/>
                <w:sz w:val="19"/>
                <w:szCs w:val="19"/>
              </w:rPr>
              <w:t>25+</w:t>
            </w:r>
            <w:r w:rsidR="00B92065">
              <w:rPr>
                <w:rFonts w:ascii="Optima" w:eastAsia="Times New Roman" w:hAnsi="Optima" w:cs="Calibri"/>
                <w:b/>
                <w:bCs/>
                <w:color w:val="404040"/>
                <w:sz w:val="19"/>
                <w:szCs w:val="19"/>
              </w:rPr>
              <w:br/>
            </w:r>
            <w:r w:rsidRPr="008F49A1">
              <w:rPr>
                <w:rFonts w:ascii="Optima" w:eastAsia="Times New Roman" w:hAnsi="Optima" w:cs="Calibri"/>
                <w:b/>
                <w:bCs/>
                <w:color w:val="404040"/>
                <w:sz w:val="19"/>
                <w:szCs w:val="19"/>
              </w:rPr>
              <w:t>months</w:t>
            </w:r>
          </w:p>
        </w:tc>
        <w:tc>
          <w:tcPr>
            <w:tcW w:w="1370" w:type="dxa"/>
            <w:tcBorders>
              <w:top w:val="single" w:sz="2" w:space="0" w:color="BFBFBF" w:themeColor="background1" w:themeShade="BF"/>
              <w:left w:val="single" w:sz="2" w:space="0" w:color="D9D9D9" w:themeColor="background1" w:themeShade="D9"/>
              <w:bottom w:val="single" w:sz="2" w:space="0" w:color="D9D9D9" w:themeColor="background1" w:themeShade="D9"/>
              <w:right w:val="nil"/>
            </w:tcBorders>
            <w:shd w:val="clear" w:color="auto" w:fill="DAEEF3" w:themeFill="accent5" w:themeFillTint="33"/>
            <w:vAlign w:val="center"/>
          </w:tcPr>
          <w:p w14:paraId="7FA05D81"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50-100%</w:t>
            </w:r>
          </w:p>
        </w:tc>
        <w:tc>
          <w:tcPr>
            <w:tcW w:w="1170" w:type="dxa"/>
            <w:tcBorders>
              <w:top w:val="single" w:sz="2" w:space="0" w:color="BFBFBF" w:themeColor="background1" w:themeShade="BF"/>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46301706"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$5.00 ($20)</w:t>
            </w:r>
          </w:p>
        </w:tc>
        <w:tc>
          <w:tcPr>
            <w:tcW w:w="1350" w:type="dxa"/>
            <w:tcBorders>
              <w:top w:val="single" w:sz="2" w:space="0" w:color="BFBFBF" w:themeColor="background1" w:themeShade="BF"/>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tcPr>
          <w:p w14:paraId="3DF01014"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65-100%</w:t>
            </w:r>
          </w:p>
        </w:tc>
        <w:tc>
          <w:tcPr>
            <w:tcW w:w="1260" w:type="dxa"/>
            <w:tcBorders>
              <w:top w:val="single" w:sz="2" w:space="0" w:color="BFBFBF" w:themeColor="background1" w:themeShade="BF"/>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3DA5B35F"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$5.00 ($20)</w:t>
            </w:r>
          </w:p>
        </w:tc>
        <w:tc>
          <w:tcPr>
            <w:tcW w:w="1350" w:type="dxa"/>
            <w:tcBorders>
              <w:top w:val="single" w:sz="2" w:space="0" w:color="BFBFBF" w:themeColor="background1" w:themeShade="BF"/>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hideMark/>
          </w:tcPr>
          <w:p w14:paraId="18DF10C4"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100.00%</w:t>
            </w:r>
          </w:p>
        </w:tc>
        <w:tc>
          <w:tcPr>
            <w:tcW w:w="1690" w:type="dxa"/>
            <w:tcBorders>
              <w:top w:val="single" w:sz="2" w:space="0" w:color="BFBFBF" w:themeColor="background1" w:themeShade="BF"/>
              <w:left w:val="nil"/>
              <w:bottom w:val="single" w:sz="2" w:space="0" w:color="D9D9D9" w:themeColor="background1" w:themeShade="D9"/>
            </w:tcBorders>
            <w:shd w:val="clear" w:color="auto" w:fill="DAEEF3" w:themeFill="accent5" w:themeFillTint="33"/>
            <w:noWrap/>
            <w:vAlign w:val="center"/>
            <w:hideMark/>
          </w:tcPr>
          <w:p w14:paraId="4092ED18"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$8.91 ($35.64)</w:t>
            </w:r>
          </w:p>
        </w:tc>
      </w:tr>
      <w:tr w:rsidR="00E41AB4" w:rsidRPr="008F49A1" w14:paraId="62C059DE" w14:textId="77777777" w:rsidTr="00AE07EF">
        <w:trPr>
          <w:trHeight w:val="187"/>
          <w:tblHeader/>
          <w:jc w:val="center"/>
        </w:trPr>
        <w:tc>
          <w:tcPr>
            <w:tcW w:w="1350" w:type="dxa"/>
            <w:vMerge/>
            <w:tcBorders>
              <w:right w:val="single" w:sz="2" w:space="0" w:color="D9D9D9" w:themeColor="background1" w:themeShade="D9"/>
            </w:tcBorders>
            <w:shd w:val="clear" w:color="auto" w:fill="DAEEF3" w:themeFill="accent5" w:themeFillTint="33"/>
            <w:vAlign w:val="center"/>
            <w:hideMark/>
          </w:tcPr>
          <w:p w14:paraId="60907C4B"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p>
        </w:tc>
        <w:tc>
          <w:tcPr>
            <w:tcW w:w="137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DAEEF3" w:themeFill="accent5" w:themeFillTint="33"/>
            <w:vAlign w:val="center"/>
          </w:tcPr>
          <w:p w14:paraId="21FD252F"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30-49%</w:t>
            </w:r>
          </w:p>
        </w:tc>
        <w:tc>
          <w:tcPr>
            <w:tcW w:w="1170" w:type="dxa"/>
            <w:tcBorders>
              <w:top w:val="single" w:sz="2" w:space="0" w:color="D9D9D9" w:themeColor="background1" w:themeShade="D9"/>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0788510C"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$5.75 ($23)</w:t>
            </w:r>
          </w:p>
        </w:tc>
        <w:tc>
          <w:tcPr>
            <w:tcW w:w="1350" w:type="dxa"/>
            <w:tcBorders>
              <w:top w:val="single" w:sz="2" w:space="0" w:color="D9D9D9" w:themeColor="background1" w:themeShade="D9"/>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tcPr>
          <w:p w14:paraId="1399EC17"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40-64%</w:t>
            </w:r>
          </w:p>
        </w:tc>
        <w:tc>
          <w:tcPr>
            <w:tcW w:w="1260" w:type="dxa"/>
            <w:tcBorders>
              <w:top w:val="single" w:sz="2" w:space="0" w:color="D9D9D9" w:themeColor="background1" w:themeShade="D9"/>
              <w:left w:val="nil"/>
              <w:bottom w:val="single" w:sz="2" w:space="0" w:color="D9D9D9" w:themeColor="background1" w:themeShade="D9"/>
              <w:right w:val="single" w:sz="2" w:space="0" w:color="BFBFBF" w:themeColor="background1" w:themeShade="BF"/>
            </w:tcBorders>
            <w:shd w:val="clear" w:color="auto" w:fill="DAEEF3" w:themeFill="accent5" w:themeFillTint="33"/>
            <w:noWrap/>
            <w:vAlign w:val="center"/>
            <w:hideMark/>
          </w:tcPr>
          <w:p w14:paraId="1302E0B6"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$5.75 ($23)</w:t>
            </w:r>
          </w:p>
        </w:tc>
        <w:tc>
          <w:tcPr>
            <w:tcW w:w="1350" w:type="dxa"/>
            <w:tcBorders>
              <w:top w:val="single" w:sz="2" w:space="0" w:color="D9D9D9" w:themeColor="background1" w:themeShade="D9"/>
              <w:left w:val="single" w:sz="2" w:space="0" w:color="BFBFBF" w:themeColor="background1" w:themeShade="BF"/>
              <w:bottom w:val="single" w:sz="2" w:space="0" w:color="D9D9D9" w:themeColor="background1" w:themeShade="D9"/>
              <w:right w:val="nil"/>
            </w:tcBorders>
            <w:shd w:val="clear" w:color="auto" w:fill="DAEEF3" w:themeFill="accent5" w:themeFillTint="33"/>
            <w:noWrap/>
            <w:vAlign w:val="center"/>
            <w:hideMark/>
          </w:tcPr>
          <w:p w14:paraId="70735BFD"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c>
          <w:tcPr>
            <w:tcW w:w="1690" w:type="dxa"/>
            <w:tcBorders>
              <w:top w:val="single" w:sz="2" w:space="0" w:color="D9D9D9" w:themeColor="background1" w:themeShade="D9"/>
              <w:left w:val="nil"/>
              <w:bottom w:val="single" w:sz="2" w:space="0" w:color="D9D9D9" w:themeColor="background1" w:themeShade="D9"/>
            </w:tcBorders>
            <w:shd w:val="clear" w:color="auto" w:fill="DAEEF3" w:themeFill="accent5" w:themeFillTint="33"/>
            <w:noWrap/>
            <w:vAlign w:val="center"/>
            <w:hideMark/>
          </w:tcPr>
          <w:p w14:paraId="149CE9C1"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r>
      <w:tr w:rsidR="00E41AB4" w:rsidRPr="008F49A1" w14:paraId="47F011C1" w14:textId="77777777" w:rsidTr="00AE07EF">
        <w:trPr>
          <w:trHeight w:val="187"/>
          <w:tblHeader/>
          <w:jc w:val="center"/>
        </w:trPr>
        <w:tc>
          <w:tcPr>
            <w:tcW w:w="1350" w:type="dxa"/>
            <w:vMerge/>
            <w:tcBorders>
              <w:bottom w:val="single" w:sz="2" w:space="0" w:color="BFBFBF" w:themeColor="background1" w:themeShade="BF"/>
              <w:right w:val="single" w:sz="2" w:space="0" w:color="D9D9D9" w:themeColor="background1" w:themeShade="D9"/>
            </w:tcBorders>
            <w:shd w:val="clear" w:color="auto" w:fill="DAEEF3" w:themeFill="accent5" w:themeFillTint="33"/>
            <w:vAlign w:val="center"/>
            <w:hideMark/>
          </w:tcPr>
          <w:p w14:paraId="084481CD" w14:textId="77777777" w:rsidR="00E41AB4" w:rsidRPr="008F49A1" w:rsidRDefault="00E41AB4" w:rsidP="001E5946">
            <w:pPr>
              <w:spacing w:before="0" w:after="0" w:line="240" w:lineRule="auto"/>
              <w:jc w:val="center"/>
              <w:rPr>
                <w:rFonts w:ascii="Optima" w:eastAsia="Times New Roman" w:hAnsi="Optima" w:cs="Calibri"/>
                <w:b/>
                <w:bCs/>
                <w:color w:val="404040"/>
                <w:sz w:val="19"/>
                <w:szCs w:val="19"/>
              </w:rPr>
            </w:pPr>
          </w:p>
        </w:tc>
        <w:tc>
          <w:tcPr>
            <w:tcW w:w="1370" w:type="dxa"/>
            <w:tcBorders>
              <w:top w:val="single" w:sz="2" w:space="0" w:color="D9D9D9" w:themeColor="background1" w:themeShade="D9"/>
              <w:left w:val="single" w:sz="2" w:space="0" w:color="D9D9D9" w:themeColor="background1" w:themeShade="D9"/>
              <w:bottom w:val="single" w:sz="2" w:space="0" w:color="BFBFBF" w:themeColor="background1" w:themeShade="BF"/>
              <w:right w:val="nil"/>
            </w:tcBorders>
            <w:shd w:val="clear" w:color="auto" w:fill="DAEEF3" w:themeFill="accent5" w:themeFillTint="33"/>
            <w:vAlign w:val="center"/>
          </w:tcPr>
          <w:p w14:paraId="47345B61"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&lt; 30%</w:t>
            </w:r>
          </w:p>
        </w:tc>
        <w:tc>
          <w:tcPr>
            <w:tcW w:w="1170" w:type="dxa"/>
            <w:tcBorders>
              <w:top w:val="single" w:sz="2" w:space="0" w:color="D9D9D9" w:themeColor="background1" w:themeShade="D9"/>
              <w:left w:val="nil"/>
              <w:bottom w:val="single" w:sz="2" w:space="0" w:color="BFBFBF" w:themeColor="background1" w:themeShade="BF"/>
              <w:right w:val="single" w:sz="2" w:space="0" w:color="BFBFBF" w:themeColor="background1" w:themeShade="BF"/>
            </w:tcBorders>
            <w:shd w:val="clear" w:color="auto" w:fill="DAEEF3" w:themeFill="accent5" w:themeFillTint="33"/>
            <w:noWrap/>
            <w:vAlign w:val="center"/>
            <w:hideMark/>
          </w:tcPr>
          <w:p w14:paraId="3EA28423"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single" w:sz="2" w:space="0" w:color="D9D9D9" w:themeColor="background1" w:themeShade="D9"/>
              <w:left w:val="single" w:sz="2" w:space="0" w:color="BFBFBF" w:themeColor="background1" w:themeShade="BF"/>
              <w:bottom w:val="single" w:sz="2" w:space="0" w:color="BFBFBF" w:themeColor="background1" w:themeShade="BF"/>
              <w:right w:val="nil"/>
            </w:tcBorders>
            <w:shd w:val="clear" w:color="auto" w:fill="DAEEF3" w:themeFill="accent5" w:themeFillTint="33"/>
            <w:noWrap/>
            <w:vAlign w:val="center"/>
          </w:tcPr>
          <w:p w14:paraId="7BB3FBC4" w14:textId="77777777" w:rsidR="00E41AB4" w:rsidRPr="008F49A1" w:rsidRDefault="00E41AB4" w:rsidP="001E5946">
            <w:pPr>
              <w:spacing w:before="0" w:after="0" w:line="240" w:lineRule="auto"/>
              <w:ind w:left="-310" w:right="168"/>
              <w:jc w:val="right"/>
              <w:rPr>
                <w:rFonts w:ascii="Optima" w:eastAsia="Times New Roman" w:hAnsi="Optima" w:cs="Calibri"/>
                <w:color w:val="404040"/>
                <w:sz w:val="19"/>
                <w:szCs w:val="19"/>
              </w:rPr>
            </w:pPr>
            <w:r w:rsidRPr="008F49A1">
              <w:rPr>
                <w:rFonts w:ascii="Optima" w:eastAsia="Times New Roman" w:hAnsi="Optima" w:cs="Calibri"/>
                <w:color w:val="404040"/>
                <w:sz w:val="19"/>
                <w:szCs w:val="19"/>
              </w:rPr>
              <w:t>&lt; 40%</w:t>
            </w:r>
          </w:p>
        </w:tc>
        <w:tc>
          <w:tcPr>
            <w:tcW w:w="1260" w:type="dxa"/>
            <w:tcBorders>
              <w:top w:val="single" w:sz="2" w:space="0" w:color="D9D9D9" w:themeColor="background1" w:themeShade="D9"/>
              <w:left w:val="nil"/>
              <w:bottom w:val="single" w:sz="2" w:space="0" w:color="BFBFBF" w:themeColor="background1" w:themeShade="BF"/>
              <w:right w:val="single" w:sz="2" w:space="0" w:color="BFBFBF" w:themeColor="background1" w:themeShade="BF"/>
            </w:tcBorders>
            <w:shd w:val="clear" w:color="auto" w:fill="DAEEF3" w:themeFill="accent5" w:themeFillTint="33"/>
            <w:noWrap/>
            <w:vAlign w:val="center"/>
            <w:hideMark/>
          </w:tcPr>
          <w:p w14:paraId="42CE923A"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$6.50 ($26)</w:t>
            </w:r>
          </w:p>
        </w:tc>
        <w:tc>
          <w:tcPr>
            <w:tcW w:w="1350" w:type="dxa"/>
            <w:tcBorders>
              <w:top w:val="single" w:sz="2" w:space="0" w:color="D9D9D9" w:themeColor="background1" w:themeShade="D9"/>
              <w:left w:val="single" w:sz="2" w:space="0" w:color="BFBFBF" w:themeColor="background1" w:themeShade="BF"/>
              <w:bottom w:val="single" w:sz="2" w:space="0" w:color="BFBFBF" w:themeColor="background1" w:themeShade="BF"/>
              <w:right w:val="nil"/>
            </w:tcBorders>
            <w:shd w:val="clear" w:color="auto" w:fill="DAEEF3" w:themeFill="accent5" w:themeFillTint="33"/>
            <w:noWrap/>
            <w:vAlign w:val="center"/>
            <w:hideMark/>
          </w:tcPr>
          <w:p w14:paraId="09CC9703"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c>
          <w:tcPr>
            <w:tcW w:w="1690" w:type="dxa"/>
            <w:tcBorders>
              <w:top w:val="single" w:sz="2" w:space="0" w:color="D9D9D9" w:themeColor="background1" w:themeShade="D9"/>
              <w:left w:val="nil"/>
              <w:bottom w:val="single" w:sz="2" w:space="0" w:color="BFBFBF" w:themeColor="background1" w:themeShade="BF"/>
            </w:tcBorders>
            <w:shd w:val="clear" w:color="auto" w:fill="DAEEF3" w:themeFill="accent5" w:themeFillTint="33"/>
            <w:noWrap/>
            <w:vAlign w:val="center"/>
            <w:hideMark/>
          </w:tcPr>
          <w:p w14:paraId="08C9FCB3" w14:textId="77777777" w:rsidR="00E41AB4" w:rsidRPr="008F49A1" w:rsidRDefault="00E41AB4" w:rsidP="001E5946">
            <w:pPr>
              <w:spacing w:before="0" w:after="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r>
      <w:tr w:rsidR="00E41AB4" w:rsidRPr="008F49A1" w14:paraId="592795C7" w14:textId="77777777" w:rsidTr="00AE07EF">
        <w:trPr>
          <w:trHeight w:val="432"/>
          <w:tblHeader/>
          <w:jc w:val="center"/>
        </w:trPr>
        <w:tc>
          <w:tcPr>
            <w:tcW w:w="1350" w:type="dxa"/>
            <w:tcBorders>
              <w:top w:val="single" w:sz="2" w:space="0" w:color="BFBFBF" w:themeColor="background1" w:themeShade="BF"/>
              <w:bottom w:val="single" w:sz="2" w:space="0" w:color="BFBFBF" w:themeColor="background1" w:themeShade="BF"/>
              <w:right w:val="single" w:sz="2" w:space="0" w:color="D9D9D9" w:themeColor="background1" w:themeShade="D9"/>
            </w:tcBorders>
            <w:shd w:val="clear" w:color="000000" w:fill="FFFFFF"/>
            <w:vAlign w:val="center"/>
            <w:hideMark/>
          </w:tcPr>
          <w:p w14:paraId="5FE5F1D4" w14:textId="77777777" w:rsidR="00E41AB4" w:rsidRPr="008F49A1" w:rsidRDefault="00E41AB4" w:rsidP="00B1448E">
            <w:pPr>
              <w:spacing w:before="40" w:after="40" w:line="240" w:lineRule="auto"/>
              <w:jc w:val="center"/>
              <w:rPr>
                <w:rFonts w:ascii="Optima" w:eastAsia="Times New Roman" w:hAnsi="Optima" w:cs="Calibri"/>
                <w:b/>
                <w:bCs/>
                <w:color w:val="404040"/>
                <w:sz w:val="19"/>
                <w:szCs w:val="19"/>
              </w:rPr>
            </w:pPr>
            <w:r w:rsidRPr="008F49A1">
              <w:rPr>
                <w:rFonts w:ascii="Optima" w:eastAsia="Times New Roman" w:hAnsi="Optima" w:cs="Calibri"/>
                <w:b/>
                <w:bCs/>
                <w:color w:val="404040"/>
                <w:sz w:val="19"/>
                <w:szCs w:val="19"/>
              </w:rPr>
              <w:t>Stabilization &amp; Monitoring</w:t>
            </w:r>
          </w:p>
        </w:tc>
        <w:tc>
          <w:tcPr>
            <w:tcW w:w="1370" w:type="dxa"/>
            <w:tcBorders>
              <w:top w:val="single" w:sz="2" w:space="0" w:color="BFBFBF" w:themeColor="background1" w:themeShade="BF"/>
              <w:left w:val="single" w:sz="2" w:space="0" w:color="D9D9D9" w:themeColor="background1" w:themeShade="D9"/>
              <w:bottom w:val="single" w:sz="2" w:space="0" w:color="BFBFBF" w:themeColor="background1" w:themeShade="BF"/>
              <w:right w:val="nil"/>
            </w:tcBorders>
            <w:shd w:val="clear" w:color="000000" w:fill="FFFFFF"/>
            <w:vAlign w:val="center"/>
          </w:tcPr>
          <w:p w14:paraId="137B2E41" w14:textId="77777777" w:rsidR="00E41AB4" w:rsidRPr="008F49A1" w:rsidRDefault="00E41AB4" w:rsidP="00B1448E">
            <w:pPr>
              <w:spacing w:before="40" w:after="40" w:line="240" w:lineRule="auto"/>
              <w:ind w:left="-113" w:right="-103"/>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xml:space="preserve">&lt; / = </w:t>
            </w:r>
            <w:r w:rsidRPr="008F49A1">
              <w:rPr>
                <w:rFonts w:ascii="Optima" w:eastAsia="Times New Roman" w:hAnsi="Optima" w:cs="Calibri"/>
                <w:color w:val="404040"/>
                <w:sz w:val="19"/>
                <w:szCs w:val="19"/>
              </w:rPr>
              <w:br/>
              <w:t>1 hr/wk</w:t>
            </w:r>
          </w:p>
        </w:tc>
        <w:tc>
          <w:tcPr>
            <w:tcW w:w="1170" w:type="dxa"/>
            <w:tcBorders>
              <w:top w:val="single" w:sz="2" w:space="0" w:color="BFBFBF" w:themeColor="background1" w:themeShade="BF"/>
              <w:left w:val="nil"/>
              <w:bottom w:val="single" w:sz="2" w:space="0" w:color="BFBFBF" w:themeColor="background1" w:themeShade="BF"/>
              <w:right w:val="single" w:sz="2" w:space="0" w:color="BFBFBF" w:themeColor="background1" w:themeShade="BF"/>
            </w:tcBorders>
            <w:shd w:val="clear" w:color="000000" w:fill="FFFFFF"/>
            <w:noWrap/>
            <w:vAlign w:val="center"/>
            <w:hideMark/>
          </w:tcPr>
          <w:p w14:paraId="77AA3E17" w14:textId="77777777" w:rsidR="00E41AB4" w:rsidRPr="008F49A1" w:rsidRDefault="00E41AB4" w:rsidP="00B1448E">
            <w:pPr>
              <w:spacing w:before="40" w:after="40" w:line="240" w:lineRule="auto"/>
              <w:ind w:left="-113" w:right="-103"/>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$130/month</w:t>
            </w:r>
          </w:p>
        </w:tc>
        <w:tc>
          <w:tcPr>
            <w:tcW w:w="1350"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shd w:val="clear" w:color="000000" w:fill="FFFFFF"/>
            <w:vAlign w:val="center"/>
            <w:hideMark/>
          </w:tcPr>
          <w:p w14:paraId="591CE753" w14:textId="77777777" w:rsidR="00E41AB4" w:rsidRPr="008F49A1" w:rsidRDefault="00E41AB4" w:rsidP="00B1448E">
            <w:pPr>
              <w:spacing w:before="40" w:after="40" w:line="240" w:lineRule="auto"/>
              <w:ind w:left="-310" w:right="-110"/>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xml:space="preserve">&lt; / = </w:t>
            </w:r>
            <w:r w:rsidRPr="008F49A1">
              <w:rPr>
                <w:rFonts w:ascii="Optima" w:eastAsia="Times New Roman" w:hAnsi="Optima" w:cs="Calibri"/>
                <w:color w:val="404040"/>
                <w:sz w:val="19"/>
                <w:szCs w:val="19"/>
              </w:rPr>
              <w:br/>
              <w:t>1 hr/wk</w:t>
            </w:r>
          </w:p>
        </w:tc>
        <w:tc>
          <w:tcPr>
            <w:tcW w:w="1260" w:type="dxa"/>
            <w:tcBorders>
              <w:top w:val="single" w:sz="2" w:space="0" w:color="BFBFBF" w:themeColor="background1" w:themeShade="BF"/>
              <w:left w:val="nil"/>
              <w:bottom w:val="single" w:sz="2" w:space="0" w:color="BFBFBF" w:themeColor="background1" w:themeShade="BF"/>
              <w:right w:val="single" w:sz="2" w:space="0" w:color="BFBFBF" w:themeColor="background1" w:themeShade="BF"/>
            </w:tcBorders>
            <w:shd w:val="clear" w:color="000000" w:fill="FFFFFF"/>
            <w:noWrap/>
            <w:vAlign w:val="center"/>
            <w:hideMark/>
          </w:tcPr>
          <w:p w14:paraId="44E33571" w14:textId="77777777" w:rsidR="00E41AB4" w:rsidRPr="008F49A1" w:rsidRDefault="00E41AB4" w:rsidP="00B1448E">
            <w:pPr>
              <w:spacing w:before="40" w:after="40" w:line="240" w:lineRule="auto"/>
              <w:ind w:left="-111" w:right="-105"/>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$130/month</w:t>
            </w:r>
          </w:p>
        </w:tc>
        <w:tc>
          <w:tcPr>
            <w:tcW w:w="1350"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shd w:val="clear" w:color="000000" w:fill="FFFFFF"/>
            <w:noWrap/>
            <w:vAlign w:val="center"/>
            <w:hideMark/>
          </w:tcPr>
          <w:p w14:paraId="5B86052B" w14:textId="77777777" w:rsidR="00E41AB4" w:rsidRPr="008F49A1" w:rsidRDefault="00E41AB4" w:rsidP="00B1448E">
            <w:pPr>
              <w:spacing w:before="40" w:after="4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 </w:t>
            </w:r>
          </w:p>
        </w:tc>
        <w:tc>
          <w:tcPr>
            <w:tcW w:w="1690" w:type="dxa"/>
            <w:tcBorders>
              <w:top w:val="single" w:sz="2" w:space="0" w:color="BFBFBF" w:themeColor="background1" w:themeShade="BF"/>
              <w:left w:val="nil"/>
              <w:bottom w:val="single" w:sz="2" w:space="0" w:color="BFBFBF" w:themeColor="background1" w:themeShade="BF"/>
            </w:tcBorders>
            <w:shd w:val="clear" w:color="000000" w:fill="FFFFFF"/>
            <w:noWrap/>
            <w:vAlign w:val="center"/>
            <w:hideMark/>
          </w:tcPr>
          <w:p w14:paraId="3F8129A6" w14:textId="77777777" w:rsidR="00E41AB4" w:rsidRPr="008F49A1" w:rsidRDefault="00E41AB4" w:rsidP="00B1448E">
            <w:pPr>
              <w:spacing w:before="40" w:after="40" w:line="240" w:lineRule="auto"/>
              <w:jc w:val="center"/>
              <w:rPr>
                <w:rFonts w:ascii="Optima" w:eastAsia="Times New Roman" w:hAnsi="Optima" w:cs="Calibri"/>
                <w:color w:val="404040"/>
                <w:sz w:val="19"/>
                <w:szCs w:val="19"/>
              </w:rPr>
            </w:pPr>
            <w:r w:rsidRPr="008F49A1">
              <w:rPr>
                <w:rFonts w:ascii="Optima" w:eastAsia="Times New Roman" w:hAnsi="Optima" w:cs="Calibri"/>
                <w:color w:val="404040"/>
                <w:sz w:val="19"/>
                <w:szCs w:val="19"/>
              </w:rPr>
              <w:t>N/A</w:t>
            </w:r>
          </w:p>
        </w:tc>
      </w:tr>
    </w:tbl>
    <w:p w14:paraId="5EA9D047" w14:textId="4EF45A6F" w:rsidR="0085469B" w:rsidRDefault="0085469B" w:rsidP="00F05DFF">
      <w:pPr>
        <w:pStyle w:val="EndnoteText"/>
        <w:ind w:left="-90" w:right="-270"/>
        <w:jc w:val="center"/>
      </w:pPr>
      <w:bookmarkStart w:id="25" w:name="_Hlk23855047"/>
      <w:r w:rsidRPr="00B3090B">
        <w:t>Note:</w:t>
      </w:r>
      <w:bookmarkEnd w:id="25"/>
      <w:r>
        <w:t xml:space="preserve"> Face</w:t>
      </w:r>
      <w:r w:rsidR="007B6546">
        <w:t>-</w:t>
      </w:r>
      <w:r>
        <w:t>to</w:t>
      </w:r>
      <w:r w:rsidR="007B6546">
        <w:t>-</w:t>
      </w:r>
      <w:r>
        <w:t>face service delivery is not required to bill</w:t>
      </w:r>
      <w:r w:rsidR="00915A13">
        <w:t>,</w:t>
      </w:r>
      <w:r>
        <w:t xml:space="preserve"> but time billed must be for activities that meet </w:t>
      </w:r>
      <w:r w:rsidR="00B329F3">
        <w:t xml:space="preserve">the </w:t>
      </w:r>
      <w:r>
        <w:t>definition of Job Coaching and that are done based on the needs of, and for the benefit of, the specific waiver participant for which the time is billed. A unit</w:t>
      </w:r>
      <w:r w:rsidR="00B20218">
        <w:t xml:space="preserve"> </w:t>
      </w:r>
      <w:r>
        <w:t>of a job coach’s time may not be billed to more than one waiver participant. Service documentation must support billing consistent with these expectations.</w:t>
      </w:r>
    </w:p>
    <w:p w14:paraId="33A81D98" w14:textId="77777777" w:rsidR="001E6CD2" w:rsidRDefault="001E6CD2" w:rsidP="001E6CD2">
      <w:pPr>
        <w:pStyle w:val="NoSpacing"/>
      </w:pPr>
    </w:p>
    <w:p w14:paraId="0D4BF5C9" w14:textId="77777777" w:rsidR="0085469B" w:rsidRPr="001B422A" w:rsidRDefault="0085469B" w:rsidP="0085469B">
      <w:pPr>
        <w:rPr>
          <w:b/>
          <w:bCs/>
          <w:i/>
          <w:iCs/>
        </w:rPr>
      </w:pPr>
      <w:r w:rsidRPr="001B422A">
        <w:rPr>
          <w:b/>
          <w:bCs/>
          <w:i/>
          <w:iCs/>
        </w:rPr>
        <w:t>Third, Tennessee implemented quality incentive payments in addition to fee-for</w:t>
      </w:r>
      <w:r w:rsidR="006C5F8C">
        <w:rPr>
          <w:b/>
          <w:bCs/>
          <w:i/>
          <w:iCs/>
        </w:rPr>
        <w:t>-</w:t>
      </w:r>
      <w:r w:rsidRPr="001B422A">
        <w:rPr>
          <w:b/>
          <w:bCs/>
          <w:i/>
          <w:iCs/>
        </w:rPr>
        <w:t>service when waiver participants work higher than average hours in competitive integrated employment.</w:t>
      </w:r>
    </w:p>
    <w:p w14:paraId="3620CAF4" w14:textId="77777777" w:rsidR="00B418DC" w:rsidRPr="00B418DC" w:rsidRDefault="00B418DC" w:rsidP="0085469B">
      <w:r w:rsidRPr="00B418DC">
        <w:t>As mentioned above, the tiered, fee-for-service job coaching reimbursement model does not have mechanisms built in that incentivize providers to assist supported employees to increase their paid work hours. Therefore, Tennessee opted to establish specific quality incentive payments where Supported Employment providers are making atypical efforts resulting in a supported employee working higher than average hours in competitive integrated employment. These quality incentive payments can be earned up to twice a year in addition to any fee-for-service job coaching payments due to the provider for services provided.</w:t>
      </w:r>
    </w:p>
    <w:p w14:paraId="2316CF8E" w14:textId="77777777" w:rsidR="00B418DC" w:rsidRPr="00B418DC" w:rsidRDefault="00B418DC" w:rsidP="00B1367E">
      <w:r w:rsidRPr="00B418DC">
        <w:t>With average hours in competitive integrated employment at 11 hours/week, Tennessee established two quality incentive payment levels:</w:t>
      </w:r>
    </w:p>
    <w:p w14:paraId="3D25370E" w14:textId="77777777" w:rsidR="00B418DC" w:rsidRPr="00B418DC" w:rsidRDefault="00B418DC" w:rsidP="00262062">
      <w:pPr>
        <w:pStyle w:val="ListBullet"/>
      </w:pPr>
      <w:r w:rsidRPr="00B418DC">
        <w:t>$1,500 if a person worked between 390 and 519 hours in the prior six-month period: an amount equating to an average of at least 15 but less than 20 hours per week.</w:t>
      </w:r>
    </w:p>
    <w:p w14:paraId="57BDDDF7" w14:textId="77777777" w:rsidR="00B418DC" w:rsidRPr="00B418DC" w:rsidRDefault="00B418DC" w:rsidP="00262062">
      <w:pPr>
        <w:pStyle w:val="ListBullet"/>
      </w:pPr>
      <w:r w:rsidRPr="00B418DC">
        <w:t>$2,000 if a person worked 520 hours or more in the prior six-month period: an amount equating to an average of at least 20 hours per week.</w:t>
      </w:r>
    </w:p>
    <w:p w14:paraId="29F92A51" w14:textId="77777777" w:rsidR="00B418DC" w:rsidRPr="00B418DC" w:rsidRDefault="00B418DC" w:rsidP="00B1367E">
      <w:r w:rsidRPr="00B418DC">
        <w:t>Retroactive payment based on cumulative hours worked in the prior six-month period made it much easier for the provider and case manager to measure hours worked, versus an approach that required average weekly hours worked to be calculated. Further, the payment authorization based on prior documented performance ensures that the payments are only made when the quality outcomes have been achieved.</w:t>
      </w:r>
    </w:p>
    <w:p w14:paraId="56D93A3E" w14:textId="77777777" w:rsidR="00B418DC" w:rsidRPr="00B418DC" w:rsidRDefault="00B418DC" w:rsidP="00B1367E">
      <w:r w:rsidRPr="00B418DC">
        <w:t>Substantial rebalancing of spending made implementation of the above strategies possible in a cost-neutral change process</w:t>
      </w:r>
      <w:r w:rsidR="006677B7">
        <w:t xml:space="preserve">. </w:t>
      </w:r>
      <w:r w:rsidRPr="00B418DC">
        <w:t>Rebalancing came through ensuring that 100% of the prior investment in Supported Employment services (via per diem day rates) is actually going to the provision of Supported Employment services rather than going primarily to other services which was the reality under the day rate structure.</w:t>
      </w:r>
    </w:p>
    <w:p w14:paraId="669C4E0A" w14:textId="062363F6" w:rsidR="00AA1861" w:rsidRDefault="00B418DC" w:rsidP="00C36CF5">
      <w:pPr>
        <w:spacing w:after="0"/>
      </w:pPr>
      <w:r w:rsidRPr="00B418DC">
        <w:t xml:space="preserve">Tennessee also took steps to avoid what is common in many states: rates established for Supported Employment-Small Group that inadvertently incentivize Small Group opportunities over individual competitive integrated employment opportunities and rates that further incentivize large groups over small groups. To encourage meaningful opportunities for interaction of Group Supported Employment participants with other supervisors and workers in the same workplace (consistent with federal guidance), and to ensure opportunities for Group Supported Employment participants to interact with members of the broader community not receiving HCBS (consistent with HCBS Settings Rule standards), Tennessee decided to reduce the maximum group size to four (4) with the minimum size being two (2) people in its 1915c ID waivers. They further wanted to ensure that there was no financial incentive for providers to create larger </w:t>
      </w:r>
      <w:r w:rsidR="00B92065" w:rsidRPr="00B418DC">
        <w:t>groups,</w:t>
      </w:r>
      <w:r w:rsidRPr="00B418DC">
        <w:t xml:space="preserve"> so they established three 15-minute unit rates based on group size. The highest rate is set for groups of two</w:t>
      </w:r>
      <w:r w:rsidR="006C339E">
        <w:t>,</w:t>
      </w:r>
      <w:r w:rsidRPr="00B418DC">
        <w:t xml:space="preserve"> and the lowest rate is for groups of four</w:t>
      </w:r>
      <w:r w:rsidR="006677B7">
        <w:t xml:space="preserve">. </w:t>
      </w:r>
    </w:p>
    <w:p w14:paraId="156AB698" w14:textId="77777777" w:rsidR="004D4C63" w:rsidRPr="00106C86" w:rsidRDefault="004D4C63" w:rsidP="00F526F7">
      <w:pPr>
        <w:spacing w:before="240" w:after="60" w:line="240" w:lineRule="auto"/>
        <w:jc w:val="center"/>
        <w:rPr>
          <w:rFonts w:ascii="Optima" w:hAnsi="Optima"/>
          <w:b/>
          <w:bCs/>
          <w:color w:val="18424E"/>
        </w:rPr>
      </w:pPr>
      <w:r w:rsidRPr="00106C86">
        <w:rPr>
          <w:rFonts w:ascii="Optima" w:hAnsi="Optima"/>
          <w:b/>
          <w:bCs/>
          <w:color w:val="18424E"/>
        </w:rPr>
        <w:t>Before the Change</w:t>
      </w:r>
    </w:p>
    <w:tbl>
      <w:tblPr>
        <w:tblStyle w:val="EconSysBandedTable"/>
        <w:tblW w:w="0" w:type="auto"/>
        <w:jc w:val="center"/>
        <w:tblInd w:w="0" w:type="dxa"/>
        <w:tblLook w:val="0420" w:firstRow="1" w:lastRow="0" w:firstColumn="0" w:lastColumn="0" w:noHBand="0" w:noVBand="1"/>
      </w:tblPr>
      <w:tblGrid>
        <w:gridCol w:w="2790"/>
        <w:gridCol w:w="2970"/>
        <w:gridCol w:w="2550"/>
      </w:tblGrid>
      <w:tr w:rsidR="005258FB" w:rsidRPr="007B3A96" w14:paraId="02572B8B" w14:textId="77777777" w:rsidTr="00C76F2C">
        <w:trPr>
          <w:cnfStyle w:val="100000000000" w:firstRow="1" w:lastRow="0" w:firstColumn="0" w:lastColumn="0" w:oddVBand="0" w:evenVBand="0" w:oddHBand="0" w:evenHBand="0" w:firstRowFirstColumn="0" w:firstRowLastColumn="0" w:lastRowFirstColumn="0" w:lastRowLastColumn="0"/>
          <w:trHeight w:val="515"/>
          <w:jc w:val="center"/>
        </w:trPr>
        <w:tc>
          <w:tcPr>
            <w:tcW w:w="2790" w:type="dxa"/>
            <w:tcBorders>
              <w:bottom w:val="none" w:sz="0" w:space="0" w:color="auto"/>
            </w:tcBorders>
            <w:shd w:val="clear" w:color="auto" w:fill="215868" w:themeFill="accent5" w:themeFillShade="80"/>
            <w:vAlign w:val="center"/>
          </w:tcPr>
          <w:p w14:paraId="39EB9A58" w14:textId="77777777" w:rsidR="004D4C63" w:rsidRPr="007B3A96" w:rsidRDefault="004D4C63" w:rsidP="006C7457">
            <w:pPr>
              <w:spacing w:before="60" w:after="60" w:line="240" w:lineRule="auto"/>
              <w:jc w:val="center"/>
              <w:rPr>
                <w:rFonts w:ascii="Optima" w:hAnsi="Optima"/>
                <w:color w:val="FFFFFF" w:themeColor="background1"/>
                <w:sz w:val="19"/>
                <w:szCs w:val="19"/>
              </w:rPr>
            </w:pPr>
            <w:r w:rsidRPr="007B3A96">
              <w:rPr>
                <w:rFonts w:ascii="Optima" w:hAnsi="Optima"/>
                <w:color w:val="FFFFFF" w:themeColor="background1"/>
                <w:sz w:val="19"/>
                <w:szCs w:val="19"/>
              </w:rPr>
              <w:t>Group Supported Employment</w:t>
            </w:r>
          </w:p>
        </w:tc>
        <w:tc>
          <w:tcPr>
            <w:tcW w:w="2970" w:type="dxa"/>
            <w:tcBorders>
              <w:bottom w:val="none" w:sz="0" w:space="0" w:color="auto"/>
            </w:tcBorders>
            <w:shd w:val="clear" w:color="auto" w:fill="215868" w:themeFill="accent5" w:themeFillShade="80"/>
            <w:vAlign w:val="center"/>
          </w:tcPr>
          <w:p w14:paraId="1E8CF37E" w14:textId="77777777" w:rsidR="004D4C63" w:rsidRPr="007B3A96" w:rsidRDefault="004D4C63" w:rsidP="00F526F7">
            <w:pPr>
              <w:spacing w:before="60" w:after="60" w:line="240" w:lineRule="auto"/>
              <w:jc w:val="center"/>
              <w:rPr>
                <w:rFonts w:ascii="Optima" w:hAnsi="Optima"/>
                <w:color w:val="FFFFFF" w:themeColor="background1"/>
                <w:sz w:val="19"/>
                <w:szCs w:val="19"/>
              </w:rPr>
            </w:pPr>
            <w:r w:rsidRPr="007B3A96">
              <w:rPr>
                <w:rFonts w:ascii="Optima" w:hAnsi="Optima"/>
                <w:color w:val="FFFFFF" w:themeColor="background1"/>
                <w:sz w:val="19"/>
                <w:szCs w:val="19"/>
              </w:rPr>
              <w:t>Per Diem (Day) Rate Per Person</w:t>
            </w:r>
          </w:p>
        </w:tc>
        <w:tc>
          <w:tcPr>
            <w:tcW w:w="2550" w:type="dxa"/>
            <w:tcBorders>
              <w:bottom w:val="none" w:sz="0" w:space="0" w:color="auto"/>
            </w:tcBorders>
            <w:shd w:val="clear" w:color="auto" w:fill="215868" w:themeFill="accent5" w:themeFillShade="80"/>
            <w:vAlign w:val="center"/>
          </w:tcPr>
          <w:p w14:paraId="2065F43A" w14:textId="77777777" w:rsidR="004D4C63" w:rsidRPr="007B3A96" w:rsidRDefault="004D4C63" w:rsidP="00F526F7">
            <w:pPr>
              <w:spacing w:before="60" w:after="60" w:line="240" w:lineRule="auto"/>
              <w:jc w:val="center"/>
              <w:rPr>
                <w:rFonts w:ascii="Optima" w:hAnsi="Optima"/>
                <w:color w:val="FFFFFF" w:themeColor="background1"/>
                <w:sz w:val="19"/>
                <w:szCs w:val="19"/>
              </w:rPr>
            </w:pPr>
            <w:r w:rsidRPr="007B3A96">
              <w:rPr>
                <w:rFonts w:ascii="Optima" w:hAnsi="Optima"/>
                <w:color w:val="FFFFFF" w:themeColor="background1"/>
                <w:sz w:val="19"/>
                <w:szCs w:val="19"/>
              </w:rPr>
              <w:t>Average Per Diem Total Provider Income for Group</w:t>
            </w:r>
          </w:p>
        </w:tc>
      </w:tr>
      <w:tr w:rsidR="00F55C2E" w:rsidRPr="00F55C2E" w14:paraId="202DF69D" w14:textId="77777777" w:rsidTr="00106C86">
        <w:trPr>
          <w:cnfStyle w:val="000000100000" w:firstRow="0" w:lastRow="0" w:firstColumn="0" w:lastColumn="0" w:oddVBand="0" w:evenVBand="0" w:oddHBand="1" w:evenHBand="0" w:firstRowFirstColumn="0" w:firstRowLastColumn="0" w:lastRowFirstColumn="0" w:lastRowLastColumn="0"/>
          <w:trHeight w:val="374"/>
          <w:jc w:val="center"/>
        </w:trPr>
        <w:tc>
          <w:tcPr>
            <w:tcW w:w="2790" w:type="dxa"/>
            <w:tcBorders>
              <w:bottom w:val="single" w:sz="4" w:space="0" w:color="D9D9D9" w:themeColor="background1" w:themeShade="D9"/>
            </w:tcBorders>
            <w:shd w:val="clear" w:color="auto" w:fill="DAEEF3" w:themeFill="accent5" w:themeFillTint="33"/>
            <w:vAlign w:val="center"/>
          </w:tcPr>
          <w:p w14:paraId="652E1822" w14:textId="77777777" w:rsidR="004D4C63" w:rsidRPr="00F55C2E" w:rsidRDefault="004D4C63" w:rsidP="00324F77">
            <w:pPr>
              <w:spacing w:before="0" w:after="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Group Size 2-3</w:t>
            </w:r>
          </w:p>
        </w:tc>
        <w:tc>
          <w:tcPr>
            <w:tcW w:w="2970" w:type="dxa"/>
            <w:tcBorders>
              <w:bottom w:val="single" w:sz="4" w:space="0" w:color="D9D9D9" w:themeColor="background1" w:themeShade="D9"/>
            </w:tcBorders>
            <w:shd w:val="clear" w:color="auto" w:fill="DAEEF3" w:themeFill="accent5" w:themeFillTint="33"/>
            <w:vAlign w:val="center"/>
          </w:tcPr>
          <w:p w14:paraId="3460C9BD" w14:textId="77777777" w:rsidR="004D4C63" w:rsidRPr="00F55C2E" w:rsidRDefault="004D4C63" w:rsidP="00324F77">
            <w:pPr>
              <w:spacing w:before="0" w:after="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$83.24</w:t>
            </w:r>
          </w:p>
        </w:tc>
        <w:tc>
          <w:tcPr>
            <w:tcW w:w="2550" w:type="dxa"/>
            <w:tcBorders>
              <w:bottom w:val="single" w:sz="4" w:space="0" w:color="D9D9D9" w:themeColor="background1" w:themeShade="D9"/>
            </w:tcBorders>
            <w:shd w:val="clear" w:color="auto" w:fill="DAEEF3" w:themeFill="accent5" w:themeFillTint="33"/>
            <w:vAlign w:val="center"/>
          </w:tcPr>
          <w:p w14:paraId="00282C09" w14:textId="77777777" w:rsidR="004D4C63" w:rsidRPr="00F55C2E" w:rsidRDefault="004D4C63" w:rsidP="00F526F7">
            <w:pPr>
              <w:spacing w:before="0" w:after="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$208.10</w:t>
            </w:r>
          </w:p>
        </w:tc>
      </w:tr>
      <w:tr w:rsidR="005258FB" w:rsidRPr="00F55C2E" w14:paraId="3B921F58" w14:textId="77777777" w:rsidTr="00106C86">
        <w:trPr>
          <w:cnfStyle w:val="000000010000" w:firstRow="0" w:lastRow="0" w:firstColumn="0" w:lastColumn="0" w:oddVBand="0" w:evenVBand="0" w:oddHBand="0" w:evenHBand="1" w:firstRowFirstColumn="0" w:firstRowLastColumn="0" w:lastRowFirstColumn="0" w:lastRowLastColumn="0"/>
          <w:trHeight w:val="374"/>
          <w:jc w:val="center"/>
        </w:trPr>
        <w:tc>
          <w:tcPr>
            <w:tcW w:w="2790" w:type="dxa"/>
            <w:tcBorders>
              <w:top w:val="single" w:sz="4" w:space="0" w:color="D9D9D9" w:themeColor="background1" w:themeShade="D9"/>
            </w:tcBorders>
            <w:shd w:val="clear" w:color="auto" w:fill="FFFFFF" w:themeFill="background1"/>
            <w:vAlign w:val="center"/>
          </w:tcPr>
          <w:p w14:paraId="1E5AB85C" w14:textId="77777777" w:rsidR="004D4C63" w:rsidRPr="00F55C2E" w:rsidRDefault="004D4C63" w:rsidP="000F48B6">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Group Size 4-8</w:t>
            </w:r>
          </w:p>
        </w:tc>
        <w:tc>
          <w:tcPr>
            <w:tcW w:w="2970" w:type="dxa"/>
            <w:tcBorders>
              <w:top w:val="single" w:sz="4" w:space="0" w:color="D9D9D9" w:themeColor="background1" w:themeShade="D9"/>
            </w:tcBorders>
            <w:shd w:val="clear" w:color="auto" w:fill="FFFFFF" w:themeFill="background1"/>
            <w:vAlign w:val="center"/>
          </w:tcPr>
          <w:p w14:paraId="195F62B0" w14:textId="77777777" w:rsidR="004D4C63" w:rsidRPr="00F55C2E" w:rsidRDefault="004D4C63" w:rsidP="000F48B6">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$47.63</w:t>
            </w:r>
          </w:p>
        </w:tc>
        <w:tc>
          <w:tcPr>
            <w:tcW w:w="2550" w:type="dxa"/>
            <w:tcBorders>
              <w:top w:val="single" w:sz="4" w:space="0" w:color="D9D9D9" w:themeColor="background1" w:themeShade="D9"/>
            </w:tcBorders>
            <w:shd w:val="clear" w:color="auto" w:fill="FFFFFF" w:themeFill="background1"/>
            <w:vAlign w:val="center"/>
          </w:tcPr>
          <w:p w14:paraId="7B59B56D" w14:textId="77777777" w:rsidR="004D4C63" w:rsidRPr="00F55C2E" w:rsidRDefault="004D4C63" w:rsidP="000F48B6">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$285.78</w:t>
            </w:r>
          </w:p>
        </w:tc>
      </w:tr>
    </w:tbl>
    <w:p w14:paraId="15AED43D" w14:textId="77777777" w:rsidR="004D4C63" w:rsidRPr="00106C86" w:rsidRDefault="004D4C63" w:rsidP="00A823AF">
      <w:pPr>
        <w:spacing w:before="240" w:after="60" w:line="240" w:lineRule="auto"/>
        <w:jc w:val="center"/>
        <w:rPr>
          <w:rFonts w:ascii="Optima" w:hAnsi="Optima"/>
          <w:b/>
          <w:bCs/>
          <w:color w:val="18424E"/>
        </w:rPr>
      </w:pPr>
      <w:r w:rsidRPr="00106C86">
        <w:rPr>
          <w:rFonts w:ascii="Optima" w:hAnsi="Optima"/>
          <w:b/>
          <w:bCs/>
          <w:color w:val="18424E"/>
        </w:rPr>
        <w:t>After the Change</w:t>
      </w:r>
    </w:p>
    <w:tbl>
      <w:tblPr>
        <w:tblStyle w:val="EconSysBandedTable"/>
        <w:tblW w:w="8280" w:type="dxa"/>
        <w:jc w:val="center"/>
        <w:tblInd w:w="0" w:type="dxa"/>
        <w:tblLook w:val="0420" w:firstRow="1" w:lastRow="0" w:firstColumn="0" w:lastColumn="0" w:noHBand="0" w:noVBand="1"/>
      </w:tblPr>
      <w:tblGrid>
        <w:gridCol w:w="2790"/>
        <w:gridCol w:w="2970"/>
        <w:gridCol w:w="2520"/>
      </w:tblGrid>
      <w:tr w:rsidR="003C2B83" w:rsidRPr="007B3A96" w14:paraId="7BC86698" w14:textId="77777777" w:rsidTr="00C76F2C">
        <w:trPr>
          <w:cnfStyle w:val="100000000000" w:firstRow="1" w:lastRow="0" w:firstColumn="0" w:lastColumn="0" w:oddVBand="0" w:evenVBand="0" w:oddHBand="0" w:evenHBand="0" w:firstRowFirstColumn="0" w:firstRowLastColumn="0" w:lastRowFirstColumn="0" w:lastRowLastColumn="0"/>
          <w:trHeight w:val="506"/>
          <w:jc w:val="center"/>
        </w:trPr>
        <w:tc>
          <w:tcPr>
            <w:tcW w:w="2790" w:type="dxa"/>
            <w:tcBorders>
              <w:bottom w:val="none" w:sz="0" w:space="0" w:color="auto"/>
            </w:tcBorders>
            <w:shd w:val="clear" w:color="auto" w:fill="215868" w:themeFill="accent5" w:themeFillShade="80"/>
            <w:vAlign w:val="center"/>
          </w:tcPr>
          <w:p w14:paraId="6F10F69C" w14:textId="77777777" w:rsidR="004D4C63" w:rsidRPr="007B3A96" w:rsidRDefault="004D4C63" w:rsidP="006C7457">
            <w:pPr>
              <w:spacing w:before="60" w:after="60" w:line="240" w:lineRule="auto"/>
              <w:jc w:val="center"/>
              <w:rPr>
                <w:rFonts w:ascii="Optima" w:hAnsi="Optima"/>
                <w:color w:val="FFFFFF" w:themeColor="background1"/>
                <w:sz w:val="19"/>
                <w:szCs w:val="19"/>
              </w:rPr>
            </w:pPr>
            <w:r w:rsidRPr="007B3A96">
              <w:rPr>
                <w:rFonts w:ascii="Optima" w:hAnsi="Optima"/>
                <w:color w:val="FFFFFF" w:themeColor="background1"/>
                <w:sz w:val="19"/>
                <w:szCs w:val="19"/>
              </w:rPr>
              <w:t>Group Supported Employment</w:t>
            </w:r>
          </w:p>
        </w:tc>
        <w:tc>
          <w:tcPr>
            <w:tcW w:w="2970" w:type="dxa"/>
            <w:tcBorders>
              <w:bottom w:val="none" w:sz="0" w:space="0" w:color="auto"/>
            </w:tcBorders>
            <w:shd w:val="clear" w:color="auto" w:fill="215868" w:themeFill="accent5" w:themeFillShade="80"/>
            <w:vAlign w:val="center"/>
          </w:tcPr>
          <w:p w14:paraId="78D19F54" w14:textId="77777777" w:rsidR="004D4C63" w:rsidRPr="007B3A96" w:rsidRDefault="00EA04FB" w:rsidP="00F526F7">
            <w:pPr>
              <w:spacing w:before="60" w:after="60" w:line="240" w:lineRule="auto"/>
              <w:jc w:val="center"/>
              <w:rPr>
                <w:rFonts w:ascii="Optima" w:hAnsi="Optima"/>
                <w:color w:val="FFFFFF" w:themeColor="background1"/>
                <w:sz w:val="19"/>
                <w:szCs w:val="19"/>
              </w:rPr>
            </w:pPr>
            <w:r w:rsidRPr="007B3A96">
              <w:rPr>
                <w:rFonts w:ascii="Optima" w:hAnsi="Optima"/>
                <w:color w:val="FFFFFF" w:themeColor="background1"/>
                <w:sz w:val="19"/>
                <w:szCs w:val="19"/>
              </w:rPr>
              <w:t>15-minute</w:t>
            </w:r>
            <w:r w:rsidR="004D4C63" w:rsidRPr="007B3A96">
              <w:rPr>
                <w:rFonts w:ascii="Optima" w:hAnsi="Optima"/>
                <w:color w:val="FFFFFF" w:themeColor="background1"/>
                <w:sz w:val="19"/>
                <w:szCs w:val="19"/>
              </w:rPr>
              <w:t xml:space="preserve"> Unit Rate Per Person</w:t>
            </w:r>
          </w:p>
        </w:tc>
        <w:tc>
          <w:tcPr>
            <w:tcW w:w="2520" w:type="dxa"/>
            <w:tcBorders>
              <w:bottom w:val="none" w:sz="0" w:space="0" w:color="auto"/>
            </w:tcBorders>
            <w:shd w:val="clear" w:color="auto" w:fill="215868" w:themeFill="accent5" w:themeFillShade="80"/>
            <w:vAlign w:val="center"/>
          </w:tcPr>
          <w:p w14:paraId="1CDA3FA5" w14:textId="77777777" w:rsidR="004D4C63" w:rsidRPr="007B3A96" w:rsidRDefault="004D4C63" w:rsidP="00F526F7">
            <w:pPr>
              <w:spacing w:before="60" w:after="60" w:line="240" w:lineRule="auto"/>
              <w:jc w:val="center"/>
              <w:rPr>
                <w:rFonts w:ascii="Optima" w:hAnsi="Optima"/>
                <w:color w:val="FFFFFF" w:themeColor="background1"/>
                <w:sz w:val="19"/>
                <w:szCs w:val="19"/>
              </w:rPr>
            </w:pPr>
            <w:r w:rsidRPr="007B3A96">
              <w:rPr>
                <w:rFonts w:ascii="Optima" w:hAnsi="Optima"/>
                <w:color w:val="FFFFFF" w:themeColor="background1"/>
                <w:sz w:val="19"/>
                <w:szCs w:val="19"/>
              </w:rPr>
              <w:t>Average Total Hourly Provider Income for Group</w:t>
            </w:r>
          </w:p>
        </w:tc>
      </w:tr>
      <w:tr w:rsidR="003C2B83" w:rsidRPr="00F55C2E" w14:paraId="189EDC10" w14:textId="77777777" w:rsidTr="00106C86">
        <w:trPr>
          <w:cnfStyle w:val="000000100000" w:firstRow="0" w:lastRow="0" w:firstColumn="0" w:lastColumn="0" w:oddVBand="0" w:evenVBand="0" w:oddHBand="1" w:evenHBand="0" w:firstRowFirstColumn="0" w:firstRowLastColumn="0" w:lastRowFirstColumn="0" w:lastRowLastColumn="0"/>
          <w:trHeight w:val="374"/>
          <w:jc w:val="center"/>
        </w:trPr>
        <w:tc>
          <w:tcPr>
            <w:tcW w:w="2790" w:type="dxa"/>
            <w:tcBorders>
              <w:bottom w:val="single" w:sz="4" w:space="0" w:color="D9D9D9" w:themeColor="background1" w:themeShade="D9"/>
            </w:tcBorders>
            <w:shd w:val="clear" w:color="auto" w:fill="DAEEF3" w:themeFill="accent5" w:themeFillTint="33"/>
            <w:vAlign w:val="center"/>
          </w:tcPr>
          <w:p w14:paraId="5214C443"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Group Size 2</w:t>
            </w:r>
          </w:p>
        </w:tc>
        <w:tc>
          <w:tcPr>
            <w:tcW w:w="2970" w:type="dxa"/>
            <w:tcBorders>
              <w:bottom w:val="single" w:sz="4" w:space="0" w:color="D9D9D9" w:themeColor="background1" w:themeShade="D9"/>
            </w:tcBorders>
            <w:shd w:val="clear" w:color="auto" w:fill="DAEEF3" w:themeFill="accent5" w:themeFillTint="33"/>
            <w:vAlign w:val="center"/>
          </w:tcPr>
          <w:p w14:paraId="01BA1FAD"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$3.98</w:t>
            </w:r>
          </w:p>
        </w:tc>
        <w:tc>
          <w:tcPr>
            <w:tcW w:w="2520" w:type="dxa"/>
            <w:tcBorders>
              <w:bottom w:val="single" w:sz="4" w:space="0" w:color="D9D9D9" w:themeColor="background1" w:themeShade="D9"/>
            </w:tcBorders>
            <w:shd w:val="clear" w:color="auto" w:fill="DAEEF3" w:themeFill="accent5" w:themeFillTint="33"/>
            <w:vAlign w:val="center"/>
          </w:tcPr>
          <w:p w14:paraId="5C5DE173"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$31.84</w:t>
            </w:r>
          </w:p>
        </w:tc>
      </w:tr>
      <w:tr w:rsidR="00F55C2E" w:rsidRPr="00F55C2E" w14:paraId="4B2A0282" w14:textId="77777777" w:rsidTr="00106C86">
        <w:trPr>
          <w:cnfStyle w:val="000000010000" w:firstRow="0" w:lastRow="0" w:firstColumn="0" w:lastColumn="0" w:oddVBand="0" w:evenVBand="0" w:oddHBand="0" w:evenHBand="1" w:firstRowFirstColumn="0" w:firstRowLastColumn="0" w:lastRowFirstColumn="0" w:lastRowLastColumn="0"/>
          <w:trHeight w:val="374"/>
          <w:jc w:val="center"/>
        </w:trPr>
        <w:tc>
          <w:tcPr>
            <w:tcW w:w="2790" w:type="dxa"/>
            <w:tcBorders>
              <w:top w:val="single" w:sz="4" w:space="0" w:color="D9D9D9" w:themeColor="background1" w:themeShade="D9"/>
            </w:tcBorders>
            <w:vAlign w:val="center"/>
          </w:tcPr>
          <w:p w14:paraId="216D0FC8"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Group Size 3</w:t>
            </w:r>
          </w:p>
        </w:tc>
        <w:tc>
          <w:tcPr>
            <w:tcW w:w="2970" w:type="dxa"/>
            <w:tcBorders>
              <w:top w:val="single" w:sz="4" w:space="0" w:color="D9D9D9" w:themeColor="background1" w:themeShade="D9"/>
            </w:tcBorders>
            <w:vAlign w:val="center"/>
          </w:tcPr>
          <w:p w14:paraId="70032772"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$2.66</w:t>
            </w:r>
          </w:p>
        </w:tc>
        <w:tc>
          <w:tcPr>
            <w:tcW w:w="2520" w:type="dxa"/>
            <w:tcBorders>
              <w:top w:val="single" w:sz="4" w:space="0" w:color="D9D9D9" w:themeColor="background1" w:themeShade="D9"/>
            </w:tcBorders>
            <w:vAlign w:val="center"/>
          </w:tcPr>
          <w:p w14:paraId="440D3EAB"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$31.92</w:t>
            </w:r>
          </w:p>
        </w:tc>
      </w:tr>
      <w:tr w:rsidR="00F55C2E" w:rsidRPr="00F55C2E" w14:paraId="4EB6DB14" w14:textId="77777777" w:rsidTr="00C76F2C">
        <w:trPr>
          <w:cnfStyle w:val="000000100000" w:firstRow="0" w:lastRow="0" w:firstColumn="0" w:lastColumn="0" w:oddVBand="0" w:evenVBand="0" w:oddHBand="1" w:evenHBand="0" w:firstRowFirstColumn="0" w:firstRowLastColumn="0" w:lastRowFirstColumn="0" w:lastRowLastColumn="0"/>
          <w:trHeight w:val="374"/>
          <w:jc w:val="center"/>
        </w:trPr>
        <w:tc>
          <w:tcPr>
            <w:tcW w:w="2790" w:type="dxa"/>
            <w:tcBorders>
              <w:top w:val="single" w:sz="4" w:space="0" w:color="D9D9D9" w:themeColor="background1" w:themeShade="D9"/>
              <w:bottom w:val="single" w:sz="4" w:space="0" w:color="D9D9D9" w:themeColor="background1" w:themeShade="D9"/>
            </w:tcBorders>
            <w:shd w:val="clear" w:color="auto" w:fill="DAEEF3" w:themeFill="accent5" w:themeFillTint="33"/>
            <w:vAlign w:val="center"/>
          </w:tcPr>
          <w:p w14:paraId="25AF0DA5"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Group Size 4</w:t>
            </w:r>
          </w:p>
        </w:tc>
        <w:tc>
          <w:tcPr>
            <w:tcW w:w="2970" w:type="dxa"/>
            <w:tcBorders>
              <w:top w:val="single" w:sz="4" w:space="0" w:color="D9D9D9" w:themeColor="background1" w:themeShade="D9"/>
              <w:bottom w:val="single" w:sz="4" w:space="0" w:color="D9D9D9" w:themeColor="background1" w:themeShade="D9"/>
            </w:tcBorders>
            <w:shd w:val="clear" w:color="auto" w:fill="DAEEF3" w:themeFill="accent5" w:themeFillTint="33"/>
            <w:vAlign w:val="center"/>
          </w:tcPr>
          <w:p w14:paraId="47AB334E"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$1.95</w:t>
            </w:r>
          </w:p>
        </w:tc>
        <w:tc>
          <w:tcPr>
            <w:tcW w:w="2520" w:type="dxa"/>
            <w:tcBorders>
              <w:top w:val="single" w:sz="4" w:space="0" w:color="D9D9D9" w:themeColor="background1" w:themeShade="D9"/>
              <w:bottom w:val="single" w:sz="4" w:space="0" w:color="D9D9D9" w:themeColor="background1" w:themeShade="D9"/>
            </w:tcBorders>
            <w:shd w:val="clear" w:color="auto" w:fill="DAEEF3" w:themeFill="accent5" w:themeFillTint="33"/>
            <w:vAlign w:val="center"/>
          </w:tcPr>
          <w:p w14:paraId="0DDC124D" w14:textId="77777777" w:rsidR="004D4C63" w:rsidRPr="00F55C2E" w:rsidRDefault="004D4C63" w:rsidP="00324F77">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$31.20</w:t>
            </w:r>
          </w:p>
        </w:tc>
      </w:tr>
    </w:tbl>
    <w:p w14:paraId="57FF7691" w14:textId="45D00B4B" w:rsidR="004D4C63" w:rsidRPr="005258FB" w:rsidRDefault="004D4C63" w:rsidP="00F526F7">
      <w:pPr>
        <w:pStyle w:val="EndnoteText"/>
        <w:ind w:left="540" w:right="630"/>
        <w:jc w:val="center"/>
        <w:rPr>
          <w:b/>
        </w:rPr>
      </w:pPr>
      <w:r w:rsidRPr="005258FB">
        <w:t>Note</w:t>
      </w:r>
      <w:r w:rsidR="008C4BED" w:rsidRPr="005258FB">
        <w:t xml:space="preserve">: </w:t>
      </w:r>
      <w:r w:rsidRPr="005258FB">
        <w:t>The state ensur</w:t>
      </w:r>
      <w:r w:rsidR="00754151">
        <w:t>ed</w:t>
      </w:r>
      <w:r w:rsidRPr="005258FB">
        <w:t xml:space="preserve"> that anyone working in a small group larger than four had</w:t>
      </w:r>
      <w:r w:rsidR="00F526F7">
        <w:br/>
      </w:r>
      <w:r w:rsidRPr="005258FB">
        <w:t xml:space="preserve"> a</w:t>
      </w:r>
      <w:r w:rsidR="00F526F7">
        <w:t xml:space="preserve"> </w:t>
      </w:r>
      <w:r w:rsidRPr="005258FB">
        <w:t>transition plan</w:t>
      </w:r>
      <w:r w:rsidR="00F526F7">
        <w:t xml:space="preserve"> </w:t>
      </w:r>
      <w:r w:rsidRPr="005258FB">
        <w:t>in place before the funding for groups larger than four ended.</w:t>
      </w:r>
    </w:p>
    <w:p w14:paraId="7E746C84" w14:textId="77777777" w:rsidR="005258FB" w:rsidRPr="00F37AB7" w:rsidRDefault="005258FB" w:rsidP="00F37AB7">
      <w:pPr>
        <w:pStyle w:val="NoSpacing"/>
      </w:pPr>
    </w:p>
    <w:p w14:paraId="53740DF8" w14:textId="77777777" w:rsidR="004D4C63" w:rsidRPr="009F2EF2" w:rsidRDefault="004D4C63" w:rsidP="00B11115">
      <w:pPr>
        <w:pStyle w:val="Heading2"/>
      </w:pPr>
      <w:bookmarkStart w:id="26" w:name="_Toc70944178"/>
      <w:r w:rsidRPr="009F2EF2">
        <w:t>C</w:t>
      </w:r>
      <w:r w:rsidR="005A6337" w:rsidRPr="009F2EF2">
        <w:t>ase Example</w:t>
      </w:r>
      <w:r w:rsidR="008C4BED" w:rsidRPr="009F2EF2">
        <w:t xml:space="preserve">: </w:t>
      </w:r>
      <w:r w:rsidRPr="009F2EF2">
        <w:t>N</w:t>
      </w:r>
      <w:r w:rsidR="005A6337" w:rsidRPr="009F2EF2">
        <w:t>orth Carolina</w:t>
      </w:r>
      <w:bookmarkEnd w:id="26"/>
    </w:p>
    <w:p w14:paraId="2648D36A" w14:textId="77777777" w:rsidR="00BB50FE" w:rsidRPr="00753BF1" w:rsidRDefault="00BB50FE" w:rsidP="00B1367E">
      <w:pPr>
        <w:rPr>
          <w:bCs/>
        </w:rPr>
      </w:pPr>
      <w:r w:rsidRPr="00BB50FE">
        <w:t xml:space="preserve">In North Carolina, Individual Placement and Support Supported Employment (IPS-SE) is funded in part through a state dollar funding stream. This funding stream is administered by the state’s Division of Mental Health, Developmental Disabilities and Substance Abuse Services (DMHDDSAS). IPS is also funded with Medicaid (b)(3) funds. In 2016, the Division set out to </w:t>
      </w:r>
      <w:r w:rsidRPr="00BB50FE">
        <w:rPr>
          <w:bCs/>
        </w:rPr>
        <w:t>develop funding mechanisms for state-funded IPS that support the development and provision of high fidelity IPS-SE services that aligns with federal and state policies, regulations, and guidance.</w:t>
      </w:r>
    </w:p>
    <w:p w14:paraId="52E347B3" w14:textId="77777777" w:rsidR="00BB50FE" w:rsidRPr="00BB50FE" w:rsidRDefault="00BB50FE" w:rsidP="00B1367E">
      <w:r w:rsidRPr="00BB50FE">
        <w:t xml:space="preserve">The Division was guided by a recognition that reimbursement policies play a critical role in supporting the growth and development of a competent, statewide IPS-SE service provider network. Further, they recognized that research has shown traditional fee-for-service models utilizing flat reimbursement rates do not incentivize or support IPS-SE services at a high level of fidelity. Further, as a state that also has Medicaid managed care, including managed LTSS, with regional </w:t>
      </w:r>
      <w:r w:rsidR="00754151">
        <w:t>M</w:t>
      </w:r>
      <w:r w:rsidRPr="00BB50FE">
        <w:t xml:space="preserve">COs that administer state and Medicaid-funded IPS-SE services, they recognized that CMS expects states that utilize managed care to support community integration and the federal agency’s expectations include: </w:t>
      </w:r>
    </w:p>
    <w:p w14:paraId="74426EB9" w14:textId="14CAAAF9" w:rsidR="00BB50FE" w:rsidRPr="00BB50FE" w:rsidRDefault="00BB50FE" w:rsidP="00732998">
      <w:pPr>
        <w:pStyle w:val="ListBullet"/>
      </w:pPr>
      <w:r w:rsidRPr="00BB50FE">
        <w:t>Rates must be sufficient to encourage adequate MCO and provider participation to ensure all individuals with disabilities have access to services</w:t>
      </w:r>
    </w:p>
    <w:p w14:paraId="339EA119" w14:textId="77777777" w:rsidR="00BB50FE" w:rsidRPr="00BB50FE" w:rsidRDefault="00BB50FE" w:rsidP="00732998">
      <w:pPr>
        <w:pStyle w:val="ListBullet"/>
      </w:pPr>
      <w:r w:rsidRPr="00BB50FE">
        <w:t>States should employ performance-based incentives to encourage providers that achieve desired outcomes</w:t>
      </w:r>
      <w:r w:rsidR="0022325B">
        <w:t>.</w:t>
      </w:r>
    </w:p>
    <w:p w14:paraId="67971984" w14:textId="0B07B278" w:rsidR="002E166F" w:rsidRDefault="00BB50FE" w:rsidP="00C36CF5">
      <w:pPr>
        <w:spacing w:after="0"/>
      </w:pPr>
      <w:r w:rsidRPr="00BB50FE">
        <w:t>As a first step in moving toward an outcome-based payment structure, North Carolina’s DMHDDSAS decided to begin by incentivizing IPS-SE providers to achieve the highest possible fidelity. They already had a fairly simplistic model that did incentivize fidelity and recommended paying a higher fee-for-service unit rate for IPS-SE services to providers with IPS teams that had met fidelity versus those that had not</w:t>
      </w:r>
      <w:r w:rsidR="006677B7">
        <w:t xml:space="preserve">. </w:t>
      </w:r>
    </w:p>
    <w:p w14:paraId="41565BFE" w14:textId="77777777" w:rsidR="00C36CF5" w:rsidRPr="00BB50FE" w:rsidRDefault="00C36CF5" w:rsidP="00C36CF5">
      <w:pPr>
        <w:pStyle w:val="NoSpacing"/>
      </w:pPr>
    </w:p>
    <w:tbl>
      <w:tblPr>
        <w:tblStyle w:val="EconSysBandedTable"/>
        <w:tblW w:w="0" w:type="auto"/>
        <w:jc w:val="center"/>
        <w:tblInd w:w="0" w:type="dxa"/>
        <w:tblLook w:val="0420" w:firstRow="1" w:lastRow="0" w:firstColumn="0" w:lastColumn="0" w:noHBand="0" w:noVBand="1"/>
      </w:tblPr>
      <w:tblGrid>
        <w:gridCol w:w="1350"/>
        <w:gridCol w:w="2700"/>
        <w:gridCol w:w="1530"/>
      </w:tblGrid>
      <w:tr w:rsidR="00B92065" w:rsidRPr="00593802" w14:paraId="0E278A16" w14:textId="77777777" w:rsidTr="00E94C1A">
        <w:trPr>
          <w:cnfStyle w:val="100000000000" w:firstRow="1" w:lastRow="0" w:firstColumn="0" w:lastColumn="0" w:oddVBand="0" w:evenVBand="0" w:oddHBand="0" w:evenHBand="0" w:firstRowFirstColumn="0" w:firstRowLastColumn="0" w:lastRowFirstColumn="0" w:lastRowLastColumn="0"/>
          <w:trHeight w:val="374"/>
          <w:jc w:val="center"/>
        </w:trPr>
        <w:tc>
          <w:tcPr>
            <w:tcW w:w="1350" w:type="dxa"/>
            <w:shd w:val="clear" w:color="auto" w:fill="215868" w:themeFill="accent5" w:themeFillShade="80"/>
            <w:vAlign w:val="center"/>
          </w:tcPr>
          <w:p w14:paraId="2ABACA33" w14:textId="77777777" w:rsidR="004D4C63" w:rsidRPr="00593802" w:rsidRDefault="004D4C63" w:rsidP="00C31339">
            <w:pPr>
              <w:spacing w:before="60" w:after="60" w:line="240" w:lineRule="auto"/>
              <w:rPr>
                <w:rFonts w:ascii="Optima" w:hAnsi="Optima"/>
                <w:color w:val="FFFFFF" w:themeColor="background1"/>
                <w:sz w:val="19"/>
                <w:szCs w:val="19"/>
              </w:rPr>
            </w:pPr>
            <w:r w:rsidRPr="00593802">
              <w:rPr>
                <w:rFonts w:ascii="Optima" w:hAnsi="Optima"/>
                <w:color w:val="FFFFFF" w:themeColor="background1"/>
                <w:sz w:val="19"/>
                <w:szCs w:val="19"/>
              </w:rPr>
              <w:t>Billing Code</w:t>
            </w:r>
          </w:p>
        </w:tc>
        <w:tc>
          <w:tcPr>
            <w:tcW w:w="2700" w:type="dxa"/>
            <w:shd w:val="clear" w:color="auto" w:fill="215868" w:themeFill="accent5" w:themeFillShade="80"/>
            <w:vAlign w:val="center"/>
          </w:tcPr>
          <w:p w14:paraId="5AEBD9EC" w14:textId="77777777" w:rsidR="004D4C63" w:rsidRPr="00593802" w:rsidRDefault="004D4C63" w:rsidP="006C7457">
            <w:pPr>
              <w:spacing w:before="60" w:after="60" w:line="240" w:lineRule="auto"/>
              <w:jc w:val="center"/>
              <w:rPr>
                <w:rFonts w:ascii="Optima" w:hAnsi="Optima"/>
                <w:color w:val="FFFFFF" w:themeColor="background1"/>
                <w:sz w:val="19"/>
                <w:szCs w:val="19"/>
              </w:rPr>
            </w:pPr>
            <w:r w:rsidRPr="00593802">
              <w:rPr>
                <w:rFonts w:ascii="Optima" w:hAnsi="Optima"/>
                <w:color w:val="FFFFFF" w:themeColor="background1"/>
                <w:sz w:val="19"/>
                <w:szCs w:val="19"/>
              </w:rPr>
              <w:t>IPS-SE Team Fidelity Rating</w:t>
            </w:r>
          </w:p>
        </w:tc>
        <w:tc>
          <w:tcPr>
            <w:tcW w:w="1530" w:type="dxa"/>
            <w:shd w:val="clear" w:color="auto" w:fill="215868" w:themeFill="accent5" w:themeFillShade="80"/>
            <w:vAlign w:val="center"/>
          </w:tcPr>
          <w:p w14:paraId="251412F2" w14:textId="77777777" w:rsidR="004D4C63" w:rsidRPr="00593802" w:rsidRDefault="004D4C63" w:rsidP="00C31339">
            <w:pPr>
              <w:spacing w:before="60" w:after="60" w:line="240" w:lineRule="auto"/>
              <w:jc w:val="center"/>
              <w:rPr>
                <w:rFonts w:ascii="Optima" w:hAnsi="Optima"/>
                <w:color w:val="FFFFFF" w:themeColor="background1"/>
                <w:sz w:val="19"/>
                <w:szCs w:val="19"/>
              </w:rPr>
            </w:pPr>
            <w:r w:rsidRPr="00593802">
              <w:rPr>
                <w:rFonts w:ascii="Optima" w:hAnsi="Optima"/>
                <w:color w:val="FFFFFF" w:themeColor="background1"/>
                <w:sz w:val="19"/>
                <w:szCs w:val="19"/>
              </w:rPr>
              <w:t>Rate per unit</w:t>
            </w:r>
          </w:p>
        </w:tc>
      </w:tr>
      <w:tr w:rsidR="00B92065" w:rsidRPr="00F55C2E" w14:paraId="5305C424" w14:textId="77777777" w:rsidTr="00E94C1A">
        <w:trPr>
          <w:cnfStyle w:val="000000100000" w:firstRow="0" w:lastRow="0" w:firstColumn="0" w:lastColumn="0" w:oddVBand="0" w:evenVBand="0" w:oddHBand="1" w:evenHBand="0" w:firstRowFirstColumn="0" w:firstRowLastColumn="0" w:lastRowFirstColumn="0" w:lastRowLastColumn="0"/>
          <w:trHeight w:val="374"/>
          <w:jc w:val="center"/>
        </w:trPr>
        <w:tc>
          <w:tcPr>
            <w:tcW w:w="1350" w:type="dxa"/>
            <w:shd w:val="clear" w:color="auto" w:fill="DAEEF3" w:themeFill="accent5" w:themeFillTint="33"/>
            <w:vAlign w:val="center"/>
          </w:tcPr>
          <w:p w14:paraId="1DE91C00"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YP630</w:t>
            </w:r>
          </w:p>
        </w:tc>
        <w:tc>
          <w:tcPr>
            <w:tcW w:w="2700" w:type="dxa"/>
            <w:shd w:val="clear" w:color="auto" w:fill="DAEEF3" w:themeFill="accent5" w:themeFillTint="33"/>
            <w:vAlign w:val="center"/>
          </w:tcPr>
          <w:p w14:paraId="12E3F3B6"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Met Fidelity</w:t>
            </w:r>
          </w:p>
        </w:tc>
        <w:tc>
          <w:tcPr>
            <w:tcW w:w="1530" w:type="dxa"/>
            <w:shd w:val="clear" w:color="auto" w:fill="DAEEF3" w:themeFill="accent5" w:themeFillTint="33"/>
            <w:vAlign w:val="center"/>
          </w:tcPr>
          <w:p w14:paraId="4E093A13"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$19.02/unit</w:t>
            </w:r>
          </w:p>
        </w:tc>
      </w:tr>
      <w:tr w:rsidR="00B92065" w:rsidRPr="00F55C2E" w14:paraId="4BEBA4DD" w14:textId="77777777" w:rsidTr="00E94C1A">
        <w:trPr>
          <w:cnfStyle w:val="000000010000" w:firstRow="0" w:lastRow="0" w:firstColumn="0" w:lastColumn="0" w:oddVBand="0" w:evenVBand="0" w:oddHBand="0" w:evenHBand="1" w:firstRowFirstColumn="0" w:firstRowLastColumn="0" w:lastRowFirstColumn="0" w:lastRowLastColumn="0"/>
          <w:trHeight w:val="374"/>
          <w:jc w:val="center"/>
        </w:trPr>
        <w:tc>
          <w:tcPr>
            <w:tcW w:w="1350" w:type="dxa"/>
            <w:vAlign w:val="center"/>
          </w:tcPr>
          <w:p w14:paraId="1F427FBB" w14:textId="77777777" w:rsidR="004D4C63" w:rsidRPr="00F55C2E" w:rsidRDefault="004D4C63" w:rsidP="00C31339">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YP630</w:t>
            </w:r>
          </w:p>
        </w:tc>
        <w:tc>
          <w:tcPr>
            <w:tcW w:w="2700" w:type="dxa"/>
            <w:vAlign w:val="center"/>
          </w:tcPr>
          <w:p w14:paraId="552AFCED"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Not Met Fidelity</w:t>
            </w:r>
          </w:p>
        </w:tc>
        <w:tc>
          <w:tcPr>
            <w:tcW w:w="1530" w:type="dxa"/>
            <w:vAlign w:val="center"/>
          </w:tcPr>
          <w:p w14:paraId="6D3601B0" w14:textId="77777777" w:rsidR="004D4C63" w:rsidRPr="00F55C2E" w:rsidRDefault="004D4C63" w:rsidP="00C31339">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$14.22/unit</w:t>
            </w:r>
          </w:p>
        </w:tc>
      </w:tr>
    </w:tbl>
    <w:p w14:paraId="2A2089BA" w14:textId="77777777" w:rsidR="004D4C63" w:rsidRPr="00043C33" w:rsidRDefault="004D4C63" w:rsidP="002476FD">
      <w:pPr>
        <w:pStyle w:val="NoSpacing"/>
      </w:pPr>
    </w:p>
    <w:p w14:paraId="3D507D70" w14:textId="5F853BB4" w:rsidR="002E166F" w:rsidRDefault="00BB50FE" w:rsidP="00B92065">
      <w:pPr>
        <w:spacing w:after="0"/>
      </w:pPr>
      <w:r w:rsidRPr="00BB50FE">
        <w:t>However, this structure only incentivized providers to achieve “Fair” fidelity, the lowest fidelity ranking. Achieving “Fair” fidelity was considered to meet fidelity and therefore qualify the provider for the higher unit rate. There was no further incentive to achieve fidelity higher than “Fair.” This funding structure provides no financial incentive for teams to actively work towards improving their fidelity score. Research has consistently shown that higher fidelity scores result in improved employment outcomes for individuals receiving services. As such, DMHDDSAS developed the following rate recommendations to implement statewide for state funded IPS-SE services:</w:t>
      </w:r>
    </w:p>
    <w:p w14:paraId="71261189" w14:textId="77777777" w:rsidR="00562218" w:rsidRPr="001253B5" w:rsidRDefault="00562218" w:rsidP="00CB21ED">
      <w:pPr>
        <w:spacing w:before="240" w:line="216" w:lineRule="auto"/>
        <w:jc w:val="center"/>
        <w:rPr>
          <w:rFonts w:ascii="Optima" w:hAnsi="Optima"/>
          <w:b/>
          <w:sz w:val="19"/>
          <w:szCs w:val="19"/>
        </w:rPr>
      </w:pPr>
      <w:r w:rsidRPr="001253B5">
        <w:rPr>
          <w:rFonts w:ascii="Optima" w:hAnsi="Optima"/>
          <w:b/>
          <w:sz w:val="19"/>
          <w:szCs w:val="19"/>
        </w:rPr>
        <w:t>Tiered Rates for IPS-SE based on Tiered Fidelity Evaluation Score</w:t>
      </w:r>
    </w:p>
    <w:tbl>
      <w:tblPr>
        <w:tblStyle w:val="EconSysBandedTable"/>
        <w:tblW w:w="5580" w:type="dxa"/>
        <w:jc w:val="center"/>
        <w:tblInd w:w="0" w:type="dxa"/>
        <w:tblLook w:val="0420" w:firstRow="1" w:lastRow="0" w:firstColumn="0" w:lastColumn="0" w:noHBand="0" w:noVBand="1"/>
      </w:tblPr>
      <w:tblGrid>
        <w:gridCol w:w="2430"/>
        <w:gridCol w:w="1980"/>
        <w:gridCol w:w="1170"/>
      </w:tblGrid>
      <w:tr w:rsidR="006364B1" w:rsidRPr="008779F5" w14:paraId="155CD1A0" w14:textId="77777777" w:rsidTr="00106C86">
        <w:trPr>
          <w:cnfStyle w:val="100000000000" w:firstRow="1" w:lastRow="0" w:firstColumn="0" w:lastColumn="0" w:oddVBand="0" w:evenVBand="0" w:oddHBand="0" w:evenHBand="0" w:firstRowFirstColumn="0" w:firstRowLastColumn="0" w:lastRowFirstColumn="0" w:lastRowLastColumn="0"/>
          <w:trHeight w:val="374"/>
          <w:jc w:val="center"/>
        </w:trPr>
        <w:tc>
          <w:tcPr>
            <w:tcW w:w="2430" w:type="dxa"/>
            <w:shd w:val="clear" w:color="auto" w:fill="215868" w:themeFill="accent5" w:themeFillShade="80"/>
            <w:vAlign w:val="center"/>
          </w:tcPr>
          <w:p w14:paraId="53E8F57F" w14:textId="77777777" w:rsidR="004D4C63" w:rsidRPr="008779F5" w:rsidRDefault="004D4C63" w:rsidP="00E94C1A">
            <w:pPr>
              <w:spacing w:before="60" w:after="60" w:line="240" w:lineRule="auto"/>
              <w:rPr>
                <w:rFonts w:ascii="Optima" w:hAnsi="Optima"/>
                <w:color w:val="FFFFFF" w:themeColor="background1"/>
                <w:sz w:val="19"/>
                <w:szCs w:val="19"/>
              </w:rPr>
            </w:pPr>
            <w:r w:rsidRPr="008779F5">
              <w:rPr>
                <w:rFonts w:ascii="Optima" w:hAnsi="Optima"/>
                <w:color w:val="FFFFFF" w:themeColor="background1"/>
                <w:sz w:val="19"/>
                <w:szCs w:val="19"/>
              </w:rPr>
              <w:t>Certification</w:t>
            </w:r>
          </w:p>
        </w:tc>
        <w:tc>
          <w:tcPr>
            <w:tcW w:w="1980" w:type="dxa"/>
            <w:shd w:val="clear" w:color="auto" w:fill="215868" w:themeFill="accent5" w:themeFillShade="80"/>
            <w:vAlign w:val="center"/>
          </w:tcPr>
          <w:p w14:paraId="2B1EF1BD" w14:textId="77777777" w:rsidR="004D4C63" w:rsidRPr="008779F5" w:rsidRDefault="004D4C63" w:rsidP="00E94C1A">
            <w:pPr>
              <w:spacing w:before="60" w:after="60" w:line="240" w:lineRule="auto"/>
              <w:jc w:val="center"/>
              <w:rPr>
                <w:rFonts w:ascii="Optima" w:hAnsi="Optima"/>
                <w:color w:val="FFFFFF" w:themeColor="background1"/>
                <w:sz w:val="19"/>
                <w:szCs w:val="19"/>
              </w:rPr>
            </w:pPr>
            <w:r w:rsidRPr="008779F5">
              <w:rPr>
                <w:rFonts w:ascii="Optima" w:hAnsi="Optima"/>
                <w:color w:val="FFFFFF" w:themeColor="background1"/>
                <w:sz w:val="19"/>
                <w:szCs w:val="19"/>
              </w:rPr>
              <w:t>Score Range</w:t>
            </w:r>
          </w:p>
        </w:tc>
        <w:tc>
          <w:tcPr>
            <w:tcW w:w="1170" w:type="dxa"/>
            <w:shd w:val="clear" w:color="auto" w:fill="215868" w:themeFill="accent5" w:themeFillShade="80"/>
            <w:vAlign w:val="center"/>
          </w:tcPr>
          <w:p w14:paraId="5D2CA903" w14:textId="77777777" w:rsidR="004D4C63" w:rsidRPr="008779F5" w:rsidRDefault="004D4C63" w:rsidP="00E94C1A">
            <w:pPr>
              <w:spacing w:before="60" w:after="60" w:line="240" w:lineRule="auto"/>
              <w:jc w:val="center"/>
              <w:rPr>
                <w:rFonts w:ascii="Optima" w:hAnsi="Optima"/>
                <w:color w:val="FFFFFF" w:themeColor="background1"/>
                <w:sz w:val="19"/>
                <w:szCs w:val="19"/>
              </w:rPr>
            </w:pPr>
            <w:r w:rsidRPr="008779F5">
              <w:rPr>
                <w:rFonts w:ascii="Optima" w:hAnsi="Optima"/>
                <w:color w:val="FFFFFF" w:themeColor="background1"/>
                <w:sz w:val="19"/>
                <w:szCs w:val="19"/>
              </w:rPr>
              <w:t>Rate</w:t>
            </w:r>
          </w:p>
        </w:tc>
      </w:tr>
      <w:tr w:rsidR="006364B1" w:rsidRPr="00F55C2E" w14:paraId="551C3116" w14:textId="77777777" w:rsidTr="00106C86">
        <w:trPr>
          <w:cnfStyle w:val="000000100000" w:firstRow="0" w:lastRow="0" w:firstColumn="0" w:lastColumn="0" w:oddVBand="0" w:evenVBand="0" w:oddHBand="1" w:evenHBand="0" w:firstRowFirstColumn="0" w:firstRowLastColumn="0" w:lastRowFirstColumn="0" w:lastRowLastColumn="0"/>
          <w:trHeight w:val="374"/>
          <w:jc w:val="center"/>
        </w:trPr>
        <w:tc>
          <w:tcPr>
            <w:tcW w:w="2430" w:type="dxa"/>
            <w:shd w:val="clear" w:color="auto" w:fill="DAEEF3" w:themeFill="accent5" w:themeFillTint="33"/>
            <w:vAlign w:val="center"/>
          </w:tcPr>
          <w:p w14:paraId="24E2B26E" w14:textId="77777777" w:rsidR="004D4C63" w:rsidRPr="00F55C2E" w:rsidRDefault="004D4C63" w:rsidP="00E94C1A">
            <w:pPr>
              <w:spacing w:before="60" w:after="60" w:line="240" w:lineRule="auto"/>
              <w:rPr>
                <w:rFonts w:ascii="Optima" w:hAnsi="Optima"/>
                <w:color w:val="262626" w:themeColor="text1" w:themeTint="D9"/>
                <w:sz w:val="19"/>
                <w:szCs w:val="19"/>
              </w:rPr>
            </w:pPr>
            <w:r w:rsidRPr="00F55C2E">
              <w:rPr>
                <w:rFonts w:ascii="Optima" w:hAnsi="Optima"/>
                <w:color w:val="262626" w:themeColor="text1" w:themeTint="D9"/>
                <w:sz w:val="19"/>
                <w:szCs w:val="19"/>
              </w:rPr>
              <w:t>No Certification</w:t>
            </w:r>
          </w:p>
        </w:tc>
        <w:tc>
          <w:tcPr>
            <w:tcW w:w="1980" w:type="dxa"/>
            <w:shd w:val="clear" w:color="auto" w:fill="DAEEF3" w:themeFill="accent5" w:themeFillTint="33"/>
            <w:vAlign w:val="center"/>
          </w:tcPr>
          <w:p w14:paraId="27E3EE7E"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Rating below 74</w:t>
            </w:r>
          </w:p>
        </w:tc>
        <w:tc>
          <w:tcPr>
            <w:tcW w:w="1170" w:type="dxa"/>
            <w:shd w:val="clear" w:color="auto" w:fill="DAEEF3" w:themeFill="accent5" w:themeFillTint="33"/>
            <w:vAlign w:val="center"/>
          </w:tcPr>
          <w:p w14:paraId="6E412B04"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$14.22/unit</w:t>
            </w:r>
          </w:p>
        </w:tc>
      </w:tr>
      <w:tr w:rsidR="006364B1" w:rsidRPr="00F55C2E" w14:paraId="094DCFFF" w14:textId="77777777" w:rsidTr="00106C86">
        <w:trPr>
          <w:cnfStyle w:val="000000010000" w:firstRow="0" w:lastRow="0" w:firstColumn="0" w:lastColumn="0" w:oddVBand="0" w:evenVBand="0" w:oddHBand="0" w:evenHBand="1" w:firstRowFirstColumn="0" w:firstRowLastColumn="0" w:lastRowFirstColumn="0" w:lastRowLastColumn="0"/>
          <w:trHeight w:val="374"/>
          <w:jc w:val="center"/>
        </w:trPr>
        <w:tc>
          <w:tcPr>
            <w:tcW w:w="2430" w:type="dxa"/>
            <w:vAlign w:val="center"/>
          </w:tcPr>
          <w:p w14:paraId="359403EA" w14:textId="77777777" w:rsidR="004D4C63" w:rsidRPr="00F55C2E" w:rsidRDefault="004D4C63" w:rsidP="00E94C1A">
            <w:pPr>
              <w:spacing w:before="60" w:after="60" w:line="240" w:lineRule="auto"/>
              <w:rPr>
                <w:rFonts w:ascii="Optima" w:hAnsi="Optima"/>
                <w:color w:val="262626" w:themeColor="text1" w:themeTint="D9"/>
                <w:sz w:val="19"/>
                <w:szCs w:val="19"/>
              </w:rPr>
            </w:pPr>
            <w:r w:rsidRPr="00F55C2E">
              <w:rPr>
                <w:rFonts w:ascii="Optima" w:hAnsi="Optima"/>
                <w:color w:val="262626" w:themeColor="text1" w:themeTint="D9"/>
                <w:sz w:val="19"/>
                <w:szCs w:val="19"/>
              </w:rPr>
              <w:t>Fair Fidelity Level</w:t>
            </w:r>
          </w:p>
        </w:tc>
        <w:tc>
          <w:tcPr>
            <w:tcW w:w="1980" w:type="dxa"/>
            <w:vAlign w:val="center"/>
          </w:tcPr>
          <w:p w14:paraId="0A670991"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Rating 74-99</w:t>
            </w:r>
          </w:p>
        </w:tc>
        <w:tc>
          <w:tcPr>
            <w:tcW w:w="1170" w:type="dxa"/>
            <w:vAlign w:val="center"/>
          </w:tcPr>
          <w:p w14:paraId="2DE6C62F"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$19.02/unit</w:t>
            </w:r>
          </w:p>
        </w:tc>
      </w:tr>
      <w:tr w:rsidR="006364B1" w:rsidRPr="00F55C2E" w14:paraId="4878D659" w14:textId="77777777" w:rsidTr="00106C86">
        <w:trPr>
          <w:cnfStyle w:val="000000100000" w:firstRow="0" w:lastRow="0" w:firstColumn="0" w:lastColumn="0" w:oddVBand="0" w:evenVBand="0" w:oddHBand="1" w:evenHBand="0" w:firstRowFirstColumn="0" w:firstRowLastColumn="0" w:lastRowFirstColumn="0" w:lastRowLastColumn="0"/>
          <w:trHeight w:val="374"/>
          <w:jc w:val="center"/>
        </w:trPr>
        <w:tc>
          <w:tcPr>
            <w:tcW w:w="2430" w:type="dxa"/>
            <w:shd w:val="clear" w:color="auto" w:fill="DAEEF3" w:themeFill="accent5" w:themeFillTint="33"/>
            <w:vAlign w:val="center"/>
          </w:tcPr>
          <w:p w14:paraId="093111BA" w14:textId="77777777" w:rsidR="004D4C63" w:rsidRPr="00F55C2E" w:rsidRDefault="004D4C63" w:rsidP="00E94C1A">
            <w:pPr>
              <w:spacing w:before="60" w:after="60" w:line="240" w:lineRule="auto"/>
              <w:rPr>
                <w:rFonts w:ascii="Optima" w:hAnsi="Optima"/>
                <w:color w:val="262626" w:themeColor="text1" w:themeTint="D9"/>
                <w:sz w:val="19"/>
                <w:szCs w:val="19"/>
              </w:rPr>
            </w:pPr>
            <w:r w:rsidRPr="00F55C2E">
              <w:rPr>
                <w:rFonts w:ascii="Optima" w:hAnsi="Optima"/>
                <w:color w:val="262626" w:themeColor="text1" w:themeTint="D9"/>
                <w:sz w:val="19"/>
                <w:szCs w:val="19"/>
              </w:rPr>
              <w:t>Good Fidelity Level</w:t>
            </w:r>
          </w:p>
        </w:tc>
        <w:tc>
          <w:tcPr>
            <w:tcW w:w="1980" w:type="dxa"/>
            <w:shd w:val="clear" w:color="auto" w:fill="DAEEF3" w:themeFill="accent5" w:themeFillTint="33"/>
            <w:vAlign w:val="center"/>
          </w:tcPr>
          <w:p w14:paraId="3A81C6DD"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Rating 100-114</w:t>
            </w:r>
          </w:p>
        </w:tc>
        <w:tc>
          <w:tcPr>
            <w:tcW w:w="1170" w:type="dxa"/>
            <w:shd w:val="clear" w:color="auto" w:fill="DAEEF3" w:themeFill="accent5" w:themeFillTint="33"/>
            <w:vAlign w:val="center"/>
          </w:tcPr>
          <w:p w14:paraId="1FB6F244"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$21.87/unit</w:t>
            </w:r>
          </w:p>
        </w:tc>
      </w:tr>
      <w:tr w:rsidR="006364B1" w:rsidRPr="00F55C2E" w14:paraId="6524D779" w14:textId="77777777" w:rsidTr="00106C86">
        <w:trPr>
          <w:cnfStyle w:val="000000010000" w:firstRow="0" w:lastRow="0" w:firstColumn="0" w:lastColumn="0" w:oddVBand="0" w:evenVBand="0" w:oddHBand="0" w:evenHBand="1" w:firstRowFirstColumn="0" w:firstRowLastColumn="0" w:lastRowFirstColumn="0" w:lastRowLastColumn="0"/>
          <w:trHeight w:val="374"/>
          <w:jc w:val="center"/>
        </w:trPr>
        <w:tc>
          <w:tcPr>
            <w:tcW w:w="2430" w:type="dxa"/>
            <w:vAlign w:val="center"/>
          </w:tcPr>
          <w:p w14:paraId="5EC3DE49" w14:textId="77777777" w:rsidR="004D4C63" w:rsidRPr="00F55C2E" w:rsidRDefault="004D4C63" w:rsidP="00E94C1A">
            <w:pPr>
              <w:spacing w:before="60" w:after="60" w:line="240" w:lineRule="auto"/>
              <w:rPr>
                <w:rFonts w:ascii="Optima" w:hAnsi="Optima"/>
                <w:color w:val="262626" w:themeColor="text1" w:themeTint="D9"/>
                <w:sz w:val="19"/>
                <w:szCs w:val="19"/>
              </w:rPr>
            </w:pPr>
            <w:r w:rsidRPr="00F55C2E">
              <w:rPr>
                <w:rFonts w:ascii="Optima" w:hAnsi="Optima"/>
                <w:color w:val="262626" w:themeColor="text1" w:themeTint="D9"/>
                <w:sz w:val="19"/>
                <w:szCs w:val="19"/>
              </w:rPr>
              <w:t>Exemplary Fidelity Level</w:t>
            </w:r>
          </w:p>
        </w:tc>
        <w:tc>
          <w:tcPr>
            <w:tcW w:w="1980" w:type="dxa"/>
            <w:vAlign w:val="center"/>
          </w:tcPr>
          <w:p w14:paraId="1B337B13"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Rating 115-125</w:t>
            </w:r>
          </w:p>
        </w:tc>
        <w:tc>
          <w:tcPr>
            <w:tcW w:w="1170" w:type="dxa"/>
            <w:vAlign w:val="center"/>
          </w:tcPr>
          <w:p w14:paraId="2105589A" w14:textId="77777777" w:rsidR="004D4C63" w:rsidRPr="00F55C2E" w:rsidRDefault="004D4C63" w:rsidP="00E94C1A">
            <w:pPr>
              <w:spacing w:before="60" w:after="60" w:line="240" w:lineRule="auto"/>
              <w:jc w:val="center"/>
              <w:rPr>
                <w:rFonts w:ascii="Optima" w:hAnsi="Optima"/>
                <w:color w:val="262626" w:themeColor="text1" w:themeTint="D9"/>
                <w:sz w:val="19"/>
                <w:szCs w:val="19"/>
              </w:rPr>
            </w:pPr>
            <w:r w:rsidRPr="00F55C2E">
              <w:rPr>
                <w:rFonts w:ascii="Optima" w:hAnsi="Optima"/>
                <w:color w:val="262626" w:themeColor="text1" w:themeTint="D9"/>
                <w:sz w:val="19"/>
                <w:szCs w:val="19"/>
              </w:rPr>
              <w:t>$27.33/unit</w:t>
            </w:r>
          </w:p>
        </w:tc>
      </w:tr>
    </w:tbl>
    <w:p w14:paraId="516B1A64" w14:textId="77777777" w:rsidR="004D4C63" w:rsidRPr="00B92065" w:rsidRDefault="00BB50FE" w:rsidP="00A27C3F">
      <w:pPr>
        <w:pStyle w:val="EndnoteText"/>
        <w:jc w:val="center"/>
      </w:pPr>
      <w:r w:rsidRPr="00B92065">
        <w:t>Note</w:t>
      </w:r>
      <w:r w:rsidR="00D10210" w:rsidRPr="00B92065">
        <w:t xml:space="preserve">: </w:t>
      </w:r>
      <w:r w:rsidRPr="00B92065">
        <w:t>Trained DMHDDSAS teams conduct annual fidelity reviews.</w:t>
      </w:r>
    </w:p>
    <w:p w14:paraId="14E05B94" w14:textId="77777777" w:rsidR="00BB50FE" w:rsidRDefault="00BB50FE" w:rsidP="002476FD">
      <w:pPr>
        <w:pStyle w:val="NoSpacing"/>
      </w:pPr>
    </w:p>
    <w:p w14:paraId="7E25E9CB" w14:textId="77777777" w:rsidR="00E16BE1" w:rsidRDefault="00BB50FE" w:rsidP="00B1367E">
      <w:r w:rsidRPr="00BB50FE">
        <w:t xml:space="preserve">Rates are based </w:t>
      </w:r>
      <w:r w:rsidR="00947096">
        <w:t>on</w:t>
      </w:r>
      <w:r w:rsidRPr="00BB50FE">
        <w:t xml:space="preserve"> the IPS-SE team’s most recent fidelity score, as determined by a trained, state fidelity team. The IPS-SE team can bill for services at that rate until a subsequent fidelity evaluation has been completed. </w:t>
      </w:r>
    </w:p>
    <w:p w14:paraId="78138E7B" w14:textId="41CA9026" w:rsidR="003153B6" w:rsidRDefault="00E16BE1" w:rsidP="00022B8D">
      <w:pPr>
        <w:rPr>
          <w:rFonts w:asciiTheme="majorHAnsi" w:eastAsiaTheme="majorEastAsia" w:hAnsiTheme="majorHAnsi" w:cs="Times New Roman (Headings CS)"/>
          <w:bCs/>
          <w:color w:val="31849B" w:themeColor="accent5" w:themeShade="BF"/>
          <w:sz w:val="22"/>
          <w:szCs w:val="22"/>
        </w:rPr>
      </w:pPr>
      <w:r w:rsidRPr="00E16BE1">
        <w:t>DMHDDSAS maintains responsibility for scheduling fidelity evaluations with IPS-SE teams and communicating final scores to both the team and the LME-MCO. LME-MCOs are responsible for submitting rate adjustment forms to DMHDDSAS</w:t>
      </w:r>
      <w:r w:rsidR="00947096">
        <w:t>,</w:t>
      </w:r>
      <w:r w:rsidRPr="00E16BE1">
        <w:t xml:space="preserve"> identifying the IPS-SE team, their billing rate (if it has changed)</w:t>
      </w:r>
      <w:r w:rsidR="00947096">
        <w:t>,</w:t>
      </w:r>
      <w:r w:rsidRPr="00E16BE1">
        <w:t xml:space="preserve"> and the effective date of the rate change. IPS-SE providers have the ability to retroactively submit billing to the first day of the on-site fidelity evaluation if their rate has increased</w:t>
      </w:r>
      <w:r w:rsidR="0037194D">
        <w:t xml:space="preserve">. </w:t>
      </w:r>
      <w:r w:rsidRPr="00E16BE1">
        <w:t>If the provider’s rate has decreased as a result of their fidelity evaluation, the provider may be subject to payback for the difference going back to the first day of the on-site review if the LME-MCO seeks to pursue payback.</w:t>
      </w:r>
      <w:r w:rsidR="003153B6">
        <w:br w:type="page"/>
      </w:r>
    </w:p>
    <w:p w14:paraId="4C9660F5" w14:textId="36EB3315" w:rsidR="004D4C63" w:rsidRPr="00A049B4" w:rsidRDefault="004D4C63" w:rsidP="00B11115">
      <w:pPr>
        <w:pStyle w:val="Heading3"/>
      </w:pPr>
      <w:bookmarkStart w:id="27" w:name="_Toc70944179"/>
      <w:r w:rsidRPr="00A049B4">
        <w:t>Transitioning to Milestone-Based Reimbursement</w:t>
      </w:r>
      <w:bookmarkEnd w:id="27"/>
    </w:p>
    <w:p w14:paraId="40126B60" w14:textId="77777777" w:rsidR="00B92065" w:rsidRDefault="00E16BE1" w:rsidP="000854CC">
      <w:r w:rsidRPr="00E16BE1">
        <w:t>In July of 2019, DMHDDSAS launched a pilot of a milestone-based payment structure for IPS-SE with one of its LME-MCOs and an IPS-SE provider. DMHDDSAS worked closely with North Carolina D</w:t>
      </w:r>
      <w:r w:rsidR="00861C46">
        <w:t>ivision of Vocational Rehabilitation Services (DVR)</w:t>
      </w:r>
      <w:r w:rsidRPr="00E16BE1">
        <w:t xml:space="preserve"> and North Carolina Medicaid to ensure as much alignment as possible between the milestones paid by both programs for IPS-SE and to support braiding of funding around the entire IPS-SE process.</w:t>
      </w:r>
    </w:p>
    <w:p w14:paraId="1DAE0995" w14:textId="214E0D6E" w:rsidR="00B92065" w:rsidRDefault="00B92065">
      <w:pPr>
        <w:spacing w:before="0" w:after="0" w:line="240" w:lineRule="auto"/>
      </w:pPr>
    </w:p>
    <w:tbl>
      <w:tblPr>
        <w:tblStyle w:val="EconSysBandedTable"/>
        <w:tblW w:w="9360" w:type="dxa"/>
        <w:jc w:val="center"/>
        <w:tblInd w:w="0" w:type="dxa"/>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20" w:firstRow="1" w:lastRow="0" w:firstColumn="0" w:lastColumn="0" w:noHBand="0" w:noVBand="1"/>
      </w:tblPr>
      <w:tblGrid>
        <w:gridCol w:w="1360"/>
        <w:gridCol w:w="5120"/>
        <w:gridCol w:w="2880"/>
      </w:tblGrid>
      <w:tr w:rsidR="00C81A5A" w:rsidRPr="00931B82" w14:paraId="1EF3F8CE" w14:textId="77777777" w:rsidTr="00A823AF">
        <w:trPr>
          <w:cnfStyle w:val="100000000000" w:firstRow="1" w:lastRow="0" w:firstColumn="0" w:lastColumn="0" w:oddVBand="0" w:evenVBand="0" w:oddHBand="0" w:evenHBand="0" w:firstRowFirstColumn="0" w:firstRowLastColumn="0" w:lastRowFirstColumn="0" w:lastRowLastColumn="0"/>
          <w:trHeight w:val="374"/>
          <w:jc w:val="center"/>
        </w:trPr>
        <w:tc>
          <w:tcPr>
            <w:tcW w:w="1360" w:type="dxa"/>
            <w:tcBorders>
              <w:bottom w:val="none" w:sz="0" w:space="0" w:color="auto"/>
            </w:tcBorders>
            <w:shd w:val="clear" w:color="auto" w:fill="403152" w:themeFill="accent4" w:themeFillShade="80"/>
            <w:vAlign w:val="center"/>
          </w:tcPr>
          <w:p w14:paraId="38B26C73" w14:textId="77777777" w:rsidR="005B7592" w:rsidRPr="005878A1" w:rsidRDefault="005B7592" w:rsidP="00D6568A">
            <w:pPr>
              <w:spacing w:before="60" w:after="60" w:line="240" w:lineRule="auto"/>
              <w:jc w:val="center"/>
              <w:rPr>
                <w:rFonts w:ascii="Optima" w:hAnsi="Optima"/>
                <w:color w:val="FFFFFF" w:themeColor="background1"/>
                <w:sz w:val="19"/>
                <w:szCs w:val="19"/>
              </w:rPr>
            </w:pPr>
            <w:bookmarkStart w:id="28" w:name="RANGE!B2"/>
            <w:bookmarkStart w:id="29" w:name="_Hlk24972347"/>
            <w:r>
              <w:rPr>
                <w:rFonts w:ascii="Optima" w:hAnsi="Optima" w:cs="Calibri"/>
                <w:color w:val="FFFFFF"/>
                <w:sz w:val="19"/>
                <w:szCs w:val="19"/>
              </w:rPr>
              <w:t>IPS PROCESS</w:t>
            </w:r>
            <w:bookmarkEnd w:id="28"/>
          </w:p>
        </w:tc>
        <w:tc>
          <w:tcPr>
            <w:tcW w:w="5120" w:type="dxa"/>
            <w:tcBorders>
              <w:bottom w:val="none" w:sz="0" w:space="0" w:color="auto"/>
            </w:tcBorders>
            <w:shd w:val="clear" w:color="auto" w:fill="403152" w:themeFill="accent4" w:themeFillShade="80"/>
            <w:vAlign w:val="center"/>
          </w:tcPr>
          <w:p w14:paraId="2FF75105" w14:textId="77777777" w:rsidR="005B7592" w:rsidRPr="005878A1" w:rsidRDefault="005B7592" w:rsidP="00D6568A">
            <w:pPr>
              <w:spacing w:before="60" w:after="60" w:line="240" w:lineRule="auto"/>
              <w:jc w:val="center"/>
              <w:rPr>
                <w:rFonts w:ascii="Optima" w:hAnsi="Optima"/>
                <w:color w:val="FFFFFF" w:themeColor="background1"/>
                <w:sz w:val="19"/>
                <w:szCs w:val="19"/>
              </w:rPr>
            </w:pPr>
            <w:r>
              <w:rPr>
                <w:rFonts w:ascii="Optima" w:hAnsi="Optima" w:cs="Calibri"/>
                <w:color w:val="FFFFFF"/>
                <w:sz w:val="19"/>
                <w:szCs w:val="19"/>
              </w:rPr>
              <w:t>DMHDDSAS MILESTONES</w:t>
            </w:r>
          </w:p>
        </w:tc>
        <w:tc>
          <w:tcPr>
            <w:tcW w:w="2880" w:type="dxa"/>
            <w:tcBorders>
              <w:bottom w:val="none" w:sz="0" w:space="0" w:color="auto"/>
            </w:tcBorders>
            <w:shd w:val="clear" w:color="auto" w:fill="403152" w:themeFill="accent4" w:themeFillShade="80"/>
            <w:vAlign w:val="center"/>
          </w:tcPr>
          <w:p w14:paraId="3DEBED1B" w14:textId="77777777" w:rsidR="005B7592" w:rsidRPr="005878A1" w:rsidRDefault="005B7592" w:rsidP="00D6568A">
            <w:pPr>
              <w:spacing w:before="60" w:after="60" w:line="240" w:lineRule="auto"/>
              <w:jc w:val="center"/>
              <w:rPr>
                <w:rFonts w:ascii="Optima" w:hAnsi="Optima"/>
                <w:color w:val="FFFFFF" w:themeColor="background1"/>
                <w:sz w:val="19"/>
                <w:szCs w:val="19"/>
              </w:rPr>
            </w:pPr>
            <w:r>
              <w:rPr>
                <w:rFonts w:ascii="Optima" w:hAnsi="Optima" w:cs="Calibri"/>
                <w:color w:val="FFFFFF"/>
                <w:sz w:val="19"/>
                <w:szCs w:val="19"/>
              </w:rPr>
              <w:t>NC DVR MILESTONES</w:t>
            </w:r>
          </w:p>
        </w:tc>
      </w:tr>
      <w:bookmarkEnd w:id="29"/>
      <w:tr w:rsidR="00C81A5A" w:rsidRPr="00603D1C" w14:paraId="04793A6A" w14:textId="77777777" w:rsidTr="00A823AF">
        <w:trPr>
          <w:cnfStyle w:val="000000100000" w:firstRow="0" w:lastRow="0" w:firstColumn="0" w:lastColumn="0" w:oddVBand="0" w:evenVBand="0" w:oddHBand="1" w:evenHBand="0" w:firstRowFirstColumn="0" w:firstRowLastColumn="0" w:lastRowFirstColumn="0" w:lastRowLastColumn="0"/>
          <w:trHeight w:val="1656"/>
          <w:jc w:val="center"/>
        </w:trPr>
        <w:tc>
          <w:tcPr>
            <w:tcW w:w="1360" w:type="dxa"/>
            <w:shd w:val="clear" w:color="auto" w:fill="E5DFEC" w:themeFill="accent4" w:themeFillTint="33"/>
            <w:vAlign w:val="center"/>
          </w:tcPr>
          <w:p w14:paraId="109CC211" w14:textId="77777777" w:rsidR="004D4C63" w:rsidRPr="00603D1C" w:rsidRDefault="004D4C63" w:rsidP="00106C86">
            <w:pPr>
              <w:spacing w:before="60" w:after="60" w:line="240" w:lineRule="auto"/>
              <w:contextualSpacing w:val="0"/>
              <w:rPr>
                <w:rFonts w:ascii="Optima" w:hAnsi="Optima"/>
                <w:sz w:val="19"/>
                <w:szCs w:val="19"/>
              </w:rPr>
            </w:pPr>
            <w:r w:rsidRPr="00603D1C">
              <w:rPr>
                <w:rFonts w:ascii="Optima" w:hAnsi="Optima"/>
                <w:sz w:val="19"/>
                <w:szCs w:val="19"/>
              </w:rPr>
              <w:t>Engagement</w:t>
            </w:r>
          </w:p>
        </w:tc>
        <w:tc>
          <w:tcPr>
            <w:tcW w:w="5120" w:type="dxa"/>
            <w:shd w:val="clear" w:color="auto" w:fill="E5DFEC" w:themeFill="accent4" w:themeFillTint="33"/>
            <w:vAlign w:val="center"/>
          </w:tcPr>
          <w:p w14:paraId="68CDC7BC"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$380 Milestone</w:t>
            </w:r>
          </w:p>
          <w:p w14:paraId="39747507"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OUTCOME</w:t>
            </w:r>
            <w:r w:rsidR="00184259" w:rsidRPr="00603D1C">
              <w:rPr>
                <w:rFonts w:ascii="Optima" w:hAnsi="Optima"/>
                <w:sz w:val="19"/>
                <w:szCs w:val="19"/>
              </w:rPr>
              <w:t xml:space="preserve"> </w:t>
            </w:r>
            <w:r w:rsidRPr="00603D1C">
              <w:rPr>
                <w:rFonts w:ascii="Optima" w:hAnsi="Optima"/>
                <w:sz w:val="19"/>
                <w:szCs w:val="19"/>
              </w:rPr>
              <w:t>- Individual agrees to receive services from the IPS-SE team, and to either find employment or continue their education. Also, individual agrees to have a shared case with DVR</w:t>
            </w:r>
            <w:r w:rsidR="00560233" w:rsidRPr="00603D1C">
              <w:rPr>
                <w:rFonts w:ascii="Optima" w:hAnsi="Optima"/>
                <w:sz w:val="19"/>
                <w:szCs w:val="19"/>
              </w:rPr>
              <w:t>S</w:t>
            </w:r>
            <w:r w:rsidRPr="00603D1C">
              <w:rPr>
                <w:rFonts w:ascii="Optima" w:hAnsi="Optima"/>
                <w:sz w:val="19"/>
                <w:szCs w:val="19"/>
              </w:rPr>
              <w:t xml:space="preserve"> to access additional benefits.</w:t>
            </w:r>
          </w:p>
          <w:p w14:paraId="43BA5F71"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LIMITS</w:t>
            </w:r>
            <w:r w:rsidR="008C4BED" w:rsidRPr="00603D1C">
              <w:rPr>
                <w:rFonts w:ascii="Optima" w:hAnsi="Optima"/>
                <w:sz w:val="19"/>
                <w:szCs w:val="19"/>
              </w:rPr>
              <w:t xml:space="preserve">: </w:t>
            </w:r>
            <w:r w:rsidRPr="00603D1C">
              <w:rPr>
                <w:rFonts w:ascii="Optima" w:hAnsi="Optima"/>
                <w:sz w:val="19"/>
                <w:szCs w:val="19"/>
              </w:rPr>
              <w:t>Can be authorized maximum of</w:t>
            </w:r>
            <w:r w:rsidR="00C81A5A" w:rsidRPr="00603D1C">
              <w:rPr>
                <w:rFonts w:ascii="Optima" w:hAnsi="Optima"/>
                <w:sz w:val="19"/>
                <w:szCs w:val="19"/>
              </w:rPr>
              <w:br/>
            </w:r>
            <w:r w:rsidRPr="00603D1C">
              <w:rPr>
                <w:rFonts w:ascii="Optima" w:hAnsi="Optima"/>
                <w:sz w:val="19"/>
                <w:szCs w:val="19"/>
              </w:rPr>
              <w:t>three (3) times for one individual.</w:t>
            </w:r>
          </w:p>
        </w:tc>
        <w:tc>
          <w:tcPr>
            <w:tcW w:w="2880" w:type="dxa"/>
            <w:shd w:val="clear" w:color="auto" w:fill="E5DFEC" w:themeFill="accent4" w:themeFillTint="33"/>
            <w:vAlign w:val="center"/>
          </w:tcPr>
          <w:p w14:paraId="5FEC39FB" w14:textId="20DF70DD" w:rsidR="004D4C63" w:rsidRPr="00603D1C" w:rsidRDefault="00AD1AB6" w:rsidP="00106C86">
            <w:pPr>
              <w:autoSpaceDE w:val="0"/>
              <w:autoSpaceDN w:val="0"/>
              <w:adjustRightInd w:val="0"/>
              <w:spacing w:before="60" w:after="60" w:line="240" w:lineRule="auto"/>
              <w:contextualSpacing w:val="0"/>
              <w:jc w:val="center"/>
              <w:rPr>
                <w:rFonts w:ascii="Optima" w:hAnsi="Optima" w:cstheme="minorHAnsi"/>
                <w:bCs/>
                <w:sz w:val="19"/>
                <w:szCs w:val="19"/>
              </w:rPr>
            </w:pPr>
            <w:r w:rsidRPr="00603D1C">
              <w:rPr>
                <w:rFonts w:ascii="Optima" w:hAnsi="Optima" w:cstheme="minorHAnsi"/>
                <w:bCs/>
                <w:sz w:val="19"/>
                <w:szCs w:val="19"/>
              </w:rPr>
              <w:t>No Milestone</w:t>
            </w:r>
          </w:p>
        </w:tc>
      </w:tr>
      <w:tr w:rsidR="00C81A5A" w:rsidRPr="00603D1C" w14:paraId="061B527E" w14:textId="77777777" w:rsidTr="00A823AF">
        <w:trPr>
          <w:cnfStyle w:val="000000010000" w:firstRow="0" w:lastRow="0" w:firstColumn="0" w:lastColumn="0" w:oddVBand="0" w:evenVBand="0" w:oddHBand="0" w:evenHBand="1" w:firstRowFirstColumn="0" w:firstRowLastColumn="0" w:lastRowFirstColumn="0" w:lastRowLastColumn="0"/>
          <w:trHeight w:val="1243"/>
          <w:jc w:val="center"/>
        </w:trPr>
        <w:tc>
          <w:tcPr>
            <w:tcW w:w="1360" w:type="dxa"/>
            <w:tcBorders>
              <w:bottom w:val="none" w:sz="0" w:space="0" w:color="auto"/>
            </w:tcBorders>
            <w:vAlign w:val="center"/>
          </w:tcPr>
          <w:p w14:paraId="39C29B06" w14:textId="77777777" w:rsidR="004D4C63" w:rsidRPr="00603D1C" w:rsidRDefault="004D4C63" w:rsidP="00106C86">
            <w:pPr>
              <w:spacing w:before="60" w:after="60" w:line="240" w:lineRule="auto"/>
              <w:contextualSpacing w:val="0"/>
              <w:rPr>
                <w:rFonts w:ascii="Optima" w:hAnsi="Optima"/>
                <w:sz w:val="19"/>
                <w:szCs w:val="19"/>
              </w:rPr>
            </w:pPr>
            <w:r w:rsidRPr="00603D1C">
              <w:rPr>
                <w:rFonts w:ascii="Optima" w:hAnsi="Optima"/>
                <w:sz w:val="19"/>
                <w:szCs w:val="19"/>
              </w:rPr>
              <w:t>Intake/Career Profile</w:t>
            </w:r>
          </w:p>
        </w:tc>
        <w:tc>
          <w:tcPr>
            <w:tcW w:w="5120" w:type="dxa"/>
            <w:tcBorders>
              <w:bottom w:val="none" w:sz="0" w:space="0" w:color="auto"/>
            </w:tcBorders>
            <w:vAlign w:val="center"/>
          </w:tcPr>
          <w:p w14:paraId="79C1F697"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$760 Milestone</w:t>
            </w:r>
          </w:p>
          <w:p w14:paraId="211DEEA7" w14:textId="4FC8CEB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OUTCOME</w:t>
            </w:r>
            <w:r w:rsidR="00B92065" w:rsidRPr="00603D1C">
              <w:rPr>
                <w:rFonts w:ascii="Optima" w:hAnsi="Optima"/>
                <w:b/>
                <w:bCs/>
                <w:sz w:val="19"/>
                <w:szCs w:val="19"/>
              </w:rPr>
              <w:t xml:space="preserve"> </w:t>
            </w:r>
            <w:r w:rsidR="00AD1AB6" w:rsidRPr="00603D1C">
              <w:rPr>
                <w:rFonts w:ascii="Optima" w:hAnsi="Optima"/>
                <w:sz w:val="19"/>
                <w:szCs w:val="19"/>
              </w:rPr>
              <w:t>–</w:t>
            </w:r>
            <w:r w:rsidRPr="00603D1C">
              <w:rPr>
                <w:rFonts w:ascii="Optima" w:hAnsi="Optima"/>
                <w:sz w:val="19"/>
                <w:szCs w:val="19"/>
              </w:rPr>
              <w:t xml:space="preserve"> Identification of an employment/education goal, development of a plan to support the</w:t>
            </w:r>
            <w:r w:rsidR="00C81A5A" w:rsidRPr="00603D1C">
              <w:rPr>
                <w:rFonts w:ascii="Optima" w:hAnsi="Optima"/>
                <w:sz w:val="19"/>
                <w:szCs w:val="19"/>
              </w:rPr>
              <w:br/>
            </w:r>
            <w:r w:rsidRPr="00603D1C">
              <w:rPr>
                <w:rFonts w:ascii="Optima" w:hAnsi="Optima"/>
                <w:sz w:val="19"/>
                <w:szCs w:val="19"/>
              </w:rPr>
              <w:t>individual in meeting that goal.</w:t>
            </w:r>
          </w:p>
          <w:p w14:paraId="14593072"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LIMITS</w:t>
            </w:r>
            <w:r w:rsidR="008C4BED" w:rsidRPr="00603D1C">
              <w:rPr>
                <w:rFonts w:ascii="Optima" w:hAnsi="Optima"/>
                <w:sz w:val="19"/>
                <w:szCs w:val="19"/>
              </w:rPr>
              <w:t xml:space="preserve">: </w:t>
            </w:r>
            <w:r w:rsidRPr="00603D1C">
              <w:rPr>
                <w:rFonts w:ascii="Optima" w:hAnsi="Optima"/>
                <w:sz w:val="19"/>
                <w:szCs w:val="19"/>
              </w:rPr>
              <w:t>Can be authorized once per individual</w:t>
            </w:r>
            <w:r w:rsidR="00055B64" w:rsidRPr="00603D1C">
              <w:rPr>
                <w:rFonts w:ascii="Optima" w:hAnsi="Optima"/>
                <w:sz w:val="19"/>
                <w:szCs w:val="19"/>
              </w:rPr>
              <w:t>.</w:t>
            </w:r>
          </w:p>
        </w:tc>
        <w:tc>
          <w:tcPr>
            <w:tcW w:w="2880" w:type="dxa"/>
            <w:tcBorders>
              <w:bottom w:val="none" w:sz="0" w:space="0" w:color="auto"/>
            </w:tcBorders>
            <w:vAlign w:val="center"/>
          </w:tcPr>
          <w:p w14:paraId="3CA44C99" w14:textId="5233C325" w:rsidR="004D4C63" w:rsidRPr="00603D1C" w:rsidRDefault="00AD1AB6" w:rsidP="00106C86">
            <w:pPr>
              <w:autoSpaceDE w:val="0"/>
              <w:autoSpaceDN w:val="0"/>
              <w:adjustRightInd w:val="0"/>
              <w:spacing w:before="60" w:after="60" w:line="240" w:lineRule="auto"/>
              <w:contextualSpacing w:val="0"/>
              <w:jc w:val="center"/>
              <w:rPr>
                <w:rFonts w:ascii="Optima" w:hAnsi="Optima" w:cstheme="minorHAnsi"/>
                <w:bCs/>
                <w:sz w:val="19"/>
                <w:szCs w:val="19"/>
              </w:rPr>
            </w:pPr>
            <w:r w:rsidRPr="00603D1C">
              <w:rPr>
                <w:rFonts w:ascii="Optima" w:hAnsi="Optima" w:cstheme="minorHAnsi"/>
                <w:bCs/>
                <w:sz w:val="19"/>
                <w:szCs w:val="19"/>
              </w:rPr>
              <w:t>No milestone</w:t>
            </w:r>
          </w:p>
        </w:tc>
      </w:tr>
      <w:tr w:rsidR="00C81A5A" w:rsidRPr="00603D1C" w14:paraId="7A4D6A88" w14:textId="77777777" w:rsidTr="00A823AF">
        <w:trPr>
          <w:cnfStyle w:val="000000100000" w:firstRow="0" w:lastRow="0" w:firstColumn="0" w:lastColumn="0" w:oddVBand="0" w:evenVBand="0" w:oddHBand="1" w:evenHBand="0" w:firstRowFirstColumn="0" w:firstRowLastColumn="0" w:lastRowFirstColumn="0" w:lastRowLastColumn="0"/>
          <w:trHeight w:val="1063"/>
          <w:jc w:val="center"/>
        </w:trPr>
        <w:tc>
          <w:tcPr>
            <w:tcW w:w="1360" w:type="dxa"/>
            <w:shd w:val="clear" w:color="auto" w:fill="E5DFEC" w:themeFill="accent4" w:themeFillTint="33"/>
            <w:vAlign w:val="center"/>
          </w:tcPr>
          <w:p w14:paraId="61385522" w14:textId="77777777" w:rsidR="004D4C63" w:rsidRPr="00603D1C" w:rsidRDefault="004D4C63" w:rsidP="00106C86">
            <w:pPr>
              <w:spacing w:before="60" w:after="60" w:line="240" w:lineRule="auto"/>
              <w:contextualSpacing w:val="0"/>
              <w:rPr>
                <w:rFonts w:ascii="Optima" w:hAnsi="Optima"/>
                <w:sz w:val="19"/>
                <w:szCs w:val="19"/>
              </w:rPr>
            </w:pPr>
            <w:r w:rsidRPr="00603D1C">
              <w:rPr>
                <w:rFonts w:ascii="Optima" w:hAnsi="Optima"/>
                <w:sz w:val="19"/>
                <w:szCs w:val="19"/>
              </w:rPr>
              <w:t>Job Development</w:t>
            </w:r>
            <w:r w:rsidR="00232D16" w:rsidRPr="00603D1C">
              <w:rPr>
                <w:rFonts w:ascii="Optima" w:hAnsi="Optima"/>
                <w:sz w:val="19"/>
                <w:szCs w:val="19"/>
              </w:rPr>
              <w:t xml:space="preserve"> </w:t>
            </w:r>
            <w:r w:rsidRPr="00603D1C">
              <w:rPr>
                <w:rFonts w:ascii="Optima" w:hAnsi="Optima"/>
                <w:sz w:val="19"/>
                <w:szCs w:val="19"/>
              </w:rPr>
              <w:t>/Retention</w:t>
            </w:r>
          </w:p>
        </w:tc>
        <w:tc>
          <w:tcPr>
            <w:tcW w:w="5120" w:type="dxa"/>
            <w:shd w:val="clear" w:color="auto" w:fill="E5DFEC" w:themeFill="accent4" w:themeFillTint="33"/>
            <w:vAlign w:val="center"/>
          </w:tcPr>
          <w:p w14:paraId="4926DD61"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$1,600 Milestone</w:t>
            </w:r>
          </w:p>
          <w:p w14:paraId="7307BEE2"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sz w:val="19"/>
                <w:szCs w:val="19"/>
              </w:rPr>
              <w:t xml:space="preserve">Only funded by DMHDDSAS if this service </w:t>
            </w:r>
            <w:r w:rsidR="00CC1AD0" w:rsidRPr="00603D1C">
              <w:rPr>
                <w:rFonts w:ascii="Optima" w:hAnsi="Optima"/>
                <w:sz w:val="19"/>
                <w:szCs w:val="19"/>
              </w:rPr>
              <w:t>is</w:t>
            </w:r>
            <w:r w:rsidR="00B92065" w:rsidRPr="00603D1C">
              <w:rPr>
                <w:rFonts w:ascii="Optima" w:hAnsi="Optima"/>
                <w:sz w:val="19"/>
                <w:szCs w:val="19"/>
              </w:rPr>
              <w:br/>
            </w:r>
            <w:r w:rsidRPr="00603D1C">
              <w:rPr>
                <w:rFonts w:ascii="Optima" w:hAnsi="Optima"/>
                <w:sz w:val="19"/>
                <w:szCs w:val="19"/>
              </w:rPr>
              <w:t>needed again, after it was funded by NC DVR</w:t>
            </w:r>
            <w:r w:rsidR="00560233" w:rsidRPr="00603D1C">
              <w:rPr>
                <w:rFonts w:ascii="Optima" w:hAnsi="Optima"/>
                <w:sz w:val="19"/>
                <w:szCs w:val="19"/>
              </w:rPr>
              <w:t>S</w:t>
            </w:r>
            <w:r w:rsidRPr="00603D1C">
              <w:rPr>
                <w:rFonts w:ascii="Optima" w:hAnsi="Optima"/>
                <w:sz w:val="19"/>
                <w:szCs w:val="19"/>
              </w:rPr>
              <w:t>.</w:t>
            </w:r>
          </w:p>
          <w:p w14:paraId="0B32CC7B"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LIMITS</w:t>
            </w:r>
            <w:r w:rsidR="008C4BED" w:rsidRPr="00603D1C">
              <w:rPr>
                <w:rFonts w:ascii="Optima" w:hAnsi="Optima"/>
                <w:sz w:val="19"/>
                <w:szCs w:val="19"/>
              </w:rPr>
              <w:t xml:space="preserve">: </w:t>
            </w:r>
            <w:r w:rsidRPr="00603D1C">
              <w:rPr>
                <w:rFonts w:ascii="Optima" w:hAnsi="Optima"/>
                <w:sz w:val="19"/>
                <w:szCs w:val="19"/>
              </w:rPr>
              <w:t>Can be authorized a maximum of five (5) times.</w:t>
            </w:r>
          </w:p>
        </w:tc>
        <w:tc>
          <w:tcPr>
            <w:tcW w:w="2880" w:type="dxa"/>
            <w:shd w:val="clear" w:color="auto" w:fill="E5DFEC" w:themeFill="accent4" w:themeFillTint="33"/>
            <w:vAlign w:val="center"/>
          </w:tcPr>
          <w:p w14:paraId="36DB3F36"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$3,200 (Initial Payer)</w:t>
            </w:r>
          </w:p>
          <w:p w14:paraId="1414BAC2"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OUTCOME</w:t>
            </w:r>
            <w:r w:rsidR="00C81A5A" w:rsidRPr="00603D1C">
              <w:rPr>
                <w:rFonts w:ascii="Optima" w:hAnsi="Optima"/>
                <w:b/>
                <w:bCs/>
                <w:sz w:val="19"/>
                <w:szCs w:val="19"/>
              </w:rPr>
              <w:t xml:space="preserve"> </w:t>
            </w:r>
            <w:r w:rsidRPr="00603D1C">
              <w:rPr>
                <w:rFonts w:ascii="Optima" w:hAnsi="Optima"/>
                <w:sz w:val="19"/>
                <w:szCs w:val="19"/>
              </w:rPr>
              <w:t>-</w:t>
            </w:r>
            <w:r w:rsidR="00C81A5A" w:rsidRPr="00603D1C">
              <w:rPr>
                <w:rFonts w:ascii="Optima" w:hAnsi="Optima"/>
                <w:sz w:val="19"/>
                <w:szCs w:val="19"/>
              </w:rPr>
              <w:t xml:space="preserve"> </w:t>
            </w:r>
            <w:r w:rsidRPr="00603D1C">
              <w:rPr>
                <w:rFonts w:ascii="Optima" w:hAnsi="Optima"/>
                <w:sz w:val="19"/>
                <w:szCs w:val="19"/>
              </w:rPr>
              <w:t>Individual is placed and maintains employment for 3 days.</w:t>
            </w:r>
          </w:p>
        </w:tc>
      </w:tr>
      <w:tr w:rsidR="00C81A5A" w:rsidRPr="00603D1C" w14:paraId="1668BB2B" w14:textId="77777777" w:rsidTr="00A823AF">
        <w:trPr>
          <w:cnfStyle w:val="000000010000" w:firstRow="0" w:lastRow="0" w:firstColumn="0" w:lastColumn="0" w:oddVBand="0" w:evenVBand="0" w:oddHBand="0" w:evenHBand="1" w:firstRowFirstColumn="0" w:firstRowLastColumn="0" w:lastRowFirstColumn="0" w:lastRowLastColumn="0"/>
          <w:trHeight w:val="1495"/>
          <w:jc w:val="center"/>
        </w:trPr>
        <w:tc>
          <w:tcPr>
            <w:tcW w:w="1360" w:type="dxa"/>
            <w:tcBorders>
              <w:bottom w:val="none" w:sz="0" w:space="0" w:color="auto"/>
            </w:tcBorders>
            <w:vAlign w:val="center"/>
          </w:tcPr>
          <w:p w14:paraId="06FCDD3E" w14:textId="77777777" w:rsidR="004D4C63" w:rsidRPr="00603D1C" w:rsidRDefault="004D4C63" w:rsidP="00106C86">
            <w:pPr>
              <w:spacing w:before="60" w:after="60" w:line="240" w:lineRule="auto"/>
              <w:contextualSpacing w:val="0"/>
              <w:rPr>
                <w:rFonts w:ascii="Optima" w:hAnsi="Optima"/>
                <w:sz w:val="19"/>
                <w:szCs w:val="19"/>
              </w:rPr>
            </w:pPr>
            <w:r w:rsidRPr="00603D1C">
              <w:rPr>
                <w:rFonts w:ascii="Optima" w:hAnsi="Optima"/>
                <w:sz w:val="19"/>
                <w:szCs w:val="19"/>
              </w:rPr>
              <w:t>Successful Closure</w:t>
            </w:r>
          </w:p>
        </w:tc>
        <w:tc>
          <w:tcPr>
            <w:tcW w:w="5120" w:type="dxa"/>
            <w:tcBorders>
              <w:bottom w:val="none" w:sz="0" w:space="0" w:color="auto"/>
            </w:tcBorders>
            <w:vAlign w:val="center"/>
          </w:tcPr>
          <w:p w14:paraId="2DC0547D"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$1,000 Milestone</w:t>
            </w:r>
          </w:p>
          <w:p w14:paraId="46760565"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sz w:val="19"/>
                <w:szCs w:val="19"/>
              </w:rPr>
              <w:t xml:space="preserve">Only funded by DMHDDSAS if this service </w:t>
            </w:r>
            <w:r w:rsidR="00CC1AD0" w:rsidRPr="00603D1C">
              <w:rPr>
                <w:rFonts w:ascii="Optima" w:hAnsi="Optima"/>
                <w:sz w:val="19"/>
                <w:szCs w:val="19"/>
              </w:rPr>
              <w:t xml:space="preserve">is </w:t>
            </w:r>
            <w:r w:rsidRPr="00603D1C">
              <w:rPr>
                <w:rFonts w:ascii="Optima" w:hAnsi="Optima"/>
                <w:sz w:val="19"/>
                <w:szCs w:val="19"/>
              </w:rPr>
              <w:t>needed again, after it was funded by NC DVR</w:t>
            </w:r>
            <w:r w:rsidR="00560233" w:rsidRPr="00603D1C">
              <w:rPr>
                <w:rFonts w:ascii="Optima" w:hAnsi="Optima"/>
                <w:sz w:val="19"/>
                <w:szCs w:val="19"/>
              </w:rPr>
              <w:t>S</w:t>
            </w:r>
            <w:r w:rsidRPr="00603D1C">
              <w:rPr>
                <w:rFonts w:ascii="Optima" w:hAnsi="Optima"/>
                <w:sz w:val="19"/>
                <w:szCs w:val="19"/>
              </w:rPr>
              <w:t>.</w:t>
            </w:r>
          </w:p>
          <w:p w14:paraId="38B9C032"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LIMITS</w:t>
            </w:r>
            <w:r w:rsidRPr="00603D1C">
              <w:rPr>
                <w:rFonts w:ascii="Optima" w:hAnsi="Optima"/>
                <w:sz w:val="19"/>
                <w:szCs w:val="19"/>
              </w:rPr>
              <w:t>: Can be authorized a maximum of five (5) times.</w:t>
            </w:r>
          </w:p>
        </w:tc>
        <w:tc>
          <w:tcPr>
            <w:tcW w:w="2880" w:type="dxa"/>
            <w:tcBorders>
              <w:bottom w:val="none" w:sz="0" w:space="0" w:color="auto"/>
            </w:tcBorders>
            <w:vAlign w:val="center"/>
          </w:tcPr>
          <w:p w14:paraId="490F0319"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$2,000 (Initial Payer)</w:t>
            </w:r>
          </w:p>
          <w:p w14:paraId="5FF6B41E"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OUTCOME</w:t>
            </w:r>
            <w:r w:rsidR="00184259" w:rsidRPr="00603D1C">
              <w:rPr>
                <w:rFonts w:ascii="Optima" w:hAnsi="Optima"/>
                <w:sz w:val="19"/>
                <w:szCs w:val="19"/>
              </w:rPr>
              <w:t xml:space="preserve"> </w:t>
            </w:r>
            <w:r w:rsidRPr="00603D1C">
              <w:rPr>
                <w:rFonts w:ascii="Optima" w:hAnsi="Optima"/>
                <w:sz w:val="19"/>
                <w:szCs w:val="19"/>
              </w:rPr>
              <w:t>- Individual continues to maintain employment 90 days after entering vocational recovery/stabilization.</w:t>
            </w:r>
          </w:p>
        </w:tc>
      </w:tr>
      <w:tr w:rsidR="00C81A5A" w:rsidRPr="00603D1C" w14:paraId="5BFFFEF1" w14:textId="77777777" w:rsidTr="00A823AF">
        <w:trPr>
          <w:cnfStyle w:val="000000100000" w:firstRow="0" w:lastRow="0" w:firstColumn="0" w:lastColumn="0" w:oddVBand="0" w:evenVBand="0" w:oddHBand="1" w:evenHBand="0" w:firstRowFirstColumn="0" w:firstRowLastColumn="0" w:lastRowFirstColumn="0" w:lastRowLastColumn="0"/>
          <w:trHeight w:val="847"/>
          <w:jc w:val="center"/>
        </w:trPr>
        <w:tc>
          <w:tcPr>
            <w:tcW w:w="1360" w:type="dxa"/>
            <w:shd w:val="clear" w:color="auto" w:fill="E5DFEC" w:themeFill="accent4" w:themeFillTint="33"/>
            <w:vAlign w:val="center"/>
          </w:tcPr>
          <w:p w14:paraId="4AE1130C" w14:textId="77777777" w:rsidR="004D4C63" w:rsidRPr="00603D1C" w:rsidRDefault="004D4C63" w:rsidP="00106C86">
            <w:pPr>
              <w:spacing w:before="60" w:after="60" w:line="240" w:lineRule="auto"/>
              <w:contextualSpacing w:val="0"/>
              <w:rPr>
                <w:rFonts w:ascii="Optima" w:hAnsi="Optima"/>
                <w:sz w:val="19"/>
                <w:szCs w:val="19"/>
              </w:rPr>
            </w:pPr>
            <w:r w:rsidRPr="00603D1C">
              <w:rPr>
                <w:rFonts w:ascii="Optima" w:hAnsi="Optima"/>
                <w:sz w:val="19"/>
                <w:szCs w:val="19"/>
              </w:rPr>
              <w:t>Successful Sustained Closure</w:t>
            </w:r>
          </w:p>
        </w:tc>
        <w:tc>
          <w:tcPr>
            <w:tcW w:w="5120" w:type="dxa"/>
            <w:shd w:val="clear" w:color="auto" w:fill="E5DFEC" w:themeFill="accent4" w:themeFillTint="33"/>
            <w:vAlign w:val="center"/>
          </w:tcPr>
          <w:p w14:paraId="37A49691"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$2,000 Milestone</w:t>
            </w:r>
          </w:p>
          <w:p w14:paraId="4030FF09" w14:textId="77777777"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OUTCOME</w:t>
            </w:r>
            <w:r w:rsidR="00184259" w:rsidRPr="00603D1C">
              <w:rPr>
                <w:rFonts w:ascii="Optima" w:hAnsi="Optima"/>
                <w:sz w:val="19"/>
                <w:szCs w:val="19"/>
              </w:rPr>
              <w:t xml:space="preserve"> </w:t>
            </w:r>
            <w:r w:rsidRPr="00603D1C">
              <w:rPr>
                <w:rFonts w:ascii="Optima" w:hAnsi="Optima"/>
                <w:sz w:val="19"/>
                <w:szCs w:val="19"/>
              </w:rPr>
              <w:t>- Individual continues to maintain employment 120 days after meeting the Successful Closure Milestone</w:t>
            </w:r>
          </w:p>
        </w:tc>
        <w:tc>
          <w:tcPr>
            <w:tcW w:w="2880" w:type="dxa"/>
            <w:shd w:val="clear" w:color="auto" w:fill="E5DFEC" w:themeFill="accent4" w:themeFillTint="33"/>
            <w:vAlign w:val="center"/>
          </w:tcPr>
          <w:p w14:paraId="32B4C540" w14:textId="7BCB7650" w:rsidR="004D4C63" w:rsidRPr="00603D1C" w:rsidRDefault="00AD1AB6" w:rsidP="00106C86">
            <w:pPr>
              <w:autoSpaceDE w:val="0"/>
              <w:autoSpaceDN w:val="0"/>
              <w:adjustRightInd w:val="0"/>
              <w:spacing w:before="60" w:after="60" w:line="240" w:lineRule="auto"/>
              <w:contextualSpacing w:val="0"/>
              <w:jc w:val="center"/>
              <w:rPr>
                <w:rFonts w:ascii="Optima" w:hAnsi="Optima" w:cstheme="minorHAnsi"/>
                <w:bCs/>
                <w:sz w:val="19"/>
                <w:szCs w:val="19"/>
              </w:rPr>
            </w:pPr>
            <w:r w:rsidRPr="00603D1C">
              <w:rPr>
                <w:rFonts w:ascii="Optima" w:hAnsi="Optima" w:cstheme="minorHAnsi"/>
                <w:bCs/>
                <w:sz w:val="19"/>
                <w:szCs w:val="19"/>
              </w:rPr>
              <w:t>No Milestone</w:t>
            </w:r>
          </w:p>
        </w:tc>
      </w:tr>
      <w:tr w:rsidR="00C81A5A" w:rsidRPr="00603D1C" w14:paraId="6CC78DF7" w14:textId="77777777" w:rsidTr="00A823AF">
        <w:trPr>
          <w:cnfStyle w:val="000000010000" w:firstRow="0" w:lastRow="0" w:firstColumn="0" w:lastColumn="0" w:oddVBand="0" w:evenVBand="0" w:oddHBand="0" w:evenHBand="1" w:firstRowFirstColumn="0" w:firstRowLastColumn="0" w:lastRowFirstColumn="0" w:lastRowLastColumn="0"/>
          <w:trHeight w:val="1117"/>
          <w:jc w:val="center"/>
        </w:trPr>
        <w:tc>
          <w:tcPr>
            <w:tcW w:w="1360" w:type="dxa"/>
            <w:tcBorders>
              <w:bottom w:val="none" w:sz="0" w:space="0" w:color="auto"/>
            </w:tcBorders>
            <w:vAlign w:val="center"/>
          </w:tcPr>
          <w:p w14:paraId="06E44376" w14:textId="77777777" w:rsidR="004D4C63" w:rsidRPr="00603D1C" w:rsidRDefault="004D4C63" w:rsidP="00106C86">
            <w:pPr>
              <w:spacing w:before="60" w:after="60" w:line="240" w:lineRule="auto"/>
              <w:contextualSpacing w:val="0"/>
              <w:rPr>
                <w:rFonts w:ascii="Optima" w:hAnsi="Optima"/>
                <w:sz w:val="19"/>
                <w:szCs w:val="19"/>
              </w:rPr>
            </w:pPr>
            <w:r w:rsidRPr="00603D1C">
              <w:rPr>
                <w:rFonts w:ascii="Optima" w:hAnsi="Optima"/>
                <w:sz w:val="19"/>
                <w:szCs w:val="19"/>
              </w:rPr>
              <w:t>Vocational Advancement</w:t>
            </w:r>
          </w:p>
        </w:tc>
        <w:tc>
          <w:tcPr>
            <w:tcW w:w="5120" w:type="dxa"/>
            <w:tcBorders>
              <w:bottom w:val="none" w:sz="0" w:space="0" w:color="auto"/>
            </w:tcBorders>
            <w:vAlign w:val="center"/>
          </w:tcPr>
          <w:p w14:paraId="7DFCCC85" w14:textId="77777777" w:rsidR="004D4C63" w:rsidRPr="00603D1C" w:rsidRDefault="004D4C63" w:rsidP="00106C86">
            <w:pPr>
              <w:spacing w:before="60" w:after="60" w:line="240" w:lineRule="auto"/>
              <w:contextualSpacing w:val="0"/>
              <w:jc w:val="center"/>
              <w:rPr>
                <w:rFonts w:ascii="Optima" w:hAnsi="Optima"/>
                <w:b/>
                <w:bCs/>
                <w:sz w:val="19"/>
                <w:szCs w:val="19"/>
              </w:rPr>
            </w:pPr>
            <w:r w:rsidRPr="00603D1C">
              <w:rPr>
                <w:rFonts w:ascii="Optima" w:hAnsi="Optima"/>
                <w:b/>
                <w:bCs/>
                <w:sz w:val="19"/>
                <w:szCs w:val="19"/>
              </w:rPr>
              <w:t>$1,110 Milestone</w:t>
            </w:r>
          </w:p>
          <w:p w14:paraId="663F1588" w14:textId="65AF1799" w:rsidR="004D4C63" w:rsidRPr="00603D1C" w:rsidRDefault="004D4C63" w:rsidP="00106C86">
            <w:pPr>
              <w:spacing w:before="60" w:after="60" w:line="240" w:lineRule="auto"/>
              <w:contextualSpacing w:val="0"/>
              <w:jc w:val="center"/>
              <w:rPr>
                <w:rFonts w:ascii="Optima" w:hAnsi="Optima"/>
                <w:sz w:val="19"/>
                <w:szCs w:val="19"/>
              </w:rPr>
            </w:pPr>
            <w:r w:rsidRPr="00603D1C">
              <w:rPr>
                <w:rFonts w:ascii="Optima" w:hAnsi="Optima"/>
                <w:b/>
                <w:bCs/>
                <w:sz w:val="19"/>
                <w:szCs w:val="19"/>
              </w:rPr>
              <w:t>OUTCOME</w:t>
            </w:r>
            <w:r w:rsidR="00C917F8" w:rsidRPr="00603D1C">
              <w:rPr>
                <w:rFonts w:ascii="Optima" w:hAnsi="Optima"/>
                <w:sz w:val="19"/>
                <w:szCs w:val="19"/>
              </w:rPr>
              <w:t xml:space="preserve"> </w:t>
            </w:r>
            <w:r w:rsidR="00AD1AB6" w:rsidRPr="00603D1C">
              <w:rPr>
                <w:rFonts w:ascii="Optima" w:hAnsi="Optima"/>
                <w:sz w:val="19"/>
                <w:szCs w:val="19"/>
              </w:rPr>
              <w:t>–</w:t>
            </w:r>
            <w:r w:rsidRPr="00603D1C">
              <w:rPr>
                <w:rFonts w:ascii="Optima" w:hAnsi="Optima"/>
                <w:sz w:val="19"/>
                <w:szCs w:val="19"/>
              </w:rPr>
              <w:t xml:space="preserve"> Individual either receives a promotion (internal or external) or successfully completes an education program that improves their qualifications.</w:t>
            </w:r>
          </w:p>
        </w:tc>
        <w:tc>
          <w:tcPr>
            <w:tcW w:w="2880" w:type="dxa"/>
            <w:tcBorders>
              <w:bottom w:val="none" w:sz="0" w:space="0" w:color="auto"/>
            </w:tcBorders>
            <w:vAlign w:val="center"/>
          </w:tcPr>
          <w:p w14:paraId="1D29EF21" w14:textId="6D6242F2" w:rsidR="004D4C63" w:rsidRPr="00603D1C" w:rsidRDefault="00AD1AB6" w:rsidP="00106C86">
            <w:pPr>
              <w:autoSpaceDE w:val="0"/>
              <w:autoSpaceDN w:val="0"/>
              <w:adjustRightInd w:val="0"/>
              <w:spacing w:before="60" w:after="60" w:line="240" w:lineRule="auto"/>
              <w:contextualSpacing w:val="0"/>
              <w:jc w:val="center"/>
              <w:rPr>
                <w:rFonts w:ascii="Optima" w:hAnsi="Optima" w:cstheme="minorHAnsi"/>
                <w:bCs/>
                <w:sz w:val="19"/>
                <w:szCs w:val="19"/>
              </w:rPr>
            </w:pPr>
            <w:r w:rsidRPr="00603D1C">
              <w:rPr>
                <w:rFonts w:ascii="Optima" w:hAnsi="Optima" w:cstheme="minorHAnsi"/>
                <w:bCs/>
                <w:sz w:val="19"/>
                <w:szCs w:val="19"/>
              </w:rPr>
              <w:t>No Milestone</w:t>
            </w:r>
          </w:p>
        </w:tc>
      </w:tr>
    </w:tbl>
    <w:p w14:paraId="3E9E39C9" w14:textId="36CDAEAB" w:rsidR="008C4859" w:rsidRDefault="008C4859" w:rsidP="002476FD">
      <w:pPr>
        <w:pStyle w:val="NoSpacing"/>
      </w:pPr>
    </w:p>
    <w:p w14:paraId="0BB2B6DB" w14:textId="77777777" w:rsidR="008C4859" w:rsidRDefault="008C4859">
      <w:pPr>
        <w:spacing w:before="0" w:after="0" w:line="240" w:lineRule="auto"/>
        <w:rPr>
          <w:rFonts w:eastAsia="Times New Roman"/>
        </w:rPr>
      </w:pPr>
      <w:r>
        <w:br w:type="page"/>
      </w:r>
    </w:p>
    <w:p w14:paraId="571BB400" w14:textId="77777777" w:rsidR="004D4C63" w:rsidRPr="00DA2A97" w:rsidRDefault="004D4C63" w:rsidP="00B11115">
      <w:pPr>
        <w:pStyle w:val="Heading1"/>
      </w:pPr>
      <w:bookmarkStart w:id="30" w:name="_Toc70944180"/>
      <w:r w:rsidRPr="00DA2A97">
        <w:t>Vocational Rehabilitation</w:t>
      </w:r>
      <w:bookmarkEnd w:id="30"/>
      <w:r w:rsidR="008C4BED" w:rsidRPr="00DA2A97">
        <w:t xml:space="preserve"> </w:t>
      </w:r>
    </w:p>
    <w:p w14:paraId="5CD557FD" w14:textId="77777777" w:rsidR="00D85E0C" w:rsidRPr="00A049B4" w:rsidRDefault="00D85E0C" w:rsidP="00B11115">
      <w:pPr>
        <w:pStyle w:val="Heading2"/>
      </w:pPr>
      <w:bookmarkStart w:id="31" w:name="_Toc70944181"/>
      <w:r w:rsidRPr="00A049B4">
        <w:t>Innovations in Reimbursement Models and Cost Sharing Agreements to Advance Competitive Integrated Employment</w:t>
      </w:r>
      <w:bookmarkEnd w:id="31"/>
    </w:p>
    <w:p w14:paraId="7F9D65A4" w14:textId="789C8BE3" w:rsidR="008F409B" w:rsidRPr="008F409B" w:rsidRDefault="008F409B" w:rsidP="006364B1">
      <w:r w:rsidRPr="008F409B">
        <w:t>Vocational Rehabilitation (VR) agencies are agencies for whom Employment First has been something of a “way of life</w:t>
      </w:r>
      <w:r w:rsidR="006677B7">
        <w:t>.</w:t>
      </w:r>
      <w:r w:rsidR="001B3863">
        <w:t>”</w:t>
      </w:r>
      <w:r w:rsidR="006677B7">
        <w:t xml:space="preserve"> </w:t>
      </w:r>
      <w:r w:rsidRPr="008F409B">
        <w:t>Helping people with disabilities achieve employment has been these agencies’ primary purpose since they were created</w:t>
      </w:r>
      <w:r w:rsidR="006677B7">
        <w:t xml:space="preserve">. </w:t>
      </w:r>
      <w:r w:rsidRPr="008F409B">
        <w:t>However, the passage of the Workforce Innovation and Opportunity Act</w:t>
      </w:r>
      <w:r w:rsidRPr="008F409B">
        <w:rPr>
          <w:vertAlign w:val="superscript"/>
        </w:rPr>
        <w:footnoteReference w:id="13"/>
      </w:r>
      <w:r w:rsidRPr="008F409B">
        <w:t xml:space="preserve"> in 2014 sharpens the focus on competitive integrated employment, including Customized Employment (CE), and charges VR agencies, for the first time, with engaging people with disabilities to curtail the use of subminimum wage. VR agencies are increasingly encouraging individuals with the most significant disabilities (among those typically deemed to have most significant disabilities under VR Order of Selection criteria) to consider and pursue competitive integrated employment –individuals who would historically have gone into or stayed permanently in subminimum wage employment</w:t>
      </w:r>
      <w:r w:rsidR="003A4169">
        <w:t xml:space="preserve">. </w:t>
      </w:r>
      <w:r w:rsidRPr="008F409B">
        <w:t>VR agencies are recognizing a need to realign the services they purchase from contracted providers to ensure evidence-based practices for facilitating competitive integrated employment for individuals with this impact of disability</w:t>
      </w:r>
      <w:r w:rsidR="006677B7">
        <w:t xml:space="preserve">. </w:t>
      </w:r>
    </w:p>
    <w:p w14:paraId="54513186" w14:textId="77777777" w:rsidR="004D4C63" w:rsidRPr="00F55C2E" w:rsidRDefault="004D4C63" w:rsidP="00B11115">
      <w:pPr>
        <w:pStyle w:val="Heading3"/>
      </w:pPr>
      <w:bookmarkStart w:id="32" w:name="_Toc70944182"/>
      <w:r w:rsidRPr="00F55C2E">
        <w:t>C</w:t>
      </w:r>
      <w:r w:rsidR="00C917F8" w:rsidRPr="00F55C2E">
        <w:t>ase Example</w:t>
      </w:r>
      <w:r w:rsidR="008C4BED" w:rsidRPr="00F55C2E">
        <w:t xml:space="preserve">: </w:t>
      </w:r>
      <w:r w:rsidRPr="00F55C2E">
        <w:t>A</w:t>
      </w:r>
      <w:r w:rsidR="00C917F8" w:rsidRPr="00F55C2E">
        <w:t>rkansas Rehabilitation Services</w:t>
      </w:r>
      <w:bookmarkEnd w:id="32"/>
    </w:p>
    <w:p w14:paraId="49E5BFB7" w14:textId="77777777" w:rsidR="007A49D9" w:rsidRPr="007A49D9" w:rsidRDefault="007A49D9" w:rsidP="00B1367E">
      <w:bookmarkStart w:id="33" w:name="_Hlk20312600"/>
      <w:r w:rsidRPr="007A49D9">
        <w:t>After the passage of the Workforce Innovation and Opportunity Act in 2014, Arkansas Rehabilitation Services (ARS) recognized its new obligations to offer CE services and recognized these services were increasingly considered an evidence-based practice for individuals with disabilities. At the same time, ARS recognized the need to transition its contracts with Community Rehabilitation Providers (CRPs). ARS wanted to emphasize the expectation of integrated service provision, the use of evidence-based practices, and the expectation for increased successful outcomes among consumers served by ARS through its contracts with CRPs.</w:t>
      </w:r>
    </w:p>
    <w:p w14:paraId="0DF8A7C0" w14:textId="28AF8132" w:rsidR="007A49D9" w:rsidRPr="007A49D9" w:rsidRDefault="007A49D9" w:rsidP="00B1367E">
      <w:r w:rsidRPr="007A49D9">
        <w:t>Up to this time, ARS paid CRPs primarily for assessment and work adjustment services that took place in facility-based work settings. The initial referral of a consumer for a 10-day assessment by the CRP often meant this assessment was done in the facility-based setting</w:t>
      </w:r>
      <w:r w:rsidR="00835C71">
        <w:t>,</w:t>
      </w:r>
      <w:r w:rsidRPr="007A49D9">
        <w:t xml:space="preserve"> and a referral for continued participation in that facility-based setting through work adjustment typically followed. After the maximum of </w:t>
      </w:r>
      <w:r w:rsidR="00E86F28">
        <w:t>60</w:t>
      </w:r>
      <w:r w:rsidRPr="007A49D9">
        <w:t xml:space="preserve"> days of work adjustment was typically authorized, the consumer often moved into extended services, continuing to be served in the CRP’s facility-based setting. The reimbursement structure used for these CRP facility-based services was not outcome or milestone</w:t>
      </w:r>
      <w:r w:rsidR="00D85456">
        <w:t>-</w:t>
      </w:r>
      <w:r w:rsidRPr="007A49D9">
        <w:t>based, except for the competitive employment placement which was rarely paid. All other rates were per diem rates. The services and reimbursement structure were as follows:</w:t>
      </w:r>
      <w:bookmarkEnd w:id="33"/>
    </w:p>
    <w:p w14:paraId="1748232E" w14:textId="77777777" w:rsidR="007A49D9" w:rsidRPr="00D42701" w:rsidRDefault="007A49D9" w:rsidP="00B11115">
      <w:pPr>
        <w:pStyle w:val="Heading4"/>
      </w:pPr>
      <w:r w:rsidRPr="00D42701">
        <w:t>CRP S</w:t>
      </w:r>
      <w:r w:rsidR="008B6756" w:rsidRPr="00D42701">
        <w:t>ervices</w:t>
      </w:r>
      <w:r w:rsidRPr="00D42701">
        <w:t xml:space="preserve"> (P</w:t>
      </w:r>
      <w:r w:rsidR="008B6756" w:rsidRPr="00D42701">
        <w:t>rior to</w:t>
      </w:r>
      <w:r w:rsidRPr="00D42701">
        <w:t xml:space="preserve"> 2017)</w:t>
      </w:r>
    </w:p>
    <w:p w14:paraId="457A588D" w14:textId="77777777" w:rsidR="007A49D9" w:rsidRPr="007A49D9" w:rsidRDefault="007A49D9" w:rsidP="00B1367E">
      <w:r w:rsidRPr="007A49D9">
        <w:rPr>
          <w:b/>
        </w:rPr>
        <w:t xml:space="preserve">Assessment </w:t>
      </w:r>
      <w:r w:rsidR="00543CA2">
        <w:rPr>
          <w:bCs/>
        </w:rPr>
        <w:t>–</w:t>
      </w:r>
      <w:r w:rsidRPr="007A49D9">
        <w:rPr>
          <w:bCs/>
        </w:rPr>
        <w:t xml:space="preserve"> </w:t>
      </w:r>
      <w:r w:rsidR="00543CA2">
        <w:rPr>
          <w:bCs/>
        </w:rPr>
        <w:t xml:space="preserve">an investigative </w:t>
      </w:r>
      <w:r w:rsidRPr="007A49D9">
        <w:t>goal-directed process identifying and measuring the individual’s work-related behaviors, including but not limited to, job readiness, transferable skills, social skills</w:t>
      </w:r>
      <w:r w:rsidR="00C60811">
        <w:t>,</w:t>
      </w:r>
      <w:r w:rsidRPr="007A49D9">
        <w:t xml:space="preserve"> and vocational interest, in order to determine the need for placement or additional rehabilitation services.</w:t>
      </w:r>
    </w:p>
    <w:p w14:paraId="01A405F3" w14:textId="77777777" w:rsidR="007A49D9" w:rsidRPr="007A49D9" w:rsidRDefault="007A49D9" w:rsidP="007C5318">
      <w:pPr>
        <w:ind w:left="360"/>
      </w:pPr>
      <w:r w:rsidRPr="007A49D9">
        <w:t>Rate</w:t>
      </w:r>
      <w:r w:rsidR="00D10210">
        <w:t xml:space="preserve">: </w:t>
      </w:r>
      <w:r w:rsidRPr="007A49D9">
        <w:t>$45/day (10 days maximum; Total reimbursement = $450)</w:t>
      </w:r>
    </w:p>
    <w:p w14:paraId="0C84DDE6" w14:textId="77777777" w:rsidR="007A49D9" w:rsidRPr="007A49D9" w:rsidRDefault="007A49D9" w:rsidP="00B1367E">
      <w:r w:rsidRPr="007A49D9">
        <w:rPr>
          <w:b/>
        </w:rPr>
        <w:t xml:space="preserve">Work Adjustment </w:t>
      </w:r>
      <w:r w:rsidRPr="007A49D9">
        <w:t>- a system of goal-directed services or groups of services directed toward enhancement of the individual’s job seeking and job-keeping skills that facilitate movement toward a satisfactory vocational placement.</w:t>
      </w:r>
    </w:p>
    <w:p w14:paraId="604170E2" w14:textId="77777777" w:rsidR="007A49D9" w:rsidRPr="007A49D9" w:rsidRDefault="007A49D9" w:rsidP="007C5318">
      <w:pPr>
        <w:ind w:left="360"/>
      </w:pPr>
      <w:r w:rsidRPr="007A49D9">
        <w:t>Rate</w:t>
      </w:r>
      <w:r w:rsidR="00D10210">
        <w:t xml:space="preserve">: </w:t>
      </w:r>
      <w:r w:rsidRPr="007A49D9">
        <w:t>$45/day (60 days maximum; Total reimbursement = $2,700)</w:t>
      </w:r>
    </w:p>
    <w:p w14:paraId="49947983" w14:textId="77777777" w:rsidR="007A49D9" w:rsidRPr="007A49D9" w:rsidRDefault="007A49D9" w:rsidP="00B1367E">
      <w:r w:rsidRPr="007A49D9">
        <w:rPr>
          <w:b/>
        </w:rPr>
        <w:t>Facility</w:t>
      </w:r>
      <w:r w:rsidR="001E1527">
        <w:rPr>
          <w:b/>
        </w:rPr>
        <w:t>-</w:t>
      </w:r>
      <w:r w:rsidRPr="007A49D9">
        <w:rPr>
          <w:b/>
        </w:rPr>
        <w:t xml:space="preserve">Based (Sheltered) Extended Services </w:t>
      </w:r>
      <w:r w:rsidRPr="007A49D9">
        <w:t>- a continued goal directed service to increase the skills, abilities, job keeping skills, and opportunities for employment for individuals that facilitate movement toward a satisfactory vocational placement, which may be provided in the community.</w:t>
      </w:r>
    </w:p>
    <w:p w14:paraId="60066BDB" w14:textId="77777777" w:rsidR="007A49D9" w:rsidRPr="007A49D9" w:rsidRDefault="007A49D9" w:rsidP="00D26BF7">
      <w:pPr>
        <w:ind w:left="360"/>
      </w:pPr>
      <w:r w:rsidRPr="007A49D9">
        <w:t>Rate</w:t>
      </w:r>
      <w:r w:rsidR="00D10210">
        <w:t xml:space="preserve">: </w:t>
      </w:r>
      <w:r w:rsidRPr="007A49D9">
        <w:t>$24/day (120 days maximum; Total reimbursement = $2,880)</w:t>
      </w:r>
    </w:p>
    <w:p w14:paraId="7164A585" w14:textId="1E50B609" w:rsidR="007A49D9" w:rsidRPr="007A49D9" w:rsidRDefault="007A49D9" w:rsidP="00B1367E">
      <w:pPr>
        <w:rPr>
          <w:rFonts w:eastAsia="Garamond"/>
        </w:rPr>
      </w:pPr>
      <w:r w:rsidRPr="007A49D9">
        <w:rPr>
          <w:b/>
        </w:rPr>
        <w:t>Competitive Employment</w:t>
      </w:r>
      <w:r w:rsidRPr="007A49D9">
        <w:t xml:space="preserve"> - refers to work in the competitive labor market that is performed full or part time in an integrated setting, and for which an individual is compensated at or above the minimum wage for 20 hours or more.</w:t>
      </w:r>
      <w:r w:rsidRPr="007A49D9">
        <w:rPr>
          <w:rFonts w:eastAsia="Garamond"/>
          <w:spacing w:val="-11"/>
        </w:rPr>
        <w:t xml:space="preserve"> </w:t>
      </w:r>
      <w:r w:rsidRPr="007A49D9">
        <w:rPr>
          <w:rFonts w:eastAsia="Garamond"/>
        </w:rPr>
        <w:t>Work performed must</w:t>
      </w:r>
      <w:r w:rsidRPr="007A49D9">
        <w:rPr>
          <w:rFonts w:eastAsia="Garamond"/>
          <w:spacing w:val="-5"/>
        </w:rPr>
        <w:t xml:space="preserve"> </w:t>
      </w:r>
      <w:r w:rsidRPr="007A49D9">
        <w:rPr>
          <w:rFonts w:eastAsia="Garamond"/>
        </w:rPr>
        <w:t>be</w:t>
      </w:r>
      <w:r w:rsidRPr="007A49D9">
        <w:rPr>
          <w:rFonts w:eastAsia="Garamond"/>
          <w:spacing w:val="-2"/>
        </w:rPr>
        <w:t xml:space="preserve"> </w:t>
      </w:r>
      <w:r w:rsidRPr="007A49D9">
        <w:rPr>
          <w:rFonts w:eastAsia="Garamond"/>
        </w:rPr>
        <w:t>co</w:t>
      </w:r>
      <w:r w:rsidRPr="007A49D9">
        <w:rPr>
          <w:rFonts w:eastAsia="Garamond"/>
          <w:spacing w:val="1"/>
        </w:rPr>
        <w:t>m</w:t>
      </w:r>
      <w:r w:rsidRPr="007A49D9">
        <w:rPr>
          <w:rFonts w:eastAsia="Garamond"/>
        </w:rPr>
        <w:t>pensated</w:t>
      </w:r>
      <w:r w:rsidRPr="007A49D9">
        <w:rPr>
          <w:rFonts w:eastAsia="Garamond"/>
          <w:spacing w:val="-12"/>
        </w:rPr>
        <w:t xml:space="preserve"> </w:t>
      </w:r>
      <w:r w:rsidRPr="007A49D9">
        <w:rPr>
          <w:rFonts w:eastAsia="Garamond"/>
        </w:rPr>
        <w:t>w</w:t>
      </w:r>
      <w:r w:rsidRPr="007A49D9">
        <w:rPr>
          <w:rFonts w:eastAsia="Garamond"/>
          <w:spacing w:val="1"/>
        </w:rPr>
        <w:t>i</w:t>
      </w:r>
      <w:r w:rsidRPr="007A49D9">
        <w:rPr>
          <w:rFonts w:eastAsia="Garamond"/>
        </w:rPr>
        <w:t>th</w:t>
      </w:r>
      <w:r w:rsidRPr="007A49D9">
        <w:rPr>
          <w:rFonts w:eastAsia="Garamond"/>
          <w:spacing w:val="-4"/>
        </w:rPr>
        <w:t xml:space="preserve"> </w:t>
      </w:r>
      <w:r w:rsidRPr="007A49D9">
        <w:rPr>
          <w:rFonts w:eastAsia="Garamond"/>
        </w:rPr>
        <w:t>the</w:t>
      </w:r>
      <w:r w:rsidRPr="007A49D9">
        <w:rPr>
          <w:rFonts w:eastAsia="Garamond"/>
          <w:spacing w:val="-3"/>
        </w:rPr>
        <w:t xml:space="preserve"> </w:t>
      </w:r>
      <w:r w:rsidRPr="007A49D9">
        <w:rPr>
          <w:rFonts w:eastAsia="Garamond"/>
        </w:rPr>
        <w:t>same</w:t>
      </w:r>
      <w:r w:rsidRPr="007A49D9">
        <w:rPr>
          <w:rFonts w:eastAsia="Garamond"/>
          <w:spacing w:val="-5"/>
        </w:rPr>
        <w:t xml:space="preserve"> </w:t>
      </w:r>
      <w:r w:rsidRPr="007A49D9">
        <w:rPr>
          <w:rFonts w:eastAsia="Garamond"/>
          <w:spacing w:val="1"/>
        </w:rPr>
        <w:t>b</w:t>
      </w:r>
      <w:r w:rsidRPr="007A49D9">
        <w:rPr>
          <w:rFonts w:eastAsia="Garamond"/>
        </w:rPr>
        <w:t>enefits</w:t>
      </w:r>
      <w:r w:rsidRPr="007A49D9">
        <w:rPr>
          <w:rFonts w:eastAsia="Garamond"/>
          <w:spacing w:val="-6"/>
        </w:rPr>
        <w:t xml:space="preserve"> </w:t>
      </w:r>
      <w:r w:rsidRPr="007A49D9">
        <w:rPr>
          <w:rFonts w:eastAsia="Garamond"/>
        </w:rPr>
        <w:t>and wages</w:t>
      </w:r>
      <w:r w:rsidRPr="007A49D9">
        <w:rPr>
          <w:rFonts w:eastAsia="Garamond"/>
          <w:spacing w:val="-6"/>
        </w:rPr>
        <w:t xml:space="preserve"> </w:t>
      </w:r>
      <w:r w:rsidRPr="007A49D9">
        <w:rPr>
          <w:rFonts w:eastAsia="Garamond"/>
        </w:rPr>
        <w:t>as</w:t>
      </w:r>
      <w:r w:rsidRPr="007A49D9">
        <w:rPr>
          <w:rFonts w:eastAsia="Garamond"/>
          <w:spacing w:val="-2"/>
        </w:rPr>
        <w:t xml:space="preserve"> </w:t>
      </w:r>
      <w:r w:rsidRPr="007A49D9">
        <w:rPr>
          <w:rFonts w:eastAsia="Garamond"/>
        </w:rPr>
        <w:t>ot</w:t>
      </w:r>
      <w:r w:rsidRPr="007A49D9">
        <w:rPr>
          <w:rFonts w:eastAsia="Garamond"/>
          <w:spacing w:val="1"/>
        </w:rPr>
        <w:t>h</w:t>
      </w:r>
      <w:r w:rsidRPr="007A49D9">
        <w:rPr>
          <w:rFonts w:eastAsia="Garamond"/>
        </w:rPr>
        <w:t>er</w:t>
      </w:r>
      <w:r w:rsidRPr="007A49D9">
        <w:rPr>
          <w:rFonts w:eastAsia="Garamond"/>
          <w:spacing w:val="-1"/>
        </w:rPr>
        <w:t xml:space="preserve"> </w:t>
      </w:r>
      <w:r w:rsidRPr="007A49D9">
        <w:rPr>
          <w:rFonts w:eastAsia="Garamond"/>
        </w:rPr>
        <w:t>workers</w:t>
      </w:r>
      <w:r w:rsidRPr="007A49D9">
        <w:rPr>
          <w:rFonts w:eastAsia="Garamond"/>
          <w:spacing w:val="-7"/>
        </w:rPr>
        <w:t xml:space="preserve"> </w:t>
      </w:r>
      <w:r w:rsidRPr="007A49D9">
        <w:rPr>
          <w:rFonts w:eastAsia="Garamond"/>
        </w:rPr>
        <w:t>in similar jobs receive.</w:t>
      </w:r>
      <w:r w:rsidRPr="007A49D9">
        <w:rPr>
          <w:rFonts w:eastAsia="Garamond"/>
          <w:spacing w:val="-7"/>
        </w:rPr>
        <w:t xml:space="preserve"> </w:t>
      </w:r>
      <w:r w:rsidRPr="007A49D9">
        <w:rPr>
          <w:rFonts w:eastAsia="Garamond"/>
        </w:rPr>
        <w:t>This</w:t>
      </w:r>
      <w:r w:rsidRPr="007A49D9">
        <w:rPr>
          <w:rFonts w:eastAsia="Garamond"/>
          <w:spacing w:val="-4"/>
        </w:rPr>
        <w:t xml:space="preserve"> </w:t>
      </w:r>
      <w:r w:rsidRPr="007A49D9">
        <w:rPr>
          <w:rFonts w:eastAsia="Garamond"/>
        </w:rPr>
        <w:t>includes</w:t>
      </w:r>
      <w:r w:rsidRPr="007A49D9">
        <w:rPr>
          <w:rFonts w:eastAsia="Garamond"/>
          <w:spacing w:val="-8"/>
        </w:rPr>
        <w:t xml:space="preserve"> </w:t>
      </w:r>
      <w:r w:rsidRPr="007A49D9">
        <w:rPr>
          <w:rFonts w:eastAsia="Garamond"/>
        </w:rPr>
        <w:t>sick</w:t>
      </w:r>
      <w:r w:rsidRPr="007A49D9">
        <w:rPr>
          <w:rFonts w:eastAsia="Garamond"/>
          <w:spacing w:val="-4"/>
        </w:rPr>
        <w:t xml:space="preserve"> </w:t>
      </w:r>
      <w:r w:rsidRPr="007A49D9">
        <w:rPr>
          <w:rFonts w:eastAsia="Garamond"/>
        </w:rPr>
        <w:t>leave,</w:t>
      </w:r>
      <w:r w:rsidRPr="007A49D9">
        <w:rPr>
          <w:rFonts w:eastAsia="Garamond"/>
          <w:spacing w:val="-6"/>
        </w:rPr>
        <w:t xml:space="preserve"> </w:t>
      </w:r>
      <w:r w:rsidRPr="007A49D9">
        <w:rPr>
          <w:rFonts w:eastAsia="Garamond"/>
        </w:rPr>
        <w:t>vacat</w:t>
      </w:r>
      <w:r w:rsidRPr="007A49D9">
        <w:rPr>
          <w:rFonts w:eastAsia="Garamond"/>
          <w:spacing w:val="2"/>
        </w:rPr>
        <w:t>i</w:t>
      </w:r>
      <w:r w:rsidRPr="007A49D9">
        <w:rPr>
          <w:rFonts w:eastAsia="Garamond"/>
        </w:rPr>
        <w:t>on</w:t>
      </w:r>
      <w:r w:rsidRPr="007A49D9">
        <w:rPr>
          <w:rFonts w:eastAsia="Garamond"/>
          <w:spacing w:val="-5"/>
        </w:rPr>
        <w:t xml:space="preserve"> </w:t>
      </w:r>
      <w:r w:rsidRPr="007A49D9">
        <w:rPr>
          <w:rFonts w:eastAsia="Garamond"/>
        </w:rPr>
        <w:t>time,</w:t>
      </w:r>
      <w:r w:rsidRPr="007A49D9">
        <w:rPr>
          <w:rFonts w:eastAsia="Garamond"/>
          <w:spacing w:val="-5"/>
        </w:rPr>
        <w:t xml:space="preserve"> </w:t>
      </w:r>
      <w:r w:rsidRPr="007A49D9">
        <w:rPr>
          <w:rFonts w:eastAsia="Garamond"/>
        </w:rPr>
        <w:t>hea</w:t>
      </w:r>
      <w:r w:rsidRPr="007A49D9">
        <w:rPr>
          <w:rFonts w:eastAsia="Garamond"/>
          <w:spacing w:val="1"/>
        </w:rPr>
        <w:t>l</w:t>
      </w:r>
      <w:r w:rsidRPr="007A49D9">
        <w:rPr>
          <w:rFonts w:eastAsia="Garamond"/>
        </w:rPr>
        <w:t>th</w:t>
      </w:r>
      <w:r w:rsidRPr="007A49D9">
        <w:rPr>
          <w:rFonts w:eastAsia="Garamond"/>
          <w:spacing w:val="-2"/>
        </w:rPr>
        <w:t xml:space="preserve"> </w:t>
      </w:r>
      <w:r w:rsidRPr="007A49D9">
        <w:rPr>
          <w:rFonts w:eastAsia="Garamond"/>
        </w:rPr>
        <w:t>benefits,</w:t>
      </w:r>
      <w:r w:rsidRPr="007A49D9">
        <w:rPr>
          <w:rFonts w:eastAsia="Garamond"/>
          <w:spacing w:val="-8"/>
        </w:rPr>
        <w:t xml:space="preserve"> </w:t>
      </w:r>
      <w:r w:rsidRPr="007A49D9">
        <w:rPr>
          <w:rFonts w:eastAsia="Garamond"/>
        </w:rPr>
        <w:t>bonuses,</w:t>
      </w:r>
      <w:r w:rsidRPr="007A49D9">
        <w:rPr>
          <w:rFonts w:eastAsia="Garamond"/>
          <w:spacing w:val="-8"/>
        </w:rPr>
        <w:t xml:space="preserve"> </w:t>
      </w:r>
      <w:r w:rsidRPr="007A49D9">
        <w:rPr>
          <w:rFonts w:eastAsia="Garamond"/>
        </w:rPr>
        <w:t>training opportunities,</w:t>
      </w:r>
      <w:r w:rsidRPr="007A49D9">
        <w:rPr>
          <w:rFonts w:eastAsia="Garamond"/>
          <w:spacing w:val="-13"/>
        </w:rPr>
        <w:t xml:space="preserve"> </w:t>
      </w:r>
      <w:r w:rsidRPr="007A49D9">
        <w:rPr>
          <w:rFonts w:eastAsia="Garamond"/>
        </w:rPr>
        <w:t>and other benefits.</w:t>
      </w:r>
    </w:p>
    <w:p w14:paraId="3D2ECDE9" w14:textId="77777777" w:rsidR="007A49D9" w:rsidRPr="007A49D9" w:rsidRDefault="007A49D9" w:rsidP="00D26BF7">
      <w:pPr>
        <w:ind w:left="360"/>
      </w:pPr>
      <w:r w:rsidRPr="007A49D9">
        <w:t>Milestone Payment</w:t>
      </w:r>
      <w:r w:rsidR="00D10210">
        <w:t xml:space="preserve">: </w:t>
      </w:r>
      <w:r w:rsidRPr="007A49D9">
        <w:t>$1,000</w:t>
      </w:r>
    </w:p>
    <w:p w14:paraId="479E4161" w14:textId="0D9A481C" w:rsidR="007A49D9" w:rsidRPr="007A49D9" w:rsidRDefault="007A49D9" w:rsidP="00B1367E">
      <w:r w:rsidRPr="007A49D9">
        <w:rPr>
          <w:rFonts w:cs="Calibri"/>
        </w:rPr>
        <w:t>Despite requiring a plan for how competitive</w:t>
      </w:r>
      <w:r w:rsidRPr="007A49D9">
        <w:t xml:space="preserve"> employment would be achieved when the per diem services described above were authorized, ARS found that few successful competitive integrated employment </w:t>
      </w:r>
      <w:r w:rsidRPr="007A49D9">
        <w:rPr>
          <w:rFonts w:cs="Calibri"/>
        </w:rPr>
        <w:t>placements resulted from a significant ARS investment in</w:t>
      </w:r>
      <w:r w:rsidR="00E86F28">
        <w:rPr>
          <w:rFonts w:cs="Calibri"/>
        </w:rPr>
        <w:t xml:space="preserve"> “</w:t>
      </w:r>
      <w:r w:rsidRPr="007A49D9">
        <w:rPr>
          <w:rFonts w:cs="Calibri"/>
        </w:rPr>
        <w:t>in-house</w:t>
      </w:r>
      <w:r w:rsidR="00E86F28">
        <w:rPr>
          <w:rFonts w:cs="Calibri"/>
        </w:rPr>
        <w:t>”</w:t>
      </w:r>
      <w:r w:rsidRPr="007A49D9">
        <w:rPr>
          <w:rFonts w:cs="Calibri"/>
        </w:rPr>
        <w:t xml:space="preserve"> CRP services. </w:t>
      </w:r>
      <w:r w:rsidRPr="007A49D9">
        <w:t xml:space="preserve">The lack of successful </w:t>
      </w:r>
      <w:r w:rsidR="009A1FC1">
        <w:t>(</w:t>
      </w:r>
      <w:r w:rsidRPr="007A49D9">
        <w:t>Status 26</w:t>
      </w:r>
      <w:r w:rsidR="009A1FC1">
        <w:t>)</w:t>
      </w:r>
      <w:r w:rsidRPr="007A49D9">
        <w:t xml:space="preserve"> closures resulting from these services was consistent with research that has found services delivered in these setting</w:t>
      </w:r>
      <w:r w:rsidR="008F5045">
        <w:t>s</w:t>
      </w:r>
      <w:r w:rsidRPr="007A49D9">
        <w:t xml:space="preserve"> do not often result in competitive employment outcomes.</w:t>
      </w:r>
      <w:r w:rsidRPr="007A49D9">
        <w:rPr>
          <w:vertAlign w:val="superscript"/>
        </w:rPr>
        <w:footnoteReference w:id="14"/>
      </w:r>
      <w:r w:rsidRPr="007A49D9">
        <w:t xml:space="preserve"> With the passage of </w:t>
      </w:r>
      <w:r w:rsidR="008E6B2F">
        <w:t>the Workforce and Innovation Opportunity Act (</w:t>
      </w:r>
      <w:r w:rsidRPr="007A49D9">
        <w:t>WIOA</w:t>
      </w:r>
      <w:r w:rsidR="008E6B2F">
        <w:t>)</w:t>
      </w:r>
      <w:r w:rsidRPr="007A49D9">
        <w:t xml:space="preserve"> and the focus on moving away from facility-based service models, </w:t>
      </w:r>
      <w:r w:rsidRPr="007A49D9">
        <w:rPr>
          <w:rFonts w:cs="Calibri"/>
        </w:rPr>
        <w:t xml:space="preserve">ARS took a bold step and developed a new set of services for CRP contracts (other Supported Employment providers could also opt to provide these services) called </w:t>
      </w:r>
      <w:r w:rsidRPr="007A49D9">
        <w:rPr>
          <w:rFonts w:cs="Calibri"/>
          <w:b/>
        </w:rPr>
        <w:t>“ARS Employment First (E1st) Career Pathways.”</w:t>
      </w:r>
      <w:r w:rsidRPr="007A49D9">
        <w:rPr>
          <w:rFonts w:cs="Calibri"/>
          <w:vertAlign w:val="superscript"/>
        </w:rPr>
        <w:footnoteReference w:id="15"/>
      </w:r>
      <w:r w:rsidR="000E4CAB">
        <w:rPr>
          <w:rFonts w:cs="Calibri"/>
        </w:rPr>
        <w:t xml:space="preserve"> </w:t>
      </w:r>
      <w:r w:rsidRPr="007A49D9">
        <w:rPr>
          <w:rFonts w:cs="Calibri"/>
        </w:rPr>
        <w:t>Implemented in 2017, all of these services must occur in the community (not in facility)</w:t>
      </w:r>
      <w:r w:rsidR="00D14D06">
        <w:rPr>
          <w:rFonts w:cs="Calibri"/>
        </w:rPr>
        <w:t>,</w:t>
      </w:r>
      <w:r w:rsidRPr="007A49D9">
        <w:rPr>
          <w:rFonts w:cs="Calibri"/>
        </w:rPr>
        <w:t xml:space="preserve"> and distinct services include:</w:t>
      </w:r>
    </w:p>
    <w:p w14:paraId="1D3F08FF" w14:textId="77777777" w:rsidR="007A49D9" w:rsidRPr="00D26BF7" w:rsidRDefault="007A49D9" w:rsidP="00B1367E">
      <w:pPr>
        <w:rPr>
          <w:b/>
          <w:bCs/>
        </w:rPr>
      </w:pPr>
      <w:r w:rsidRPr="00D26BF7">
        <w:rPr>
          <w:b/>
          <w:bCs/>
        </w:rPr>
        <w:t xml:space="preserve">Benchmark 1: Discovery Process Service (completed over </w:t>
      </w:r>
      <w:r w:rsidR="00613693">
        <w:rPr>
          <w:b/>
          <w:bCs/>
        </w:rPr>
        <w:t xml:space="preserve">a </w:t>
      </w:r>
      <w:r w:rsidRPr="00D26BF7">
        <w:rPr>
          <w:b/>
          <w:bCs/>
        </w:rPr>
        <w:t>four-to six-week timeframe)</w:t>
      </w:r>
    </w:p>
    <w:p w14:paraId="1648E18D" w14:textId="77777777" w:rsidR="007A49D9" w:rsidRPr="007A49D9" w:rsidRDefault="007A49D9" w:rsidP="00B1367E">
      <w:r w:rsidRPr="007A49D9">
        <w:t xml:space="preserve">Discovery Process </w:t>
      </w:r>
      <w:r w:rsidR="00647BBB">
        <w:t>S</w:t>
      </w:r>
      <w:r w:rsidRPr="007A49D9">
        <w:t xml:space="preserve">ervice </w:t>
      </w:r>
      <w:r w:rsidR="00C81A5A">
        <w:t xml:space="preserve">(DPS) </w:t>
      </w:r>
      <w:r w:rsidRPr="007A49D9">
        <w:t xml:space="preserve">is a person-centered, comprehensive employment planning service to assist ARS clients </w:t>
      </w:r>
      <w:r w:rsidR="00613693">
        <w:t xml:space="preserve">in </w:t>
      </w:r>
      <w:r w:rsidRPr="007A49D9">
        <w:t xml:space="preserve">determining their employment preferences and career direction, resulting in the development of the Individual Career Profile. </w:t>
      </w:r>
      <w:r w:rsidR="00C81A5A">
        <w:t>DPS</w:t>
      </w:r>
      <w:r w:rsidRPr="007A49D9">
        <w:t xml:space="preserve"> is a time-limited service consisting of gathering information about the individual’s interests, strengths, likes, dislikes, skills, abilities, types of preferred work environments</w:t>
      </w:r>
      <w:r w:rsidR="00647BBB">
        <w:t>,</w:t>
      </w:r>
      <w:r w:rsidRPr="007A49D9">
        <w:t xml:space="preserve"> and supports available if needed for successful employment.</w:t>
      </w:r>
    </w:p>
    <w:p w14:paraId="05019992" w14:textId="49EBF64D" w:rsidR="007A49D9" w:rsidRPr="007A49D9" w:rsidRDefault="007A49D9" w:rsidP="00A02AF5">
      <w:pPr>
        <w:ind w:left="360"/>
      </w:pPr>
      <w:r w:rsidRPr="007A49D9">
        <w:t>Outcome Payment:</w:t>
      </w:r>
      <w:r w:rsidRPr="007A49D9">
        <w:tab/>
        <w:t>$1,750</w:t>
      </w:r>
      <w:r w:rsidRPr="007A49D9">
        <w:tab/>
        <w:t xml:space="preserve"> </w:t>
      </w:r>
      <w:r w:rsidR="00F43CA7">
        <w:t>(</w:t>
      </w:r>
      <w:r w:rsidRPr="007A49D9">
        <w:t>Estimated Average Level of Effort</w:t>
      </w:r>
      <w:r w:rsidR="00D10210">
        <w:t xml:space="preserve">: </w:t>
      </w:r>
      <w:r w:rsidRPr="007A49D9">
        <w:t>60 Hours</w:t>
      </w:r>
      <w:r w:rsidR="00F43CA7">
        <w:t xml:space="preserve"> at </w:t>
      </w:r>
      <w:r w:rsidRPr="007A49D9">
        <w:t>$29/hour</w:t>
      </w:r>
      <w:r w:rsidR="00F43CA7">
        <w:t>)</w:t>
      </w:r>
    </w:p>
    <w:p w14:paraId="296D241F" w14:textId="77777777" w:rsidR="007A49D9" w:rsidRPr="00D26BF7" w:rsidRDefault="007A49D9" w:rsidP="00B1367E">
      <w:pPr>
        <w:rPr>
          <w:b/>
          <w:bCs/>
        </w:rPr>
      </w:pPr>
      <w:r w:rsidRPr="00D26BF7">
        <w:rPr>
          <w:b/>
          <w:bCs/>
        </w:rPr>
        <w:t xml:space="preserve">Benchmark 2: Employment Path (Pre-vocational) Services (up to 100 hours over 20 service days) </w:t>
      </w:r>
    </w:p>
    <w:p w14:paraId="5B0F87EF" w14:textId="7C54D13F" w:rsidR="007A49D9" w:rsidRPr="007A49D9" w:rsidRDefault="007A49D9" w:rsidP="00B1367E">
      <w:r w:rsidRPr="007A49D9">
        <w:t>Employment Path Services provide learning opportunities, including soft skills, work</w:t>
      </w:r>
      <w:r w:rsidR="00F43CA7">
        <w:t>-</w:t>
      </w:r>
      <w:r w:rsidRPr="007A49D9">
        <w:t>based experiences/internships, including volunteer opportunities, where the individual can develop work-related strengths and skills contributing to employability in integrated community settings. This service will be available after the individual has attempted two job experiences and the vendor has identified extensive work skills that are essential for the individual to work successfully.</w:t>
      </w:r>
    </w:p>
    <w:p w14:paraId="7DDED162" w14:textId="70084AF3" w:rsidR="007A49D9" w:rsidRPr="007A49D9" w:rsidRDefault="007A49D9" w:rsidP="00A02AF5">
      <w:pPr>
        <w:ind w:left="360"/>
      </w:pPr>
      <w:r w:rsidRPr="007A49D9">
        <w:t>Outcome Payment:</w:t>
      </w:r>
      <w:r w:rsidRPr="007A49D9">
        <w:tab/>
        <w:t>$2,000</w:t>
      </w:r>
      <w:r w:rsidRPr="007A49D9">
        <w:tab/>
        <w:t xml:space="preserve"> </w:t>
      </w:r>
      <w:r w:rsidR="00F43CA7">
        <w:t>(</w:t>
      </w:r>
      <w:r w:rsidRPr="007A49D9">
        <w:t>Minimum reimbursement if full 100 hours provided</w:t>
      </w:r>
      <w:r w:rsidR="00D10210">
        <w:t xml:space="preserve">: </w:t>
      </w:r>
      <w:r w:rsidRPr="007A49D9">
        <w:t>$20/hour</w:t>
      </w:r>
      <w:r w:rsidR="00F43CA7">
        <w:t>)</w:t>
      </w:r>
    </w:p>
    <w:p w14:paraId="68139C94" w14:textId="77777777" w:rsidR="007A49D9" w:rsidRPr="00D26BF7" w:rsidRDefault="007A49D9" w:rsidP="00B1367E">
      <w:pPr>
        <w:rPr>
          <w:b/>
          <w:bCs/>
        </w:rPr>
      </w:pPr>
      <w:bookmarkStart w:id="34" w:name="_Hlk9580491"/>
      <w:r w:rsidRPr="00D26BF7">
        <w:rPr>
          <w:b/>
          <w:bCs/>
        </w:rPr>
        <w:t xml:space="preserve">Benchmark 3: Job Development/Placement Service </w:t>
      </w:r>
    </w:p>
    <w:p w14:paraId="536ABCE5" w14:textId="77777777" w:rsidR="007A49D9" w:rsidRPr="007A49D9" w:rsidRDefault="007A49D9" w:rsidP="00B1367E">
      <w:r w:rsidRPr="007A49D9">
        <w:t xml:space="preserve">Job Development/Placement Service focuses on creating job opportunities by utilizing the Individual Career Profile with the goal of obtaining employment. The process of obtaining a job may involve one or more of three approaches: independent job searches, assisted job searches, and arranged job searches. Once an approach is identified, a Job Development Plan is jointly created by the individual and his/her support team to outline the specific activities for pursing employment. </w:t>
      </w:r>
    </w:p>
    <w:p w14:paraId="40DD82F2" w14:textId="4A65FB78" w:rsidR="007A49D9" w:rsidRDefault="007A49D9" w:rsidP="00A02AF5">
      <w:pPr>
        <w:ind w:left="360"/>
      </w:pPr>
      <w:r w:rsidRPr="007A49D9">
        <w:t>Outcome Payment:</w:t>
      </w:r>
      <w:r w:rsidRPr="007A49D9">
        <w:tab/>
        <w:t>$1,000</w:t>
      </w:r>
      <w:r w:rsidRPr="007A49D9">
        <w:tab/>
      </w:r>
    </w:p>
    <w:p w14:paraId="0CF54B05" w14:textId="77777777" w:rsidR="007A49D9" w:rsidRPr="00D26BF7" w:rsidRDefault="007A49D9" w:rsidP="00B1367E">
      <w:pPr>
        <w:rPr>
          <w:b/>
          <w:bCs/>
        </w:rPr>
      </w:pPr>
      <w:r w:rsidRPr="00D26BF7">
        <w:rPr>
          <w:b/>
          <w:bCs/>
        </w:rPr>
        <w:t>Benchmark 4</w:t>
      </w:r>
      <w:r w:rsidR="00C81A5A">
        <w:rPr>
          <w:b/>
          <w:bCs/>
        </w:rPr>
        <w:t>:</w:t>
      </w:r>
      <w:r w:rsidRPr="00D26BF7">
        <w:rPr>
          <w:b/>
          <w:bCs/>
        </w:rPr>
        <w:t xml:space="preserve"> Employment Closure (90 Days): Successful Competitive Integrated Employment</w:t>
      </w:r>
    </w:p>
    <w:p w14:paraId="394BAEC5" w14:textId="09303794" w:rsidR="007A49D9" w:rsidRPr="007A49D9" w:rsidRDefault="007A49D9" w:rsidP="00B1367E">
      <w:r w:rsidRPr="007A49D9">
        <w:t xml:space="preserve">The individual has stayed employed for a minimum of 90 days, working 20 hours a week and not less than the higher of the Fair Labor Standards Act or the rate specified in the applicable </w:t>
      </w:r>
      <w:r w:rsidR="00F43CA7">
        <w:t>s</w:t>
      </w:r>
      <w:r w:rsidRPr="007A49D9">
        <w:t>tate or local minimum wage law. Monthly reports are required.</w:t>
      </w:r>
    </w:p>
    <w:p w14:paraId="277C9F00" w14:textId="77777777" w:rsidR="007A49D9" w:rsidRPr="007A49D9" w:rsidRDefault="007A49D9" w:rsidP="00022B8D">
      <w:pPr>
        <w:spacing w:after="0"/>
        <w:ind w:left="360"/>
      </w:pPr>
      <w:r w:rsidRPr="007A49D9">
        <w:t>Outcome Payment:</w:t>
      </w:r>
      <w:r w:rsidRPr="007A49D9">
        <w:tab/>
        <w:t>$3,000</w:t>
      </w:r>
    </w:p>
    <w:bookmarkEnd w:id="34"/>
    <w:p w14:paraId="40B59D73" w14:textId="77777777" w:rsidR="00B129AF" w:rsidRDefault="007A49D9" w:rsidP="00B1367E">
      <w:pPr>
        <w:rPr>
          <w:b/>
          <w:bCs/>
        </w:rPr>
      </w:pPr>
      <w:r w:rsidRPr="000332CE">
        <w:rPr>
          <w:b/>
          <w:bCs/>
        </w:rPr>
        <w:t>TOTAL FOR ALL MILESTONES:</w:t>
      </w:r>
      <w:r w:rsidRPr="000332CE">
        <w:rPr>
          <w:b/>
          <w:bCs/>
        </w:rPr>
        <w:tab/>
        <w:t>$7,750</w:t>
      </w:r>
      <w:r w:rsidRPr="000332CE">
        <w:rPr>
          <w:b/>
          <w:bCs/>
        </w:rPr>
        <w:tab/>
      </w:r>
    </w:p>
    <w:p w14:paraId="74C09588" w14:textId="55FCDDED" w:rsidR="007A49D9" w:rsidRPr="000332CE" w:rsidRDefault="007A49D9" w:rsidP="00B1367E">
      <w:pPr>
        <w:rPr>
          <w:b/>
          <w:bCs/>
        </w:rPr>
      </w:pPr>
      <w:r w:rsidRPr="000332CE">
        <w:rPr>
          <w:b/>
          <w:bCs/>
        </w:rPr>
        <w:t>Individual Job Coaching Hourly Rate (as needed on</w:t>
      </w:r>
      <w:r w:rsidR="007D1B0A">
        <w:rPr>
          <w:b/>
          <w:bCs/>
        </w:rPr>
        <w:t xml:space="preserve"> a</w:t>
      </w:r>
      <w:r w:rsidRPr="000332CE">
        <w:rPr>
          <w:b/>
          <w:bCs/>
        </w:rPr>
        <w:t xml:space="preserve"> </w:t>
      </w:r>
      <w:r w:rsidR="003153B6" w:rsidRPr="000332CE">
        <w:rPr>
          <w:b/>
          <w:bCs/>
        </w:rPr>
        <w:t>case-by-case</w:t>
      </w:r>
      <w:r w:rsidRPr="000332CE">
        <w:rPr>
          <w:b/>
          <w:bCs/>
        </w:rPr>
        <w:t xml:space="preserve"> basis):</w:t>
      </w:r>
      <w:r w:rsidRPr="000332CE">
        <w:rPr>
          <w:b/>
          <w:bCs/>
        </w:rPr>
        <w:tab/>
        <w:t>$26.00</w:t>
      </w:r>
    </w:p>
    <w:p w14:paraId="1B3580AA" w14:textId="172E5DA9" w:rsidR="007A49D9" w:rsidRPr="007A49D9" w:rsidRDefault="007A49D9" w:rsidP="00B1367E">
      <w:r w:rsidRPr="007A49D9">
        <w:t>Important Note</w:t>
      </w:r>
      <w:r w:rsidR="00D10210">
        <w:t xml:space="preserve">: </w:t>
      </w:r>
      <w:r w:rsidRPr="007A49D9">
        <w:t>The Employment First (E1st) Career Pathways milestone services were not designed for individuals who require intensive job coaching to learn and stabilize in their job. If a consumer who starts in the E1st Career Pathways services is subsequently identified as needing more intensive initial job coaching to achieve stabilization, the ARS counselor will transition the case to Supported Employment, so the milestone payments include this job coaching. ARS also maintains an hourly job coaching service for unique situations that don’t fit either the E1st Career Pathways milestones or the Supported Employment milestones</w:t>
      </w:r>
      <w:r w:rsidR="006677B7">
        <w:t xml:space="preserve">. </w:t>
      </w:r>
    </w:p>
    <w:p w14:paraId="6E95AFC7" w14:textId="77777777" w:rsidR="007A49D9" w:rsidRPr="007A49D9" w:rsidRDefault="007A49D9" w:rsidP="00B1367E">
      <w:r w:rsidRPr="00B81F90">
        <w:t>Overall, ARS’s shift to purchasing only community-based services aligns with best practices leading to a higher likelihood of competitive integrated employment outcomes</w:t>
      </w:r>
      <w:r w:rsidR="00084F96" w:rsidRPr="00B81F90">
        <w:t>.</w:t>
      </w:r>
      <w:r w:rsidRPr="00B81F90">
        <w:t xml:space="preserve"> </w:t>
      </w:r>
      <w:r w:rsidR="00084F96" w:rsidRPr="00B81F90">
        <w:t>The</w:t>
      </w:r>
      <w:r w:rsidRPr="00B81F90">
        <w:t xml:space="preserve"> shift to a benchmark structure put</w:t>
      </w:r>
      <w:r w:rsidR="00084F96" w:rsidRPr="00B81F90">
        <w:t>s</w:t>
      </w:r>
      <w:r w:rsidRPr="00B81F90">
        <w:t xml:space="preserve"> the focus on outcomes and progress toward</w:t>
      </w:r>
      <w:r w:rsidR="00084F96" w:rsidRPr="00B81F90">
        <w:t>s</w:t>
      </w:r>
      <w:r w:rsidRPr="00B81F90">
        <w:t xml:space="preserve"> competitive integrated employment, rather than a focus on per-diem service delivery.</w:t>
      </w:r>
      <w:r w:rsidRPr="007A49D9">
        <w:t xml:space="preserve"> Further, ARS was already reimbursing for Supported Employment and other services through milestones, so this introduced CE on the same platform, and transitioned CRPs to a milestone-based approach that rewarded outcomes.</w:t>
      </w:r>
    </w:p>
    <w:p w14:paraId="7F856411" w14:textId="77777777" w:rsidR="004D4C63" w:rsidRPr="009F2EF2" w:rsidRDefault="004D4C63" w:rsidP="00B11115">
      <w:pPr>
        <w:pStyle w:val="Heading2"/>
      </w:pPr>
      <w:bookmarkStart w:id="35" w:name="_Toc70944183"/>
      <w:r w:rsidRPr="009F2EF2">
        <w:t>Braiding Funding to Support Multi-Funder Cost Sharing Rather than Cost Shifting</w:t>
      </w:r>
      <w:bookmarkEnd w:id="35"/>
    </w:p>
    <w:p w14:paraId="3B5CED44" w14:textId="77777777" w:rsidR="00A74F57" w:rsidRPr="00A74F57" w:rsidRDefault="00A74F57" w:rsidP="00B1367E">
      <w:r w:rsidRPr="00A74F57">
        <w:t>Many other state VR agencies are now building capacity to serve individuals who also receive Special Education and/or Medicaid long-term support services through Medicaid State Plan or HCBS Waiver programs, some of which are administered through managed care. The need for effective cost sharing and braiding of funding and services is critical to maximize the number of individuals that can be successfully served with the available resources. While VR agencies have typically had cooperative relationships with Special Education programs, it has not always resulted in effective braiding of funding and resources. Even newer for VR is building such a cost sharing arrangement with state Medicaid agencies or their contracted MCOs. State-level Memorandums of Understanding have more recently focused on including provision for cost sharing, which has facilitated greater braiding of services and resources in the field.</w:t>
      </w:r>
    </w:p>
    <w:p w14:paraId="770724BD" w14:textId="77777777" w:rsidR="00A74F57" w:rsidRPr="00A049B4" w:rsidRDefault="00A74F57" w:rsidP="00B11115">
      <w:pPr>
        <w:pStyle w:val="Heading3"/>
      </w:pPr>
      <w:bookmarkStart w:id="36" w:name="_Toc70944184"/>
      <w:r w:rsidRPr="00A049B4">
        <w:t>C</w:t>
      </w:r>
      <w:r w:rsidR="0056404D" w:rsidRPr="00A049B4">
        <w:t xml:space="preserve">ase Example: Iowa </w:t>
      </w:r>
      <w:r w:rsidR="004D5CDB" w:rsidRPr="00A049B4">
        <w:t>Vocational Rehabilitation Service and Iowa Medicaid</w:t>
      </w:r>
      <w:bookmarkEnd w:id="36"/>
    </w:p>
    <w:p w14:paraId="68195B19" w14:textId="415D5649" w:rsidR="00A74F57" w:rsidRPr="00A74F57" w:rsidRDefault="00A74F57" w:rsidP="00B1367E">
      <w:r w:rsidRPr="00A74F57">
        <w:t>Iowa Vocational Rehabilitation Service (IVRS) and Iowa Medicaid (IME) recognize that people are more likely to succeed in employment when funding and services available through both IVRS and Medicaid are shared. Each program has limitations</w:t>
      </w:r>
      <w:r w:rsidR="00F43CA7">
        <w:t>,</w:t>
      </w:r>
      <w:r w:rsidRPr="00A74F57">
        <w:t xml:space="preserve"> but together they can provide holistic support for someone with a disability who wants to find and keep community-integrated employment. To advance these shared beliefs, IVRS and IME outlined, in a Resource Sharing agreement, their funding obligations when paying for Supported Employment </w:t>
      </w:r>
      <w:r w:rsidR="00D9426B">
        <w:t>s</w:t>
      </w:r>
      <w:r w:rsidRPr="00A74F57">
        <w:t>ervices (SES) for a mutual client served by both agencies.</w:t>
      </w:r>
      <w:r w:rsidRPr="00A74F57">
        <w:rPr>
          <w:vertAlign w:val="superscript"/>
        </w:rPr>
        <w:footnoteReference w:id="16"/>
      </w:r>
      <w:r w:rsidR="000E4CAB">
        <w:t xml:space="preserve"> </w:t>
      </w:r>
    </w:p>
    <w:p w14:paraId="2FC8B26A" w14:textId="1C846F29" w:rsidR="00A74F57" w:rsidRPr="00B54181" w:rsidRDefault="00A74F57" w:rsidP="00B1367E">
      <w:r w:rsidRPr="000B70C4">
        <w:rPr>
          <w:b/>
          <w:bCs/>
        </w:rPr>
        <w:t>The Resource Sharing agreement guiding efforts today was adopted in January 2015 and still represents one of the best national examples of a collaborative effort by a state VR and Medicaid agency. To satisfy the requirement, each has to explore “comparable benefits and services” and address the “payer of last resort” issue</w:t>
      </w:r>
      <w:r w:rsidR="0037194D">
        <w:rPr>
          <w:b/>
          <w:bCs/>
        </w:rPr>
        <w:t xml:space="preserve">. </w:t>
      </w:r>
      <w:r w:rsidRPr="00B54181">
        <w:t>By establishing the Resource Sharing agreement, IVRS and IME outlined their respective funding obligations when paying for SES</w:t>
      </w:r>
      <w:r w:rsidRPr="00B54181" w:rsidDel="000C6B3D">
        <w:t xml:space="preserve"> </w:t>
      </w:r>
      <w:r w:rsidRPr="00B54181">
        <w:t>for a mutual client served by both agencies</w:t>
      </w:r>
      <w:r w:rsidR="0037194D">
        <w:t xml:space="preserve">. </w:t>
      </w:r>
      <w:r w:rsidRPr="00B54181">
        <w:t>The agreement includes some braiding arrangements IVRS put in place prior to 2015 to address its obligations under the WIOA and to align with guidance provided by the Rehabilitation Services Administration before the passage of WIOA</w:t>
      </w:r>
      <w:r w:rsidR="0037194D">
        <w:t xml:space="preserve">. </w:t>
      </w:r>
      <w:r w:rsidRPr="00B54181">
        <w:t>In the 2015 Resource Sharing agreement, the two agencies established or reconfirmed division of payment responsibility for:</w:t>
      </w:r>
    </w:p>
    <w:p w14:paraId="4171484D" w14:textId="77777777" w:rsidR="00A74F57" w:rsidRPr="00A74F57" w:rsidRDefault="00A74F57" w:rsidP="00086A85">
      <w:pPr>
        <w:pStyle w:val="ListNumber"/>
        <w:numPr>
          <w:ilvl w:val="0"/>
          <w:numId w:val="10"/>
        </w:numPr>
      </w:pPr>
      <w:r w:rsidRPr="00A74F57">
        <w:t>Individuals with disabilities under age 24 who are eligible for both IVRS and IME state plan habilitation or waiver and who require SES:</w:t>
      </w:r>
    </w:p>
    <w:p w14:paraId="31EF89DD" w14:textId="77777777" w:rsidR="00A74F57" w:rsidRPr="00A74F57" w:rsidRDefault="00A74F57" w:rsidP="000B70C4">
      <w:pPr>
        <w:pStyle w:val="ListBullet"/>
      </w:pPr>
      <w:r w:rsidRPr="00A74F57">
        <w:t>Established IVRS as the payer of first resort for individualized services necessary to obtain and stabilize in competitive integrated employment.</w:t>
      </w:r>
    </w:p>
    <w:p w14:paraId="4D88BF99" w14:textId="77777777" w:rsidR="00A74F57" w:rsidRPr="00A74F57" w:rsidRDefault="00A74F57" w:rsidP="000B70C4">
      <w:pPr>
        <w:pStyle w:val="ListBullet"/>
      </w:pPr>
      <w:r w:rsidRPr="00A74F57">
        <w:t>Established IME as the payer of first resort (for those enrolled in IME state plan habilitation or waiver) for individualized services necessary to maintain competitive integrated employment after stabilization.</w:t>
      </w:r>
    </w:p>
    <w:p w14:paraId="122B2208" w14:textId="77777777" w:rsidR="00A74F57" w:rsidRPr="00A74F57" w:rsidRDefault="00A74F57" w:rsidP="004C3B0E">
      <w:pPr>
        <w:pStyle w:val="ListNumber"/>
        <w:ind w:left="360"/>
      </w:pPr>
      <w:r w:rsidRPr="00A74F57">
        <w:t>Individuals with disabilities age 24 and above, who are eligible for both IVRS and IME state plan habilitation or waiver and who require SES:</w:t>
      </w:r>
    </w:p>
    <w:p w14:paraId="1BC55165" w14:textId="77777777" w:rsidR="00A74F57" w:rsidRPr="00A74F57" w:rsidRDefault="00A74F57" w:rsidP="000B70C4">
      <w:pPr>
        <w:pStyle w:val="ListBullet"/>
        <w:rPr>
          <w:rFonts w:cs="Calibri"/>
          <w:color w:val="000000"/>
        </w:rPr>
      </w:pPr>
      <w:r w:rsidRPr="00A74F57">
        <w:t xml:space="preserve">Established IME as the payer of first resort for job development and job coaching. </w:t>
      </w:r>
    </w:p>
    <w:p w14:paraId="7BD043EA" w14:textId="77777777" w:rsidR="00A74F57" w:rsidRPr="00A74F57" w:rsidRDefault="00A74F57" w:rsidP="000B70C4">
      <w:pPr>
        <w:pStyle w:val="ListBullet"/>
        <w:rPr>
          <w:rFonts w:cs="Calibri"/>
          <w:color w:val="000000"/>
        </w:rPr>
      </w:pPr>
      <w:r w:rsidRPr="00A74F57">
        <w:t xml:space="preserve">Established IVRS funds may pay for </w:t>
      </w:r>
      <w:r w:rsidR="000F55AF">
        <w:t>CE</w:t>
      </w:r>
      <w:r w:rsidRPr="00A74F57">
        <w:t xml:space="preserve"> (supplemental payment in addition to IME job development funding for customization negotiation with an employer) and for services other than job development and job coaching available through IME (e.g.</w:t>
      </w:r>
      <w:r w:rsidR="002A1613">
        <w:t>,</w:t>
      </w:r>
      <w:r w:rsidRPr="00A74F57">
        <w:t xml:space="preserve"> Discovery). </w:t>
      </w:r>
    </w:p>
    <w:p w14:paraId="7FCA58FF" w14:textId="77777777" w:rsidR="004D4C63" w:rsidRPr="00D42701" w:rsidRDefault="004D4C63" w:rsidP="00B11115">
      <w:pPr>
        <w:pStyle w:val="Heading4"/>
      </w:pPr>
      <w:r w:rsidRPr="00D42701">
        <w:t>IVRS Discovery Service</w:t>
      </w:r>
    </w:p>
    <w:p w14:paraId="10C52B8C" w14:textId="276A71BB" w:rsidR="00A753AF" w:rsidRPr="00A753AF" w:rsidRDefault="00A753AF" w:rsidP="00B1367E">
      <w:pPr>
        <w:rPr>
          <w:shd w:val="clear" w:color="auto" w:fill="FFFFFF"/>
        </w:rPr>
      </w:pPr>
      <w:r w:rsidRPr="00A753AF">
        <w:rPr>
          <w:shd w:val="clear" w:color="auto" w:fill="FFFFFF"/>
        </w:rPr>
        <w:t>Discovery is a person-centered approach that leads to generating information to design a pathway to a career that focuses on the individual's interest</w:t>
      </w:r>
      <w:r w:rsidR="00597348">
        <w:rPr>
          <w:shd w:val="clear" w:color="auto" w:fill="FFFFFF"/>
        </w:rPr>
        <w:t>s</w:t>
      </w:r>
      <w:r w:rsidRPr="00A753AF">
        <w:rPr>
          <w:shd w:val="clear" w:color="auto" w:fill="FFFFFF"/>
        </w:rPr>
        <w:t>, talents, and contributions (not limitations). Discovery services are appropriate for job candidates who haven't worked, worked primarily in segregated settings, or had little vocational success</w:t>
      </w:r>
      <w:r w:rsidR="0037194D">
        <w:rPr>
          <w:shd w:val="clear" w:color="auto" w:fill="FFFFFF"/>
        </w:rPr>
        <w:t xml:space="preserve">. </w:t>
      </w:r>
      <w:r w:rsidRPr="00A753AF">
        <w:rPr>
          <w:shd w:val="clear" w:color="auto" w:fill="FFFFFF"/>
        </w:rPr>
        <w:t>Candidates who know their vocational goal or have a successful work history are not appropriate for Discovery</w:t>
      </w:r>
      <w:r w:rsidR="0037194D">
        <w:rPr>
          <w:shd w:val="clear" w:color="auto" w:fill="FFFFFF"/>
        </w:rPr>
        <w:t xml:space="preserve">. </w:t>
      </w:r>
      <w:r w:rsidRPr="00A753AF">
        <w:rPr>
          <w:shd w:val="clear" w:color="auto" w:fill="FFFFFF"/>
        </w:rPr>
        <w:t>The results from Discovery are used to identify a job candidate's skills, interests, abilities, conditions, contributions, and support needed for employment</w:t>
      </w:r>
      <w:r w:rsidR="004C3B0E">
        <w:rPr>
          <w:shd w:val="clear" w:color="auto" w:fill="FFFFFF"/>
        </w:rPr>
        <w:t>—</w:t>
      </w:r>
      <w:r w:rsidRPr="00A753AF">
        <w:rPr>
          <w:shd w:val="clear" w:color="auto" w:fill="FFFFFF"/>
        </w:rPr>
        <w:t>all of which lead to a more compatible job match.</w:t>
      </w:r>
      <w:r w:rsidRPr="00A753AF">
        <w:rPr>
          <w:shd w:val="clear" w:color="auto" w:fill="FFFFFF"/>
          <w:vertAlign w:val="superscript"/>
        </w:rPr>
        <w:footnoteReference w:id="17"/>
      </w:r>
    </w:p>
    <w:p w14:paraId="7724458A" w14:textId="6F05586B" w:rsidR="00A753AF" w:rsidRPr="004C3B0E" w:rsidRDefault="00A753AF" w:rsidP="00B1367E">
      <w:pPr>
        <w:rPr>
          <w:b/>
          <w:bCs/>
          <w:shd w:val="clear" w:color="auto" w:fill="FFFFFF"/>
        </w:rPr>
      </w:pPr>
      <w:r w:rsidRPr="004C3B0E">
        <w:rPr>
          <w:b/>
          <w:bCs/>
          <w:shd w:val="clear" w:color="auto" w:fill="FFFFFF"/>
        </w:rPr>
        <w:t>Reimbursement</w:t>
      </w:r>
      <w:r w:rsidR="00D10210" w:rsidRPr="004C3B0E">
        <w:rPr>
          <w:b/>
          <w:bCs/>
          <w:shd w:val="clear" w:color="auto" w:fill="FFFFFF"/>
        </w:rPr>
        <w:t xml:space="preserve">: </w:t>
      </w:r>
      <w:r w:rsidRPr="004C3B0E">
        <w:rPr>
          <w:b/>
          <w:bCs/>
          <w:shd w:val="clear" w:color="auto" w:fill="FFFFFF"/>
        </w:rPr>
        <w:t xml:space="preserve">Up to 12 hours. </w:t>
      </w:r>
      <w:r w:rsidR="00B129AF">
        <w:rPr>
          <w:b/>
          <w:bCs/>
          <w:shd w:val="clear" w:color="auto" w:fill="FFFFFF"/>
        </w:rPr>
        <w:br/>
      </w:r>
      <w:r w:rsidRPr="004C3B0E">
        <w:rPr>
          <w:b/>
          <w:bCs/>
          <w:shd w:val="clear" w:color="auto" w:fill="FFFFFF"/>
        </w:rPr>
        <w:t>All hours paid at $38.28/hour. Maximum reimbursement</w:t>
      </w:r>
      <w:r w:rsidR="00D10210" w:rsidRPr="004C3B0E">
        <w:rPr>
          <w:b/>
          <w:bCs/>
          <w:shd w:val="clear" w:color="auto" w:fill="FFFFFF"/>
        </w:rPr>
        <w:t xml:space="preserve">: </w:t>
      </w:r>
      <w:r w:rsidRPr="004C3B0E">
        <w:rPr>
          <w:b/>
          <w:bCs/>
          <w:shd w:val="clear" w:color="auto" w:fill="FFFFFF"/>
        </w:rPr>
        <w:t>$459.36.</w:t>
      </w:r>
    </w:p>
    <w:p w14:paraId="458CBB5D" w14:textId="77777777" w:rsidR="004D4C63" w:rsidRPr="00D42701" w:rsidRDefault="004D4C63" w:rsidP="00B11115">
      <w:pPr>
        <w:pStyle w:val="Heading4"/>
      </w:pPr>
      <w:r w:rsidRPr="00D42701">
        <w:t>IVRS Customized Employment Service</w:t>
      </w:r>
    </w:p>
    <w:p w14:paraId="42FCBEEB" w14:textId="77777777" w:rsidR="004F5143" w:rsidRPr="004F5143" w:rsidRDefault="004F5143" w:rsidP="00B1367E">
      <w:pPr>
        <w:rPr>
          <w:shd w:val="clear" w:color="auto" w:fill="FFFFFF"/>
        </w:rPr>
      </w:pPr>
      <w:r w:rsidRPr="004F5143">
        <w:rPr>
          <w:shd w:val="clear" w:color="auto" w:fill="FFFFFF"/>
        </w:rPr>
        <w:t>The purpose of CE is to create employment through negotiation or job carving instead of using the traditional approach. CE matches a person to an existing job</w:t>
      </w:r>
      <w:r w:rsidR="00007246">
        <w:rPr>
          <w:shd w:val="clear" w:color="auto" w:fill="FFFFFF"/>
        </w:rPr>
        <w:t>,</w:t>
      </w:r>
      <w:r w:rsidRPr="004F5143">
        <w:rPr>
          <w:shd w:val="clear" w:color="auto" w:fill="FFFFFF"/>
        </w:rPr>
        <w:t xml:space="preserve"> or a new position may be developed. CE is provided </w:t>
      </w:r>
      <w:r w:rsidR="00007246">
        <w:rPr>
          <w:shd w:val="clear" w:color="auto" w:fill="FFFFFF"/>
        </w:rPr>
        <w:t xml:space="preserve">in </w:t>
      </w:r>
      <w:r w:rsidRPr="004F5143">
        <w:rPr>
          <w:shd w:val="clear" w:color="auto" w:fill="FFFFFF"/>
        </w:rPr>
        <w:t>conjunction with SES and involves revising a job description and/or exploring work opportunities that don’t currently exist.</w:t>
      </w:r>
      <w:r w:rsidRPr="004F5143">
        <w:rPr>
          <w:shd w:val="clear" w:color="auto" w:fill="FFFFFF"/>
          <w:vertAlign w:val="superscript"/>
        </w:rPr>
        <w:footnoteReference w:id="18"/>
      </w:r>
    </w:p>
    <w:p w14:paraId="753518EE" w14:textId="3B1DE427" w:rsidR="004F5143" w:rsidRPr="004C3B0E" w:rsidRDefault="004F5143" w:rsidP="00B1367E">
      <w:pPr>
        <w:rPr>
          <w:rFonts w:eastAsia="Calibri"/>
          <w:b/>
          <w:bCs/>
          <w:color w:val="auto"/>
        </w:rPr>
      </w:pPr>
      <w:r w:rsidRPr="004C3B0E">
        <w:rPr>
          <w:b/>
          <w:bCs/>
          <w:shd w:val="clear" w:color="auto" w:fill="FFFFFF"/>
        </w:rPr>
        <w:t xml:space="preserve">Reimbursement: Up to 10 hours in addition to Job Development that provides up to 60 hours. </w:t>
      </w:r>
      <w:r w:rsidR="00B129AF">
        <w:rPr>
          <w:b/>
          <w:bCs/>
          <w:shd w:val="clear" w:color="auto" w:fill="FFFFFF"/>
        </w:rPr>
        <w:br/>
      </w:r>
      <w:r w:rsidRPr="004C3B0E">
        <w:rPr>
          <w:b/>
          <w:bCs/>
          <w:shd w:val="clear" w:color="auto" w:fill="FFFFFF"/>
        </w:rPr>
        <w:t>All hours paid at $66.12/hour. Maximum reimbursement</w:t>
      </w:r>
      <w:r w:rsidR="00D10210" w:rsidRPr="004C3B0E">
        <w:rPr>
          <w:b/>
          <w:bCs/>
          <w:shd w:val="clear" w:color="auto" w:fill="FFFFFF"/>
        </w:rPr>
        <w:t xml:space="preserve">: </w:t>
      </w:r>
      <w:r w:rsidRPr="004C3B0E">
        <w:rPr>
          <w:b/>
          <w:bCs/>
          <w:shd w:val="clear" w:color="auto" w:fill="FFFFFF"/>
        </w:rPr>
        <w:t>$4,628.40.</w:t>
      </w:r>
    </w:p>
    <w:p w14:paraId="110A6151" w14:textId="77777777" w:rsidR="004F5143" w:rsidRPr="004F5143" w:rsidRDefault="004F5143" w:rsidP="00086A85">
      <w:pPr>
        <w:pStyle w:val="ListNumber"/>
        <w:numPr>
          <w:ilvl w:val="0"/>
          <w:numId w:val="11"/>
        </w:numPr>
      </w:pPr>
      <w:r w:rsidRPr="004F5143">
        <w:t>Individuals with disabilities eligible for IVRS who are on a waiting list for an IME waiver</w:t>
      </w:r>
      <w:r w:rsidR="00261FC8">
        <w:t>:</w:t>
      </w:r>
      <w:r w:rsidRPr="004F5143">
        <w:t xml:space="preserve"> </w:t>
      </w:r>
    </w:p>
    <w:p w14:paraId="564427D5" w14:textId="77777777" w:rsidR="004F5143" w:rsidRPr="004F5143" w:rsidRDefault="004F5143" w:rsidP="004C3B0E">
      <w:pPr>
        <w:pStyle w:val="ListBullet"/>
      </w:pPr>
      <w:r w:rsidRPr="004F5143">
        <w:t>Established individuals can be served by IVRS and clarified that until waiver funds are available, IVRS may fund all SE</w:t>
      </w:r>
      <w:r w:rsidR="00C92FCE">
        <w:t>S</w:t>
      </w:r>
      <w:r w:rsidR="00B51ACD">
        <w:t>,</w:t>
      </w:r>
      <w:r w:rsidRPr="004F5143">
        <w:t xml:space="preserve"> which may include job development, CE</w:t>
      </w:r>
      <w:r w:rsidR="00B51ACD">
        <w:t>,</w:t>
      </w:r>
      <w:r w:rsidRPr="004F5143">
        <w:t xml:space="preserve"> and job coaching. Further clarified that services for SE</w:t>
      </w:r>
      <w:r w:rsidR="00B51ACD">
        <w:t>S</w:t>
      </w:r>
      <w:r w:rsidRPr="004F5143">
        <w:t xml:space="preserve"> are authorized by IVRS until the time waiver funds become available. If or when that occurs, IVRS would cancel any unused authorizations for remaining services so that waiver funding could begin, except in IVRS cases involving SES for individuals under age 24.</w:t>
      </w:r>
    </w:p>
    <w:p w14:paraId="0FB8F431" w14:textId="77777777" w:rsidR="004F5143" w:rsidRPr="004F5143" w:rsidRDefault="004F5143" w:rsidP="00941361">
      <w:pPr>
        <w:pStyle w:val="ListNumber"/>
        <w:ind w:left="360"/>
      </w:pPr>
      <w:r w:rsidRPr="004F5143">
        <w:t>Individuals with disabilities who are IVRS-eligible but who do not qualify for IME state plan habilitation or waiver</w:t>
      </w:r>
      <w:r w:rsidR="00261FC8">
        <w:t>:</w:t>
      </w:r>
    </w:p>
    <w:p w14:paraId="457CBF29" w14:textId="77777777" w:rsidR="004F5143" w:rsidRPr="004F5143" w:rsidRDefault="004F5143" w:rsidP="00941361">
      <w:pPr>
        <w:pStyle w:val="ListBullet"/>
      </w:pPr>
      <w:r w:rsidRPr="004F5143">
        <w:t xml:space="preserve">Established IVRS may fund all </w:t>
      </w:r>
      <w:r w:rsidR="008507DB">
        <w:t>SES</w:t>
      </w:r>
      <w:r w:rsidR="008109B8">
        <w:t>,</w:t>
      </w:r>
      <w:r w:rsidR="008507DB">
        <w:t xml:space="preserve"> </w:t>
      </w:r>
      <w:r w:rsidRPr="004F5143">
        <w:t>which can include job development, CE</w:t>
      </w:r>
      <w:r w:rsidR="002D4EEC">
        <w:t>,</w:t>
      </w:r>
      <w:r w:rsidRPr="004F5143">
        <w:t xml:space="preserve"> and job coaching.</w:t>
      </w:r>
    </w:p>
    <w:p w14:paraId="5DBE6D0C" w14:textId="77777777" w:rsidR="004F5143" w:rsidRPr="004F5143" w:rsidRDefault="004F5143" w:rsidP="00941361">
      <w:pPr>
        <w:pStyle w:val="ListBullet"/>
      </w:pPr>
      <w:r w:rsidRPr="004F5143">
        <w:t>Established that identified source for long-term job coaching services</w:t>
      </w:r>
      <w:r w:rsidR="00633117" w:rsidRPr="00633117">
        <w:t xml:space="preserve"> </w:t>
      </w:r>
      <w:r w:rsidR="00633117" w:rsidRPr="004F5143">
        <w:t xml:space="preserve">is required for IVRS </w:t>
      </w:r>
      <w:r w:rsidR="00633117">
        <w:t>SES</w:t>
      </w:r>
      <w:r w:rsidRPr="004F5143">
        <w:t>, to the extent needed by the individual. Funding (or sources) to provide these services can include county funding, natural supports, PASS, IRWE, MH worker, independent living, or other no-cost resources.</w:t>
      </w:r>
    </w:p>
    <w:p w14:paraId="6D6A4770" w14:textId="61B32CE7" w:rsidR="004F5143" w:rsidRPr="004F5143" w:rsidRDefault="004F5143" w:rsidP="00B1367E">
      <w:r w:rsidRPr="004F5143">
        <w:t>To further ensure braiding and coordinated service delivery could occur, IVRS participated with IME in the process involving stakeholders which led to the changes described in this guide (See other Iowa Case Examples)</w:t>
      </w:r>
      <w:r w:rsidR="00D57C92">
        <w:t>.</w:t>
      </w:r>
      <w:r w:rsidRPr="004F5143">
        <w:t xml:space="preserve"> At the time, IVRS chose to adopt the same hourly fee-for-service reimbursement rates as IME adopted for services performed by a qualified Job Developer and qualified Job Coach. Identical services available through both IVRS and IME were paid for in a very similar</w:t>
      </w:r>
      <w:r w:rsidR="00A23AF5">
        <w:t>,</w:t>
      </w:r>
      <w:r w:rsidRPr="004F5143">
        <w:t xml:space="preserve"> if not identical way</w:t>
      </w:r>
      <w:r w:rsidR="00A23AF5">
        <w:t>,</w:t>
      </w:r>
      <w:r w:rsidRPr="004F5143">
        <w:t xml:space="preserve"> to ensure consistency across the agencies and for providers contracting with both entities.</w:t>
      </w:r>
    </w:p>
    <w:p w14:paraId="21438AFA" w14:textId="77777777" w:rsidR="004D4C63" w:rsidRPr="00A049B4" w:rsidRDefault="004D4C63" w:rsidP="00B11115">
      <w:pPr>
        <w:pStyle w:val="Heading3"/>
      </w:pPr>
      <w:bookmarkStart w:id="37" w:name="_Toc70944185"/>
      <w:r w:rsidRPr="00A049B4">
        <w:t>C</w:t>
      </w:r>
      <w:r w:rsidR="00AE27AB" w:rsidRPr="00A049B4">
        <w:t>ase Example</w:t>
      </w:r>
      <w:r w:rsidR="008C4BED" w:rsidRPr="00A049B4">
        <w:t xml:space="preserve">: </w:t>
      </w:r>
      <w:r w:rsidR="004374EF" w:rsidRPr="00A049B4">
        <w:t xml:space="preserve">Tennessee </w:t>
      </w:r>
      <w:r w:rsidRPr="00A049B4">
        <w:t>V</w:t>
      </w:r>
      <w:r w:rsidR="004374EF" w:rsidRPr="00A049B4">
        <w:t>ocational Rehabilitation</w:t>
      </w:r>
      <w:r w:rsidRPr="00A049B4">
        <w:t xml:space="preserve"> </w:t>
      </w:r>
      <w:r w:rsidR="004374EF" w:rsidRPr="00A049B4">
        <w:t>and Tennessee Medicaid</w:t>
      </w:r>
      <w:bookmarkEnd w:id="37"/>
    </w:p>
    <w:p w14:paraId="373752E4" w14:textId="77777777" w:rsidR="00F601C5" w:rsidRPr="00F601C5" w:rsidRDefault="00F601C5" w:rsidP="00B1367E">
      <w:r w:rsidRPr="00F601C5">
        <w:t xml:space="preserve">With the passage of the Workforce Innovation and Opportunity Act in 2014, a new requirement for state VR agencies was established which required every VR agency to enter into a formal cooperative agreement with the state Medicaid agency with respect to the delivery of VR services, including extended services for individuals with the most significant disabilities who have been </w:t>
      </w:r>
      <w:r w:rsidRPr="00F601C5">
        <w:rPr>
          <w:b/>
          <w:bCs/>
          <w:i/>
          <w:iCs/>
        </w:rPr>
        <w:t xml:space="preserve">determined eligible for Home and Community-Based Services </w:t>
      </w:r>
      <w:r w:rsidRPr="00F601C5">
        <w:t>(HCBS) under a Medicaid waiver, Medicaid State plan amendment, or other authority related to a State Medicaid program.</w:t>
      </w:r>
      <w:r w:rsidRPr="00F601C5">
        <w:rPr>
          <w:vertAlign w:val="superscript"/>
        </w:rPr>
        <w:footnoteReference w:id="19"/>
      </w:r>
      <w:r w:rsidRPr="00F601C5">
        <w:t xml:space="preserve"> </w:t>
      </w:r>
    </w:p>
    <w:p w14:paraId="6073C5E6" w14:textId="5CC7B705" w:rsidR="00F601C5" w:rsidRPr="00F601C5" w:rsidRDefault="00F601C5" w:rsidP="00B1367E">
      <w:r w:rsidRPr="00E166FE">
        <w:t>Up to that point, there was virtually no state VR agency that had a Memorandum of Understanding (MOU) specifically with their Medicaid counterpart other than Iowa.</w:t>
      </w:r>
      <w:r w:rsidRPr="00F601C5">
        <w:t xml:space="preserve"> The next trailblazer was Tennessee where the Medicaid agency (Tenn</w:t>
      </w:r>
      <w:r w:rsidR="006C4711">
        <w:t>C</w:t>
      </w:r>
      <w:r w:rsidRPr="00F601C5">
        <w:t xml:space="preserve">are) and the Tennessee VR agency signed an expansive and detailed </w:t>
      </w:r>
      <w:r w:rsidR="00386272">
        <w:t>MOU</w:t>
      </w:r>
      <w:r w:rsidRPr="00F601C5">
        <w:t xml:space="preserve"> with regard to individuals with IDD</w:t>
      </w:r>
      <w:r w:rsidR="009F4648">
        <w:t>,</w:t>
      </w:r>
      <w:r w:rsidRPr="00F601C5">
        <w:t xml:space="preserve"> which still serves as a national model</w:t>
      </w:r>
      <w:r w:rsidR="0037194D">
        <w:t xml:space="preserve">. </w:t>
      </w:r>
      <w:r w:rsidRPr="00F601C5">
        <w:t>Similar to Iowa, Tennessee’s agreement detailed cost sharing and coordinated service delivery in a way that had rarely been seen nationally in typical MOUs between state VR agencies and partner agencies (e.g.</w:t>
      </w:r>
      <w:r w:rsidR="009F4648">
        <w:t>,</w:t>
      </w:r>
      <w:r w:rsidRPr="00F601C5">
        <w:t xml:space="preserve"> IDD agencies; state education agencies).</w:t>
      </w:r>
    </w:p>
    <w:p w14:paraId="547BF6EC" w14:textId="2B095DDE" w:rsidR="00F601C5" w:rsidRPr="00F601C5" w:rsidRDefault="00F601C5" w:rsidP="00B1367E">
      <w:r w:rsidRPr="00F601C5">
        <w:t>The Tennessee MOU</w:t>
      </w:r>
      <w:r w:rsidRPr="00F601C5">
        <w:rPr>
          <w:vertAlign w:val="superscript"/>
        </w:rPr>
        <w:footnoteReference w:id="20"/>
      </w:r>
      <w:r w:rsidRPr="00F601C5">
        <w:t xml:space="preserve"> established that the Medicaid-funded program would provide, as needed, Employment Exploration and Discovery</w:t>
      </w:r>
      <w:r w:rsidRPr="00F601C5">
        <w:rPr>
          <w:vertAlign w:val="superscript"/>
        </w:rPr>
        <w:footnoteReference w:id="21"/>
      </w:r>
      <w:r w:rsidRPr="00F601C5">
        <w:t xml:space="preserve"> prior to Tennessee VR assuming responsibility for funding the services an individual with IDD needs to obtain competitive integrated employment. The MOU further outlined timeframes for each agency executing their agreed responsibilities with regard to a </w:t>
      </w:r>
      <w:r w:rsidR="00F43CA7">
        <w:t>“</w:t>
      </w:r>
      <w:r w:rsidRPr="00F601C5">
        <w:t>common customer</w:t>
      </w:r>
      <w:r w:rsidR="00F43CA7">
        <w:t>”</w:t>
      </w:r>
      <w:r w:rsidR="00D10210">
        <w:t xml:space="preserve">: </w:t>
      </w:r>
      <w:r w:rsidRPr="00F601C5">
        <w:t>an individual with IDD eligible for and enrolled with both programs</w:t>
      </w:r>
      <w:r w:rsidR="0037194D">
        <w:t xml:space="preserve">. </w:t>
      </w:r>
      <w:r w:rsidRPr="00F601C5">
        <w:t>There was critical attention paid to the sequencing of services so that a common customer would not experience a significant gap in progress in the process of achieving competitive integrated employment</w:t>
      </w:r>
      <w:r w:rsidR="0037194D">
        <w:t xml:space="preserve">. </w:t>
      </w:r>
      <w:r w:rsidRPr="00F601C5">
        <w:t>For example, the MOU expected that a referral to Tennessee VR would occur when the Discovery service was initiated so that by the time the Discovery service concluded (90 days), the VR application and eligibility determination would be done</w:t>
      </w:r>
      <w:r w:rsidR="00792389">
        <w:t>,</w:t>
      </w:r>
      <w:r w:rsidRPr="00F601C5">
        <w:t xml:space="preserve"> and the results of Discovery could be used in moving directly to development of the Individual Plan for Employment (IPE)</w:t>
      </w:r>
      <w:r w:rsidR="0037194D">
        <w:t xml:space="preserve">. </w:t>
      </w:r>
      <w:r w:rsidRPr="00F601C5">
        <w:t xml:space="preserve">Importantly, although many times overlooked, the MOU also addressed how individuals would be supported to achieve their career advancement goals. </w:t>
      </w:r>
    </w:p>
    <w:p w14:paraId="32BCAAEE" w14:textId="77777777" w:rsidR="004D4C63" w:rsidRPr="00A049B4" w:rsidRDefault="00385673" w:rsidP="00B11115">
      <w:pPr>
        <w:pStyle w:val="Heading3"/>
      </w:pPr>
      <w:bookmarkStart w:id="38" w:name="_Toc70944186"/>
      <w:r w:rsidRPr="00A049B4">
        <w:t xml:space="preserve">Case Example: </w:t>
      </w:r>
      <w:r w:rsidR="000100C4" w:rsidRPr="00A049B4">
        <w:t xml:space="preserve">Oregon </w:t>
      </w:r>
      <w:r w:rsidRPr="00A049B4">
        <w:t xml:space="preserve">Vocational Rehabilitation </w:t>
      </w:r>
      <w:r w:rsidR="000100C4" w:rsidRPr="00A049B4">
        <w:t>and Oregon Developmental Disability Services</w:t>
      </w:r>
      <w:bookmarkEnd w:id="38"/>
    </w:p>
    <w:p w14:paraId="0AF63538" w14:textId="77777777" w:rsidR="00C70181" w:rsidRPr="00C70181" w:rsidRDefault="00C70181" w:rsidP="00B1367E">
      <w:r w:rsidRPr="00C70181">
        <w:t>As part of the Oregon Department of Human Services’ efforts to advance competitive integrated employment and increase access to Supported Employment services for individuals with IDD, the Oregon Office of Vocational Rehabilitation Services (OVRS) and the Oregon Office of Developmental Disability Services (ODDS) entered into a formal agreement identifying service and payment responsibilities for common customers</w:t>
      </w:r>
      <w:r w:rsidR="006677B7">
        <w:t xml:space="preserve">. </w:t>
      </w:r>
      <w:r w:rsidRPr="00C70181">
        <w:t>In this agreement, ODDS committed to providing Discovery services</w:t>
      </w:r>
      <w:r w:rsidRPr="00C70181">
        <w:rPr>
          <w:vertAlign w:val="superscript"/>
        </w:rPr>
        <w:footnoteReference w:id="22"/>
      </w:r>
      <w:r w:rsidRPr="00C70181">
        <w:t xml:space="preserve"> and then referring individuals to OVRS which committed to using the results of Discovery and providing Supported Employment Job Development and initial Job Coaching services until the individual reaches stabilization in his/her competitive integrated position. ODDS committed to then provide any long-term Supported Employment Job Coaching and/or related supports the individuals needs to maintain the competitive integrated position</w:t>
      </w:r>
      <w:r w:rsidR="006677B7">
        <w:t xml:space="preserve">. </w:t>
      </w:r>
    </w:p>
    <w:p w14:paraId="3EEB4167" w14:textId="7DC4EF60" w:rsidR="009D7204" w:rsidRPr="00C70181" w:rsidRDefault="00C70181" w:rsidP="006364B1">
      <w:r w:rsidRPr="00C70181">
        <w:t>This division of responsibility created a fair division of the overall financial investment for a common customer, and also aligned with each agency’s policies with regard to specific services they had the ability to purchase and specific timeframes within which they were required to operate. These commitments are captured in the current Inter-Agency Cooperative Agreement</w:t>
      </w:r>
      <w:r w:rsidRPr="00C70181">
        <w:rPr>
          <w:vertAlign w:val="superscript"/>
        </w:rPr>
        <w:footnoteReference w:id="23"/>
      </w:r>
      <w:r w:rsidRPr="00C70181">
        <w:t>, as well as a commitment by ODDS, to develop a plan to address employment service needs of individuals with IDD, which may include the provision of Job Development services. If OVRS goes into Order of Selection, certain individuals with IDD may be placed on an OVRS waiting list as a result.</w:t>
      </w:r>
    </w:p>
    <w:p w14:paraId="799F30D2" w14:textId="77777777" w:rsidR="009D7204" w:rsidRDefault="009D7204">
      <w:pPr>
        <w:spacing w:before="0" w:after="0" w:line="240" w:lineRule="auto"/>
        <w:rPr>
          <w:rFonts w:asciiTheme="majorHAnsi" w:eastAsiaTheme="majorEastAsia" w:hAnsiTheme="majorHAnsi" w:cs="Times New Roman (Headings CS)"/>
          <w:color w:val="215868" w:themeColor="accent5" w:themeShade="80"/>
          <w:sz w:val="26"/>
          <w:szCs w:val="26"/>
          <w:highlight w:val="lightGray"/>
        </w:rPr>
      </w:pPr>
      <w:r>
        <w:rPr>
          <w:bCs/>
          <w:highlight w:val="lightGray"/>
        </w:rPr>
        <w:br w:type="page"/>
      </w:r>
    </w:p>
    <w:p w14:paraId="00D54944" w14:textId="07203508" w:rsidR="004D4C63" w:rsidRPr="00DA2A97" w:rsidRDefault="004D4C63" w:rsidP="00B11115">
      <w:pPr>
        <w:pStyle w:val="Heading1"/>
      </w:pPr>
      <w:bookmarkStart w:id="39" w:name="_Toc70944187"/>
      <w:r w:rsidRPr="00DA2A97">
        <w:t>Outcome-Based Reimbursement</w:t>
      </w:r>
      <w:r w:rsidR="008C4BED" w:rsidRPr="00DA2A97">
        <w:t xml:space="preserve">: </w:t>
      </w:r>
      <w:r w:rsidRPr="00DA2A97">
        <w:t>Innovations to Incentivize Increased Competitive Integrated Employment</w:t>
      </w:r>
      <w:bookmarkEnd w:id="39"/>
    </w:p>
    <w:p w14:paraId="116854E0" w14:textId="0FDEB252" w:rsidR="00FA58AF" w:rsidRPr="006364B1" w:rsidRDefault="00C70181" w:rsidP="006364B1">
      <w:pPr>
        <w:rPr>
          <w:rFonts w:cs="Calibri"/>
          <w:shd w:val="clear" w:color="auto" w:fill="FFFFFF"/>
        </w:rPr>
      </w:pPr>
      <w:r w:rsidRPr="00C70181">
        <w:t xml:space="preserve">By far, experience keeps on demonstrating that one of the essential keys to increasing competitive integrated employment outcomes is aligning the reimbursement structure with best practice service provision. </w:t>
      </w:r>
      <w:r w:rsidRPr="00C70181">
        <w:rPr>
          <w:rFonts w:cs="Calibri"/>
          <w:shd w:val="clear" w:color="auto" w:fill="FFFFFF"/>
        </w:rPr>
        <w:t xml:space="preserve">There exists a powerful disconnect between what fee-for-service reimbursement incentivizes and what are recognized best practices and quality outcomes associated with Supported Employment. As a quick summary of the issue discussed earlier in this guide, the illustration </w:t>
      </w:r>
      <w:r w:rsidR="006364B1">
        <w:rPr>
          <w:rFonts w:cs="Calibri"/>
          <w:shd w:val="clear" w:color="auto" w:fill="FFFFFF"/>
        </w:rPr>
        <w:t xml:space="preserve">on the right </w:t>
      </w:r>
      <w:r w:rsidRPr="00C70181">
        <w:rPr>
          <w:rFonts w:cs="Calibri"/>
          <w:shd w:val="clear" w:color="auto" w:fill="FFFFFF"/>
        </w:rPr>
        <w:t xml:space="preserve">is </w:t>
      </w:r>
      <w:r w:rsidR="001E6980">
        <w:rPr>
          <w:rFonts w:cs="Calibri"/>
          <w:shd w:val="clear" w:color="auto" w:fill="FFFFFF"/>
        </w:rPr>
        <w:t>most</w:t>
      </w:r>
      <w:r w:rsidRPr="00C70181">
        <w:rPr>
          <w:rFonts w:cs="Calibri"/>
          <w:shd w:val="clear" w:color="auto" w:fill="FFFFFF"/>
        </w:rPr>
        <w:t xml:space="preserve"> instructive</w:t>
      </w:r>
      <w:r w:rsidR="006364B1">
        <w:rPr>
          <w:rFonts w:cs="Calibri"/>
          <w:shd w:val="clear" w:color="auto" w:fill="FFFFFF"/>
        </w:rPr>
        <w:t>.</w:t>
      </w:r>
      <w:r w:rsidR="00D935AA" w:rsidRPr="00D935AA">
        <w:rPr>
          <w:noProof/>
          <w:sz w:val="16"/>
          <w:szCs w:val="16"/>
          <w:shd w:val="clear" w:color="auto" w:fill="EEECE1" w:themeFill="background2"/>
        </w:rPr>
        <w:t xml:space="preserve"> </w:t>
      </w:r>
    </w:p>
    <w:p w14:paraId="748283B6" w14:textId="6176B5B6" w:rsidR="00D935AA" w:rsidRPr="00FE3C1B" w:rsidRDefault="00D935AA" w:rsidP="00FE3C1B">
      <w:pPr>
        <w:pStyle w:val="NoSpacing"/>
      </w:pPr>
    </w:p>
    <w:p w14:paraId="335DC19E" w14:textId="263C2F34" w:rsidR="00546DD2" w:rsidRDefault="00546DD2" w:rsidP="001666DE">
      <w:pPr>
        <w:ind w:left="900"/>
        <w:rPr>
          <w:shd w:val="clear" w:color="auto" w:fill="FFFFFF"/>
        </w:rPr>
      </w:pPr>
      <w:r w:rsidRPr="00AC612F">
        <w:rPr>
          <w:noProof/>
          <w:sz w:val="16"/>
          <w:szCs w:val="16"/>
          <w:shd w:val="clear" w:color="auto" w:fill="EEECE1" w:themeFill="background2"/>
        </w:rPr>
        <w:drawing>
          <wp:inline distT="0" distB="0" distL="0" distR="0" wp14:anchorId="0DE18177" wp14:editId="40851C46">
            <wp:extent cx="4206240" cy="2638425"/>
            <wp:effectExtent l="0" t="0" r="0" b="3175"/>
            <wp:docPr id="14" name="Diagram 14" descr="A depiction of the paradox when paying by hour of service. An arrow shows how funding decreases when organizational capability increa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DEBA119" w14:textId="77777777" w:rsidR="00FE3C1B" w:rsidRDefault="00FE3C1B" w:rsidP="00FE3C1B">
      <w:pPr>
        <w:pStyle w:val="NoSpacing"/>
        <w:rPr>
          <w:shd w:val="clear" w:color="auto" w:fill="FFFFFF"/>
        </w:rPr>
      </w:pPr>
    </w:p>
    <w:p w14:paraId="6A8CDE6E" w14:textId="20C5F9B5" w:rsidR="004D4C63" w:rsidRPr="00043C33" w:rsidRDefault="004D4C63" w:rsidP="00B1367E">
      <w:pPr>
        <w:rPr>
          <w:shd w:val="clear" w:color="auto" w:fill="FFFFFF"/>
        </w:rPr>
      </w:pPr>
      <w:r w:rsidRPr="00043C33">
        <w:rPr>
          <w:shd w:val="clear" w:color="auto" w:fill="FFFFFF"/>
        </w:rPr>
        <w:t>I believe this reality has been clear to Supported Employment providers for a long time. They are faced with the prospect of investing in learning and implementing best practices and achieving desired outcomes as a result, including: efficiently securing job opportunities; effectively supporting new employees with disabilities to learn their jobs; enabling supported employees to rely on technology and/or natural supports; and maximizing their ability to work in competitive integrated employment without a paid Supported Employment job coach</w:t>
      </w:r>
      <w:r w:rsidR="005043F4">
        <w:rPr>
          <w:shd w:val="clear" w:color="auto" w:fill="FFFFFF"/>
        </w:rPr>
        <w:t xml:space="preserve">. </w:t>
      </w:r>
      <w:r w:rsidRPr="00043C33">
        <w:rPr>
          <w:shd w:val="clear" w:color="auto" w:fill="FFFFFF"/>
        </w:rPr>
        <w:t>In a fee-for-service model, the provider is rewarded for all of this by receiving less funding. In fact, funding for a successful supported employee may stop altogether</w:t>
      </w:r>
      <w:r w:rsidR="005043F4">
        <w:rPr>
          <w:shd w:val="clear" w:color="auto" w:fill="FFFFFF"/>
        </w:rPr>
        <w:t xml:space="preserve">. </w:t>
      </w:r>
    </w:p>
    <w:p w14:paraId="393E0B20" w14:textId="77777777" w:rsidR="004D4C63" w:rsidRPr="00043C33" w:rsidRDefault="004D4C63" w:rsidP="00B1367E">
      <w:pPr>
        <w:rPr>
          <w:shd w:val="clear" w:color="auto" w:fill="FFFFFF"/>
        </w:rPr>
      </w:pPr>
      <w:r w:rsidRPr="00043C33">
        <w:rPr>
          <w:shd w:val="clear" w:color="auto" w:fill="FFFFFF"/>
        </w:rPr>
        <w:t>The provider implementing best practices also assists supported employees to increase their hours worked over time</w:t>
      </w:r>
      <w:r w:rsidR="002634A8">
        <w:rPr>
          <w:shd w:val="clear" w:color="auto" w:fill="FFFFFF"/>
        </w:rPr>
        <w:t>,</w:t>
      </w:r>
      <w:r w:rsidRPr="00043C33">
        <w:rPr>
          <w:shd w:val="clear" w:color="auto" w:fill="FFFFFF"/>
        </w:rPr>
        <w:t xml:space="preserve"> and likewise, there is no financial reimbursement for this recognized quality outcome. </w:t>
      </w:r>
      <w:r w:rsidRPr="00A925EA">
        <w:rPr>
          <w:shd w:val="clear" w:color="auto" w:fill="FFFFFF"/>
        </w:rPr>
        <w:t>With free choice of provider as a policy in both Medicaid and VR, and no mandatory requirement that individuals with disabilities work if a job is available for them, there is no guaranteed flow of new referrals to keep the cash flow going for a provider executing best practices and consistently producing high</w:t>
      </w:r>
      <w:r w:rsidR="00180654">
        <w:rPr>
          <w:shd w:val="clear" w:color="auto" w:fill="FFFFFF"/>
        </w:rPr>
        <w:t>-</w:t>
      </w:r>
      <w:r w:rsidRPr="00A925EA">
        <w:rPr>
          <w:shd w:val="clear" w:color="auto" w:fill="FFFFFF"/>
        </w:rPr>
        <w:t>quality outcomes.</w:t>
      </w:r>
      <w:r w:rsidRPr="00043C33">
        <w:rPr>
          <w:shd w:val="clear" w:color="auto" w:fill="FFFFFF"/>
        </w:rPr>
        <w:t xml:space="preserve"> They virtually put themselves out of business in a fee-for-service reimbursement structure</w:t>
      </w:r>
      <w:r w:rsidR="005043F4">
        <w:rPr>
          <w:shd w:val="clear" w:color="auto" w:fill="FFFFFF"/>
        </w:rPr>
        <w:t xml:space="preserve">. </w:t>
      </w:r>
    </w:p>
    <w:p w14:paraId="1C3D8EAA" w14:textId="77777777" w:rsidR="004D4C63" w:rsidRPr="00043C33" w:rsidRDefault="004D4C63" w:rsidP="00B1367E">
      <w:pPr>
        <w:rPr>
          <w:shd w:val="clear" w:color="auto" w:fill="FFFFFF"/>
        </w:rPr>
      </w:pPr>
      <w:r w:rsidRPr="00043C33">
        <w:rPr>
          <w:shd w:val="clear" w:color="auto" w:fill="FFFFFF"/>
        </w:rPr>
        <w:t>This reality is one reason why many providers of Supported Employment are not willing to make it their primary or sole line of business. They see no way to survive as an organization by doing this. As a result, they typically maintain their contracts to provide other services (including, unfortunately, services that typically divert people from participation in competitive integrated employment) because these other services do not have expectations of fading paid supports. The absence of fading expectations essentially guarantees a steady and ongoing cash flow for the provider in a fee-for-service reimbursement structure.</w:t>
      </w:r>
    </w:p>
    <w:p w14:paraId="0096C08A" w14:textId="77777777" w:rsidR="00CE1F29" w:rsidRPr="00D444A6" w:rsidRDefault="00CE1F29" w:rsidP="00B1367E">
      <w:pPr>
        <w:rPr>
          <w:i/>
          <w:iCs/>
          <w:shd w:val="clear" w:color="auto" w:fill="FFFFFF"/>
        </w:rPr>
      </w:pPr>
      <w:r w:rsidRPr="00D444A6">
        <w:rPr>
          <w:i/>
          <w:iCs/>
          <w:shd w:val="clear" w:color="auto" w:fill="FFFFFF"/>
        </w:rPr>
        <w:t>A small but exciting side note: Conversations are beginning about why such expectations don’t exist in other services, and outcome-based or incentive reimbursement models are beginning to emerge that are focused on rewarding providers of other types of services for enabling individuals to be less dependent on paid staff through the use of training/teaching skills for independence, implementing technological supports, and/or increasing/engaging natural supports. The same combination of best practice strategies used in Supported Employment is transferable to other services. The potential is yet unrealized</w:t>
      </w:r>
      <w:r w:rsidR="00E55171">
        <w:rPr>
          <w:i/>
          <w:iCs/>
          <w:shd w:val="clear" w:color="auto" w:fill="FFFFFF"/>
        </w:rPr>
        <w:t>,</w:t>
      </w:r>
      <w:r w:rsidRPr="00D444A6">
        <w:rPr>
          <w:i/>
          <w:iCs/>
          <w:shd w:val="clear" w:color="auto" w:fill="FFFFFF"/>
        </w:rPr>
        <w:t xml:space="preserve"> but there is no doubt that developing reimbursement models that reward providers for these outcomes will be a critical part of realizing the potential that clearly exists.</w:t>
      </w:r>
    </w:p>
    <w:p w14:paraId="32652B20" w14:textId="77777777" w:rsidR="00CE1F29" w:rsidRPr="00CE1F29" w:rsidRDefault="00CE1F29" w:rsidP="00B1367E">
      <w:r w:rsidRPr="00CE1F29">
        <w:rPr>
          <w:shd w:val="clear" w:color="auto" w:fill="FFFFFF"/>
        </w:rPr>
        <w:t>If there is a desire to substantially increase competitive integrated employment outcomes, and not just in a temporary burst that cannot and will not be sustained over time, this reality must be tackled head-on. This recognition has led a growing number of funders to consider new approaches. In multiple places, outcome-based reimbursement approaches for job coaching have developed</w:t>
      </w:r>
      <w:r w:rsidR="006677B7">
        <w:rPr>
          <w:shd w:val="clear" w:color="auto" w:fill="FFFFFF"/>
        </w:rPr>
        <w:t xml:space="preserve">. </w:t>
      </w:r>
    </w:p>
    <w:p w14:paraId="6E343EEB" w14:textId="77777777" w:rsidR="004D4C63" w:rsidRPr="00A049B4" w:rsidRDefault="004D4C63" w:rsidP="00B11115">
      <w:pPr>
        <w:pStyle w:val="Heading2"/>
      </w:pPr>
      <w:bookmarkStart w:id="40" w:name="_Toc70944188"/>
      <w:r w:rsidRPr="00A049B4">
        <w:t>C</w:t>
      </w:r>
      <w:r w:rsidR="00D444A6" w:rsidRPr="00A049B4">
        <w:t>ase Example: Central Wisconsin</w:t>
      </w:r>
      <w:bookmarkEnd w:id="40"/>
    </w:p>
    <w:p w14:paraId="655EAFF9" w14:textId="50211D4A" w:rsidR="00687B98" w:rsidRPr="00687B98" w:rsidRDefault="00687B98" w:rsidP="00B1367E">
      <w:r w:rsidRPr="00687B98">
        <w:t>A decade ago, a conversation started at the 2009 National Association of People Supporting Employment First (APSE) conference in Milwaukee</w:t>
      </w:r>
      <w:r w:rsidR="009C3808">
        <w:t>,</w:t>
      </w:r>
      <w:r w:rsidRPr="00687B98">
        <w:t xml:space="preserve"> Wisconsin, about how reimbursement strategy might play a role in increasing competitive integrated employment outcomes. This was, of course, </w:t>
      </w:r>
      <w:r w:rsidR="004616F8">
        <w:t>15</w:t>
      </w:r>
      <w:r w:rsidRPr="00687B98">
        <w:t xml:space="preserve"> years after Oklahoma’s Division of Developmental Disabilities implemented the first model in the country that reimbursed for Supported Employment based on hours worked by the supported employee rather than hours of service provided by the Supported Employment agency job coach. The Oklahoma trailblazing model is discussed in the introduction section of this guide. </w:t>
      </w:r>
      <w:r w:rsidRPr="008F28FF">
        <w:t xml:space="preserve">After the conversation at the 2009 National APSE conference, Inclusa, the </w:t>
      </w:r>
      <w:r w:rsidR="00D11E6A" w:rsidRPr="008F28FF">
        <w:t>MCO</w:t>
      </w:r>
      <w:r w:rsidRPr="008F28FF">
        <w:t xml:space="preserve"> at that time operating only in central Wisconsin, serving people with intellectual, developmental</w:t>
      </w:r>
      <w:r w:rsidR="009C3808" w:rsidRPr="008F28FF">
        <w:t>,</w:t>
      </w:r>
      <w:r w:rsidRPr="008F28FF">
        <w:t xml:space="preserve"> and physical disabilities, reached out about the possibility of working collaboratively with their Supported Employment providers to t</w:t>
      </w:r>
      <w:r w:rsidRPr="004969F8">
        <w:t>ry to develop an alternative to fee-for-service</w:t>
      </w:r>
      <w:r w:rsidR="006677B7" w:rsidRPr="00CD7685">
        <w:t>.</w:t>
      </w:r>
      <w:r w:rsidR="006677B7">
        <w:t xml:space="preserve"> </w:t>
      </w:r>
    </w:p>
    <w:p w14:paraId="7C91C995" w14:textId="77777777" w:rsidR="00687B98" w:rsidRPr="00687B98" w:rsidRDefault="00687B98" w:rsidP="00B1367E">
      <w:r w:rsidRPr="00687B98">
        <w:t>By way of context, in Wisconsin, each MCO is responsible for contracting with an adequate provider network and setting rates for services that are appropriate for the geographic area in which they are operating. There is no requirement that providers of like services are paid identical rates, although rate standardization is something many of the MCOs have implemented within their service areas.</w:t>
      </w:r>
    </w:p>
    <w:p w14:paraId="7FEF4911" w14:textId="7DF59384" w:rsidR="00687B98" w:rsidRPr="00A00B4A" w:rsidRDefault="00687B98" w:rsidP="00B1367E">
      <w:pPr>
        <w:rPr>
          <w:rFonts w:cs="Calibri"/>
        </w:rPr>
      </w:pPr>
      <w:r w:rsidRPr="00687B98">
        <w:rPr>
          <w:rFonts w:cs="Calibri"/>
        </w:rPr>
        <w:t xml:space="preserve">The outcome-based reimbursement model was developed through a workgroup process. </w:t>
      </w:r>
      <w:r w:rsidRPr="00687B98">
        <w:t xml:space="preserve">The process used by Inclusa brought their providers together with their provider network and fiscal </w:t>
      </w:r>
      <w:r w:rsidR="009A1FC1">
        <w:t>team</w:t>
      </w:r>
      <w:r w:rsidRPr="00687B98">
        <w:t xml:space="preserve"> to consider the options for taking a different approach. </w:t>
      </w:r>
      <w:r w:rsidRPr="00687B98">
        <w:rPr>
          <w:rFonts w:cs="Calibri"/>
        </w:rPr>
        <w:t>Inclusa was motivated to develop the model because they recognized that there were fundamental flaws in paying for Supported Employment based on hours of service. Within the previous fee-for-service model, they were not incentivizing providers to do effective job training, engagement of natural supports, and implementation of assistive technology that could together allow for the fading of the job coach. Inclusa also acknowledged that the Individual Supported Employment providers producing the best outcomes (high hour jobs; long-term employee stability; and maximum fading) were experiencing an ongoing reduction in funding from the MCO, while those providers who were producing the poorest outcomes did not experience this reduction in funding</w:t>
      </w:r>
      <w:r w:rsidR="006677B7">
        <w:rPr>
          <w:rFonts w:cs="Calibri"/>
        </w:rPr>
        <w:t xml:space="preserve">. </w:t>
      </w:r>
      <w:r w:rsidRPr="00687B98">
        <w:rPr>
          <w:rFonts w:cs="Calibri"/>
        </w:rPr>
        <w:t xml:space="preserve">One of the top-performing providers commented: </w:t>
      </w:r>
      <w:r w:rsidRPr="004A11C5">
        <w:rPr>
          <w:rFonts w:cs="Calibri"/>
          <w:i/>
          <w:iCs/>
        </w:rPr>
        <w:t>“We can’t keep doing this. We are putting ourselves out of business by doing a good job.”</w:t>
      </w:r>
      <w:r w:rsidR="0001180B">
        <w:rPr>
          <w:rFonts w:cs="Calibri"/>
        </w:rPr>
        <w:t xml:space="preserve"> </w:t>
      </w:r>
    </w:p>
    <w:p w14:paraId="19D31FC4" w14:textId="23533310" w:rsidR="00E0182B" w:rsidRDefault="00687B98" w:rsidP="00E0182B">
      <w:pPr>
        <w:spacing w:after="0"/>
      </w:pPr>
      <w:r w:rsidRPr="00687B98">
        <w:t xml:space="preserve">In addition, the authorizations based on hours of service caused problems when a supported employee unexpectedly needed some additional on-the-job supports. Providers reported consistent problems getting care managers and teams to respond in a timely manner and approve authorizations for temporary increases in supports. This led to some individuals losing their </w:t>
      </w:r>
      <w:r w:rsidR="00F655C6">
        <w:t>Supported Employment</w:t>
      </w:r>
      <w:r w:rsidRPr="00687B98">
        <w:t xml:space="preserve"> positions, whereas this could have been avoided under a different payment model.</w:t>
      </w:r>
    </w:p>
    <w:p w14:paraId="49DAAF93" w14:textId="77777777" w:rsidR="00EF4862" w:rsidRDefault="00EF4862" w:rsidP="00E0182B">
      <w:pPr>
        <w:spacing w:after="0"/>
      </w:pPr>
    </w:p>
    <w:tbl>
      <w:tblPr>
        <w:tblW w:w="7560" w:type="dxa"/>
        <w:jc w:val="center"/>
        <w:tblLayout w:type="fixed"/>
        <w:tblLook w:val="0420" w:firstRow="1" w:lastRow="0" w:firstColumn="0" w:lastColumn="0" w:noHBand="0" w:noVBand="1"/>
        <w:tblCaption w:val="Time on Job vs Level of Disability"/>
        <w:tblDescription w:val="Time on job vs level of disability using Tier1 - Tier4"/>
      </w:tblPr>
      <w:tblGrid>
        <w:gridCol w:w="1890"/>
        <w:gridCol w:w="1170"/>
        <w:gridCol w:w="1260"/>
        <w:gridCol w:w="1710"/>
        <w:gridCol w:w="1530"/>
      </w:tblGrid>
      <w:tr w:rsidR="005B3AA9" w:rsidRPr="00B05CDB" w14:paraId="2BDD3CC7" w14:textId="77777777" w:rsidTr="00C76F2C">
        <w:trPr>
          <w:trHeight w:hRule="exact" w:val="405"/>
          <w:tblHeader/>
          <w:jc w:val="center"/>
        </w:trPr>
        <w:tc>
          <w:tcPr>
            <w:tcW w:w="1890" w:type="dxa"/>
            <w:tcBorders>
              <w:top w:val="nil"/>
              <w:left w:val="nil"/>
              <w:bottom w:val="single" w:sz="2" w:space="0" w:color="D9D9D9" w:themeColor="background1" w:themeShade="D9"/>
              <w:right w:val="single" w:sz="2" w:space="0" w:color="D9D9D9" w:themeColor="background1" w:themeShade="D9"/>
            </w:tcBorders>
            <w:shd w:val="clear" w:color="auto" w:fill="403152" w:themeFill="accent4" w:themeFillShade="80"/>
            <w:hideMark/>
          </w:tcPr>
          <w:p w14:paraId="019319EB" w14:textId="365FC7D8" w:rsidR="00521385" w:rsidRPr="00D026FE" w:rsidRDefault="00521385" w:rsidP="00022B8D">
            <w:pPr>
              <w:spacing w:before="60" w:after="0" w:line="276" w:lineRule="auto"/>
              <w:ind w:left="346"/>
              <w:jc w:val="center"/>
              <w:rPr>
                <w:rFonts w:ascii="Optima" w:eastAsia="Times New Roman" w:hAnsi="Optima" w:cs="Calibri"/>
                <w:b/>
                <w:bCs/>
                <w:color w:val="FFFFFF" w:themeColor="background1"/>
                <w:sz w:val="19"/>
                <w:szCs w:val="19"/>
              </w:rPr>
            </w:pPr>
            <w:r>
              <w:br w:type="page"/>
            </w:r>
            <w:r w:rsidRPr="00D026FE">
              <w:rPr>
                <w:rFonts w:ascii="Optima" w:eastAsia="Times New Roman" w:hAnsi="Optima" w:cs="Calibri"/>
                <w:b/>
                <w:bCs/>
                <w:color w:val="FFFFFF" w:themeColor="background1"/>
                <w:sz w:val="19"/>
                <w:szCs w:val="19"/>
              </w:rPr>
              <w:t>Time on Job</w:t>
            </w:r>
          </w:p>
        </w:tc>
        <w:tc>
          <w:tcPr>
            <w:tcW w:w="1170" w:type="dxa"/>
            <w:tcBorders>
              <w:top w:val="nil"/>
              <w:left w:val="single" w:sz="2" w:space="0" w:color="D9D9D9" w:themeColor="background1" w:themeShade="D9"/>
              <w:right w:val="nil"/>
            </w:tcBorders>
            <w:shd w:val="clear" w:color="auto" w:fill="403152" w:themeFill="accent4" w:themeFillShade="80"/>
          </w:tcPr>
          <w:p w14:paraId="29C6BF64" w14:textId="2EEB63B6" w:rsidR="00521385" w:rsidRPr="00D026FE" w:rsidRDefault="00521385" w:rsidP="00022B8D">
            <w:pPr>
              <w:spacing w:before="60" w:after="0" w:line="276" w:lineRule="auto"/>
              <w:ind w:left="-379" w:right="-290"/>
              <w:jc w:val="center"/>
              <w:rPr>
                <w:noProof/>
                <w:color w:val="FFFFFF" w:themeColor="background1"/>
              </w:rPr>
            </w:pPr>
            <w:r w:rsidRPr="00D026FE">
              <w:rPr>
                <w:noProof/>
                <w:color w:val="FFFFFF" w:themeColor="background1"/>
              </w:rPr>
              <mc:AlternateContent>
                <mc:Choice Requires="wps">
                  <w:drawing>
                    <wp:inline distT="0" distB="0" distL="0" distR="0" wp14:anchorId="175CFD90" wp14:editId="4D9A7721">
                      <wp:extent cx="458699" cy="155003"/>
                      <wp:effectExtent l="12700" t="38100" r="11430" b="35560"/>
                      <wp:docPr id="20" name="Right Arrow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8699" cy="155003"/>
                              </a:xfrm>
                              <a:prstGeom prst="rightArrow">
                                <a:avLst/>
                              </a:prstGeom>
                              <a:solidFill>
                                <a:srgbClr val="FFFFFF"/>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37413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alt="&quot;&quot;" style="width:36.1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" adj="17950" strokecolor="black [3200]" strokeweight="1.5pt">
                      <w10:anchorlock/>
                    </v:shape>
                  </w:pict>
                </mc:Fallback>
              </mc:AlternateContent>
            </w:r>
          </w:p>
        </w:tc>
        <w:tc>
          <w:tcPr>
            <w:tcW w:w="1260" w:type="dxa"/>
            <w:tcBorders>
              <w:top w:val="nil"/>
              <w:left w:val="nil"/>
              <w:right w:val="nil"/>
            </w:tcBorders>
            <w:shd w:val="clear" w:color="auto" w:fill="403152" w:themeFill="accent4" w:themeFillShade="80"/>
            <w:hideMark/>
          </w:tcPr>
          <w:p w14:paraId="12315CF2" w14:textId="3EC3DCE3" w:rsidR="00521385" w:rsidRPr="00D026FE" w:rsidRDefault="00521385" w:rsidP="00022B8D">
            <w:pPr>
              <w:spacing w:before="60" w:after="0" w:line="276" w:lineRule="auto"/>
              <w:ind w:left="-198"/>
              <w:jc w:val="center"/>
              <w:rPr>
                <w:rFonts w:ascii="Optima" w:eastAsia="Times New Roman" w:hAnsi="Optima" w:cs="Calibri"/>
                <w:b/>
                <w:bCs/>
                <w:color w:val="FFFFFF" w:themeColor="background1"/>
                <w:sz w:val="19"/>
                <w:szCs w:val="19"/>
              </w:rPr>
            </w:pPr>
            <w:r w:rsidRPr="00D026FE">
              <w:rPr>
                <w:rFonts w:ascii="Optima" w:eastAsia="Times New Roman" w:hAnsi="Optima" w:cs="Calibri"/>
                <w:b/>
                <w:bCs/>
                <w:color w:val="FFFFFF" w:themeColor="background1"/>
                <w:sz w:val="19"/>
                <w:szCs w:val="19"/>
              </w:rPr>
              <w:t>0</w:t>
            </w:r>
            <w:r>
              <w:rPr>
                <w:rFonts w:ascii="Optima" w:eastAsia="Times New Roman" w:hAnsi="Optima" w:cs="Calibri"/>
                <w:b/>
                <w:bCs/>
                <w:color w:val="FFFFFF" w:themeColor="background1"/>
                <w:sz w:val="19"/>
                <w:szCs w:val="19"/>
              </w:rPr>
              <w:t>-</w:t>
            </w:r>
            <w:r w:rsidRPr="00D026FE">
              <w:rPr>
                <w:rFonts w:ascii="Optima" w:eastAsia="Times New Roman" w:hAnsi="Optima" w:cs="Calibri"/>
                <w:b/>
                <w:bCs/>
                <w:color w:val="FFFFFF" w:themeColor="background1"/>
                <w:sz w:val="19"/>
                <w:szCs w:val="19"/>
              </w:rPr>
              <w:t>11 Months</w:t>
            </w:r>
          </w:p>
        </w:tc>
        <w:tc>
          <w:tcPr>
            <w:tcW w:w="1710" w:type="dxa"/>
            <w:tcBorders>
              <w:top w:val="nil"/>
              <w:left w:val="nil"/>
              <w:right w:val="nil"/>
            </w:tcBorders>
            <w:shd w:val="clear" w:color="auto" w:fill="403152" w:themeFill="accent4" w:themeFillShade="80"/>
            <w:hideMark/>
          </w:tcPr>
          <w:p w14:paraId="1CA2F972" w14:textId="14A9E27C" w:rsidR="00521385" w:rsidRPr="00D026FE" w:rsidRDefault="00521385" w:rsidP="00022B8D">
            <w:pPr>
              <w:spacing w:before="60" w:after="0" w:line="276" w:lineRule="auto"/>
              <w:jc w:val="center"/>
              <w:rPr>
                <w:rFonts w:ascii="Optima" w:eastAsia="Times New Roman" w:hAnsi="Optima" w:cs="Calibri"/>
                <w:b/>
                <w:bCs/>
                <w:color w:val="FFFFFF" w:themeColor="background1"/>
                <w:sz w:val="19"/>
                <w:szCs w:val="19"/>
              </w:rPr>
            </w:pPr>
            <w:r w:rsidRPr="00D026FE">
              <w:rPr>
                <w:rFonts w:ascii="Optima" w:eastAsia="Times New Roman" w:hAnsi="Optima" w:cs="Calibri"/>
                <w:b/>
                <w:bCs/>
                <w:color w:val="FFFFFF" w:themeColor="background1"/>
                <w:sz w:val="19"/>
                <w:szCs w:val="19"/>
              </w:rPr>
              <w:t>12-24 Months</w:t>
            </w:r>
          </w:p>
        </w:tc>
        <w:tc>
          <w:tcPr>
            <w:tcW w:w="1530" w:type="dxa"/>
            <w:tcBorders>
              <w:top w:val="nil"/>
              <w:left w:val="nil"/>
              <w:right w:val="nil"/>
            </w:tcBorders>
            <w:shd w:val="clear" w:color="auto" w:fill="403152" w:themeFill="accent4" w:themeFillShade="80"/>
            <w:hideMark/>
          </w:tcPr>
          <w:p w14:paraId="75D94948" w14:textId="1296EAEE" w:rsidR="00521385" w:rsidRPr="00D026FE" w:rsidRDefault="00521385" w:rsidP="00022B8D">
            <w:pPr>
              <w:spacing w:before="60" w:after="0" w:line="276" w:lineRule="auto"/>
              <w:jc w:val="center"/>
              <w:rPr>
                <w:rFonts w:ascii="Optima" w:eastAsia="Times New Roman" w:hAnsi="Optima" w:cs="Calibri"/>
                <w:b/>
                <w:bCs/>
                <w:color w:val="FFFFFF" w:themeColor="background1"/>
                <w:sz w:val="19"/>
                <w:szCs w:val="19"/>
              </w:rPr>
            </w:pPr>
            <w:r w:rsidRPr="00D026FE">
              <w:rPr>
                <w:rFonts w:ascii="Optima" w:eastAsia="Times New Roman" w:hAnsi="Optima" w:cs="Calibri"/>
                <w:b/>
                <w:bCs/>
                <w:color w:val="FFFFFF" w:themeColor="background1"/>
                <w:sz w:val="19"/>
                <w:szCs w:val="19"/>
              </w:rPr>
              <w:t>25+ Months</w:t>
            </w:r>
          </w:p>
        </w:tc>
      </w:tr>
      <w:tr w:rsidR="005B3AA9" w:rsidRPr="00B05CDB" w14:paraId="2F9E03C0" w14:textId="77777777" w:rsidTr="00C76F2C">
        <w:trPr>
          <w:trHeight w:val="373"/>
          <w:tblHeader/>
          <w:jc w:val="center"/>
        </w:trPr>
        <w:tc>
          <w:tcPr>
            <w:tcW w:w="1890" w:type="dxa"/>
            <w:tcBorders>
              <w:top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215868" w:themeFill="accent5" w:themeFillShade="80"/>
            <w:vAlign w:val="center"/>
            <w:hideMark/>
          </w:tcPr>
          <w:p w14:paraId="61716E3D" w14:textId="19DF0C86" w:rsidR="00521385" w:rsidRPr="00D60934" w:rsidRDefault="00521385" w:rsidP="00022B8D">
            <w:pPr>
              <w:spacing w:before="40" w:after="40" w:line="240" w:lineRule="auto"/>
              <w:ind w:left="76" w:right="71"/>
              <w:rPr>
                <w:rFonts w:ascii="Optima" w:eastAsia="Times New Roman" w:hAnsi="Optima" w:cs="Calibri"/>
                <w:b/>
                <w:bCs/>
                <w:color w:val="FFC000"/>
                <w:sz w:val="19"/>
                <w:szCs w:val="19"/>
              </w:rPr>
            </w:pPr>
            <w:r w:rsidRPr="00751054">
              <w:rPr>
                <w:rFonts w:ascii="Optima" w:eastAsia="Times New Roman" w:hAnsi="Optima" w:cs="Calibri"/>
                <w:b/>
                <w:bCs/>
                <w:color w:val="FFFFFF" w:themeColor="background1"/>
                <w:sz w:val="19"/>
                <w:szCs w:val="19"/>
              </w:rPr>
              <w:t>Level of Disability</w:t>
            </w:r>
          </w:p>
        </w:tc>
        <w:tc>
          <w:tcPr>
            <w:tcW w:w="1170" w:type="dxa"/>
            <w:tcBorders>
              <w:left w:val="single" w:sz="2" w:space="0" w:color="D9D9D9" w:themeColor="background1" w:themeShade="D9"/>
              <w:bottom w:val="single" w:sz="4" w:space="0" w:color="D9D9D9" w:themeColor="background1" w:themeShade="D9"/>
              <w:right w:val="nil"/>
            </w:tcBorders>
            <w:vAlign w:val="center"/>
          </w:tcPr>
          <w:p w14:paraId="28734A8C" w14:textId="77777777" w:rsidR="00521385" w:rsidRPr="00B05CDB" w:rsidRDefault="00521385" w:rsidP="00022B8D">
            <w:pPr>
              <w:spacing w:before="40" w:after="40" w:line="240" w:lineRule="auto"/>
              <w:rPr>
                <w:rFonts w:ascii="Optima" w:eastAsia="Times New Roman" w:hAnsi="Optima" w:cs="Calibri"/>
                <w:b/>
                <w:bCs/>
                <w:color w:val="FFFFFF"/>
                <w:sz w:val="19"/>
                <w:szCs w:val="19"/>
              </w:rPr>
            </w:pPr>
          </w:p>
        </w:tc>
        <w:tc>
          <w:tcPr>
            <w:tcW w:w="1260" w:type="dxa"/>
            <w:tcBorders>
              <w:left w:val="nil"/>
              <w:bottom w:val="single" w:sz="4" w:space="0" w:color="D9D9D9" w:themeColor="background1" w:themeShade="D9"/>
              <w:right w:val="nil"/>
            </w:tcBorders>
            <w:shd w:val="clear" w:color="auto" w:fill="auto"/>
            <w:vAlign w:val="center"/>
            <w:hideMark/>
          </w:tcPr>
          <w:p w14:paraId="579F1318" w14:textId="2AA21E5B" w:rsidR="00521385" w:rsidRPr="00B05CDB" w:rsidRDefault="00521385" w:rsidP="00022B8D">
            <w:pPr>
              <w:spacing w:before="40" w:after="40" w:line="240" w:lineRule="auto"/>
              <w:rPr>
                <w:rFonts w:ascii="Optima" w:eastAsia="Times New Roman" w:hAnsi="Optima" w:cs="Calibri"/>
                <w:b/>
                <w:bCs/>
                <w:color w:val="FFFFFF"/>
                <w:sz w:val="19"/>
                <w:szCs w:val="19"/>
              </w:rPr>
            </w:pPr>
          </w:p>
        </w:tc>
        <w:tc>
          <w:tcPr>
            <w:tcW w:w="1710" w:type="dxa"/>
            <w:tcBorders>
              <w:left w:val="nil"/>
              <w:bottom w:val="single" w:sz="4" w:space="0" w:color="D9D9D9" w:themeColor="background1" w:themeShade="D9"/>
              <w:right w:val="nil"/>
            </w:tcBorders>
            <w:shd w:val="clear" w:color="auto" w:fill="auto"/>
            <w:vAlign w:val="center"/>
            <w:hideMark/>
          </w:tcPr>
          <w:p w14:paraId="0CAC6001" w14:textId="77777777" w:rsidR="00521385" w:rsidRPr="00B05CDB" w:rsidRDefault="00521385" w:rsidP="00022B8D">
            <w:pPr>
              <w:spacing w:before="40" w:after="40" w:line="240" w:lineRule="auto"/>
              <w:rPr>
                <w:rFonts w:ascii="Optima" w:eastAsia="Times New Roman" w:hAnsi="Optima" w:cs="Calibri"/>
                <w:b/>
                <w:bCs/>
                <w:color w:val="FFFFFF"/>
                <w:sz w:val="19"/>
                <w:szCs w:val="19"/>
              </w:rPr>
            </w:pPr>
          </w:p>
        </w:tc>
        <w:tc>
          <w:tcPr>
            <w:tcW w:w="1530" w:type="dxa"/>
            <w:tcBorders>
              <w:left w:val="nil"/>
              <w:bottom w:val="single" w:sz="4" w:space="0" w:color="D9D9D9" w:themeColor="background1" w:themeShade="D9"/>
              <w:right w:val="nil"/>
            </w:tcBorders>
            <w:shd w:val="clear" w:color="auto" w:fill="auto"/>
            <w:vAlign w:val="center"/>
            <w:hideMark/>
          </w:tcPr>
          <w:p w14:paraId="4BEBC980" w14:textId="77777777" w:rsidR="00521385" w:rsidRPr="00B05CDB" w:rsidRDefault="00521385" w:rsidP="00022B8D">
            <w:pPr>
              <w:spacing w:before="40" w:after="40" w:line="240" w:lineRule="auto"/>
              <w:rPr>
                <w:rFonts w:ascii="Optima" w:eastAsia="Times New Roman" w:hAnsi="Optima" w:cs="Calibri"/>
                <w:b/>
                <w:bCs/>
                <w:color w:val="FFFFFF"/>
                <w:sz w:val="19"/>
                <w:szCs w:val="19"/>
              </w:rPr>
            </w:pPr>
          </w:p>
        </w:tc>
      </w:tr>
      <w:tr w:rsidR="005B3AA9" w:rsidRPr="00B05CDB" w14:paraId="797ABE85" w14:textId="77777777" w:rsidTr="00C76F2C">
        <w:trPr>
          <w:trHeight w:val="233"/>
          <w:tblHeader/>
          <w:jc w:val="center"/>
        </w:trPr>
        <w:tc>
          <w:tcPr>
            <w:tcW w:w="1890" w:type="dxa"/>
            <w:tcBorders>
              <w:top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AEEF3" w:themeFill="accent5" w:themeFillTint="33"/>
            <w:hideMark/>
          </w:tcPr>
          <w:p w14:paraId="5C02A4D4" w14:textId="1CF01D44" w:rsidR="00521385" w:rsidRPr="000C744C" w:rsidRDefault="00521385" w:rsidP="003B3D48">
            <w:pPr>
              <w:spacing w:before="60" w:after="60" w:line="240" w:lineRule="auto"/>
              <w:ind w:left="328" w:right="529"/>
              <w:jc w:val="center"/>
              <w:rPr>
                <w:rFonts w:ascii="Optima" w:eastAsia="Times New Roman" w:hAnsi="Optima" w:cs="Calibri"/>
                <w:b/>
                <w:bCs/>
                <w:color w:val="000000" w:themeColor="text1"/>
                <w:sz w:val="19"/>
                <w:szCs w:val="19"/>
              </w:rPr>
            </w:pPr>
            <w:r w:rsidRPr="000C744C">
              <w:rPr>
                <w:b/>
                <w:bCs/>
                <w:noProof/>
                <w:color w:val="000000" w:themeColor="text1"/>
              </w:rPr>
              <mc:AlternateContent>
                <mc:Choice Requires="wps">
                  <w:drawing>
                    <wp:anchor distT="0" distB="0" distL="114300" distR="114300" simplePos="0" relativeHeight="251685901" behindDoc="0" locked="0" layoutInCell="1" allowOverlap="1" wp14:anchorId="69C37B08" wp14:editId="39D914B1">
                      <wp:simplePos x="0" y="0"/>
                      <wp:positionH relativeFrom="column">
                        <wp:posOffset>69215</wp:posOffset>
                      </wp:positionH>
                      <wp:positionV relativeFrom="paragraph">
                        <wp:posOffset>61595</wp:posOffset>
                      </wp:positionV>
                      <wp:extent cx="124460" cy="822960"/>
                      <wp:effectExtent l="38100" t="12700" r="15240" b="27940"/>
                      <wp:wrapNone/>
                      <wp:docPr id="23" name="Down Arrow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460" cy="822960"/>
                              </a:xfrm>
                              <a:prstGeom prst="downArrow">
                                <a:avLst/>
                              </a:prstGeom>
                              <a:solidFill>
                                <a:srgbClr val="FFFFFF"/>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0EE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alt="&quot;&quot;" style="position:absolute;margin-left:5.45pt;margin-top:4.85pt;width:9.8pt;height:64.8pt;z-index:251685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" adj="19967" strokecolor="black [3200]" strokeweight="1.5pt"/>
                  </w:pict>
                </mc:Fallback>
              </mc:AlternateContent>
            </w:r>
            <w:r w:rsidRPr="000C744C">
              <w:rPr>
                <w:rFonts w:ascii="Optima" w:eastAsia="Times New Roman" w:hAnsi="Optima" w:cs="Calibri"/>
                <w:b/>
                <w:bCs/>
                <w:color w:val="000000" w:themeColor="text1"/>
                <w:sz w:val="19"/>
                <w:szCs w:val="19"/>
              </w:rPr>
              <w:t>Tier 1</w:t>
            </w:r>
          </w:p>
        </w:tc>
        <w:tc>
          <w:tcPr>
            <w:tcW w:w="1170" w:type="dxa"/>
            <w:tcBorders>
              <w:top w:val="single" w:sz="4" w:space="0" w:color="D9D9D9" w:themeColor="background1" w:themeShade="D9"/>
              <w:left w:val="single" w:sz="2" w:space="0" w:color="D9D9D9" w:themeColor="background1" w:themeShade="D9"/>
              <w:bottom w:val="single" w:sz="4" w:space="0" w:color="D9D9D9" w:themeColor="background1" w:themeShade="D9"/>
              <w:right w:val="nil"/>
            </w:tcBorders>
            <w:shd w:val="clear" w:color="auto" w:fill="DAEEF3" w:themeFill="accent5" w:themeFillTint="33"/>
          </w:tcPr>
          <w:p w14:paraId="08E12B8D" w14:textId="77777777" w:rsidR="00521385" w:rsidRPr="00B05CDB" w:rsidRDefault="00521385" w:rsidP="007202B3">
            <w:pPr>
              <w:spacing w:before="60" w:after="60" w:line="240" w:lineRule="auto"/>
              <w:jc w:val="center"/>
              <w:rPr>
                <w:rFonts w:ascii="Optima" w:eastAsia="Times New Roman" w:hAnsi="Optima" w:cs="Calibri"/>
                <w:color w:val="262626"/>
                <w:sz w:val="19"/>
                <w:szCs w:val="19"/>
              </w:rPr>
            </w:pPr>
          </w:p>
        </w:tc>
        <w:tc>
          <w:tcPr>
            <w:tcW w:w="126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6C7A4F2D" w14:textId="61620831"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71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2B3C5C59"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53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45AF847E"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r>
      <w:tr w:rsidR="005B3AA9" w:rsidRPr="00B05CDB" w14:paraId="5FAE91D3" w14:textId="77777777" w:rsidTr="00C76F2C">
        <w:trPr>
          <w:trHeight w:val="374"/>
          <w:tblHeader/>
          <w:jc w:val="center"/>
        </w:trPr>
        <w:tc>
          <w:tcPr>
            <w:tcW w:w="1890" w:type="dxa"/>
            <w:tcBorders>
              <w:top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hideMark/>
          </w:tcPr>
          <w:p w14:paraId="74EBF1F8" w14:textId="741603EA" w:rsidR="00521385" w:rsidRPr="000C744C" w:rsidRDefault="00521385" w:rsidP="003B3D48">
            <w:pPr>
              <w:spacing w:before="60" w:after="60" w:line="240" w:lineRule="auto"/>
              <w:ind w:left="328" w:right="529"/>
              <w:jc w:val="center"/>
              <w:rPr>
                <w:rFonts w:ascii="Optima" w:eastAsia="Times New Roman" w:hAnsi="Optima" w:cs="Calibri"/>
                <w:b/>
                <w:bCs/>
                <w:color w:val="000000" w:themeColor="text1"/>
                <w:sz w:val="19"/>
                <w:szCs w:val="19"/>
              </w:rPr>
            </w:pPr>
            <w:r w:rsidRPr="000C744C">
              <w:rPr>
                <w:rFonts w:ascii="Optima" w:eastAsia="Times New Roman" w:hAnsi="Optima" w:cs="Calibri"/>
                <w:b/>
                <w:bCs/>
                <w:color w:val="000000" w:themeColor="text1"/>
                <w:sz w:val="19"/>
                <w:szCs w:val="19"/>
              </w:rPr>
              <w:t>Tier 2</w:t>
            </w:r>
          </w:p>
        </w:tc>
        <w:tc>
          <w:tcPr>
            <w:tcW w:w="1170" w:type="dxa"/>
            <w:tcBorders>
              <w:top w:val="single" w:sz="4" w:space="0" w:color="D9D9D9" w:themeColor="background1" w:themeShade="D9"/>
              <w:left w:val="single" w:sz="2" w:space="0" w:color="D9D9D9" w:themeColor="background1" w:themeShade="D9"/>
              <w:bottom w:val="single" w:sz="4" w:space="0" w:color="D9D9D9" w:themeColor="background1" w:themeShade="D9"/>
              <w:right w:val="nil"/>
            </w:tcBorders>
          </w:tcPr>
          <w:p w14:paraId="08144AC8"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26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1AAEA876" w14:textId="4505BC44"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71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98189F7"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53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9968D11"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r>
      <w:tr w:rsidR="005B3AA9" w:rsidRPr="00B05CDB" w14:paraId="01361C2E" w14:textId="77777777" w:rsidTr="00C76F2C">
        <w:trPr>
          <w:trHeight w:val="278"/>
          <w:tblHeader/>
          <w:jc w:val="center"/>
        </w:trPr>
        <w:tc>
          <w:tcPr>
            <w:tcW w:w="1890" w:type="dxa"/>
            <w:tcBorders>
              <w:top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AEEF3" w:themeFill="accent5" w:themeFillTint="33"/>
            <w:hideMark/>
          </w:tcPr>
          <w:p w14:paraId="471D44E3" w14:textId="77777777" w:rsidR="00521385" w:rsidRPr="000C744C" w:rsidRDefault="00521385" w:rsidP="003B3D48">
            <w:pPr>
              <w:spacing w:before="60" w:after="60" w:line="240" w:lineRule="auto"/>
              <w:ind w:left="328" w:right="529"/>
              <w:jc w:val="center"/>
              <w:rPr>
                <w:rFonts w:ascii="Optima" w:eastAsia="Times New Roman" w:hAnsi="Optima" w:cs="Calibri"/>
                <w:b/>
                <w:bCs/>
                <w:color w:val="000000" w:themeColor="text1"/>
                <w:sz w:val="19"/>
                <w:szCs w:val="19"/>
              </w:rPr>
            </w:pPr>
            <w:r w:rsidRPr="000C744C">
              <w:rPr>
                <w:rFonts w:ascii="Optima" w:eastAsia="Times New Roman" w:hAnsi="Optima" w:cs="Calibri"/>
                <w:b/>
                <w:bCs/>
                <w:color w:val="000000" w:themeColor="text1"/>
                <w:sz w:val="19"/>
                <w:szCs w:val="19"/>
              </w:rPr>
              <w:t>Tier 3</w:t>
            </w:r>
          </w:p>
        </w:tc>
        <w:tc>
          <w:tcPr>
            <w:tcW w:w="1170" w:type="dxa"/>
            <w:tcBorders>
              <w:top w:val="single" w:sz="4" w:space="0" w:color="D9D9D9" w:themeColor="background1" w:themeShade="D9"/>
              <w:left w:val="single" w:sz="2" w:space="0" w:color="D9D9D9" w:themeColor="background1" w:themeShade="D9"/>
              <w:bottom w:val="single" w:sz="4" w:space="0" w:color="D9D9D9" w:themeColor="background1" w:themeShade="D9"/>
              <w:right w:val="nil"/>
            </w:tcBorders>
            <w:shd w:val="clear" w:color="auto" w:fill="DAEEF3" w:themeFill="accent5" w:themeFillTint="33"/>
          </w:tcPr>
          <w:p w14:paraId="75FCCE3E"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26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48E88E42" w14:textId="34F3547B"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71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1CA652FE"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53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33CAAC05"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r>
      <w:tr w:rsidR="005B3AA9" w:rsidRPr="00B05CDB" w14:paraId="4E7E9CA6" w14:textId="77777777" w:rsidTr="00C76F2C">
        <w:trPr>
          <w:trHeight w:val="374"/>
          <w:tblHeader/>
          <w:jc w:val="center"/>
        </w:trPr>
        <w:tc>
          <w:tcPr>
            <w:tcW w:w="1890" w:type="dxa"/>
            <w:tcBorders>
              <w:top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hideMark/>
          </w:tcPr>
          <w:p w14:paraId="13E3B474" w14:textId="77777777" w:rsidR="00521385" w:rsidRPr="000C744C" w:rsidRDefault="00521385" w:rsidP="003B3D48">
            <w:pPr>
              <w:spacing w:before="60" w:after="60" w:line="240" w:lineRule="auto"/>
              <w:ind w:left="328" w:right="529"/>
              <w:jc w:val="center"/>
              <w:rPr>
                <w:rFonts w:ascii="Optima" w:eastAsia="Times New Roman" w:hAnsi="Optima" w:cs="Calibri"/>
                <w:b/>
                <w:bCs/>
                <w:color w:val="000000" w:themeColor="text1"/>
                <w:sz w:val="19"/>
                <w:szCs w:val="19"/>
              </w:rPr>
            </w:pPr>
            <w:r w:rsidRPr="000C744C">
              <w:rPr>
                <w:rFonts w:ascii="Optima" w:eastAsia="Times New Roman" w:hAnsi="Optima" w:cs="Calibri"/>
                <w:b/>
                <w:bCs/>
                <w:color w:val="000000" w:themeColor="text1"/>
                <w:sz w:val="19"/>
                <w:szCs w:val="19"/>
              </w:rPr>
              <w:t>Tier 4</w:t>
            </w:r>
          </w:p>
        </w:tc>
        <w:tc>
          <w:tcPr>
            <w:tcW w:w="1170" w:type="dxa"/>
            <w:tcBorders>
              <w:top w:val="single" w:sz="4" w:space="0" w:color="D9D9D9" w:themeColor="background1" w:themeShade="D9"/>
              <w:left w:val="single" w:sz="2" w:space="0" w:color="D9D9D9" w:themeColor="background1" w:themeShade="D9"/>
              <w:bottom w:val="single" w:sz="2" w:space="0" w:color="D9D9D9" w:themeColor="background1" w:themeShade="D9"/>
              <w:right w:val="nil"/>
            </w:tcBorders>
          </w:tcPr>
          <w:p w14:paraId="147DD559"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260" w:type="dxa"/>
            <w:tcBorders>
              <w:top w:val="single" w:sz="4" w:space="0" w:color="D9D9D9" w:themeColor="background1" w:themeShade="D9"/>
              <w:left w:val="nil"/>
              <w:bottom w:val="single" w:sz="2" w:space="0" w:color="D9D9D9" w:themeColor="background1" w:themeShade="D9"/>
              <w:right w:val="nil"/>
            </w:tcBorders>
            <w:shd w:val="clear" w:color="auto" w:fill="auto"/>
            <w:hideMark/>
          </w:tcPr>
          <w:p w14:paraId="218E9245" w14:textId="4A35FED4"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710" w:type="dxa"/>
            <w:tcBorders>
              <w:top w:val="single" w:sz="4" w:space="0" w:color="D9D9D9" w:themeColor="background1" w:themeShade="D9"/>
              <w:left w:val="nil"/>
              <w:bottom w:val="single" w:sz="2" w:space="0" w:color="D9D9D9" w:themeColor="background1" w:themeShade="D9"/>
              <w:right w:val="nil"/>
            </w:tcBorders>
            <w:shd w:val="clear" w:color="auto" w:fill="auto"/>
            <w:hideMark/>
          </w:tcPr>
          <w:p w14:paraId="758E3505"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c>
          <w:tcPr>
            <w:tcW w:w="1530" w:type="dxa"/>
            <w:tcBorders>
              <w:top w:val="single" w:sz="4" w:space="0" w:color="D9D9D9" w:themeColor="background1" w:themeShade="D9"/>
              <w:left w:val="nil"/>
              <w:bottom w:val="single" w:sz="2" w:space="0" w:color="D9D9D9" w:themeColor="background1" w:themeShade="D9"/>
              <w:right w:val="nil"/>
            </w:tcBorders>
            <w:shd w:val="clear" w:color="auto" w:fill="auto"/>
            <w:hideMark/>
          </w:tcPr>
          <w:p w14:paraId="6B95021A" w14:textId="77777777" w:rsidR="00521385" w:rsidRPr="00B05CDB" w:rsidRDefault="00521385" w:rsidP="008260AA">
            <w:pPr>
              <w:spacing w:before="60" w:after="60" w:line="240" w:lineRule="auto"/>
              <w:jc w:val="center"/>
              <w:rPr>
                <w:rFonts w:ascii="Optima" w:eastAsia="Times New Roman" w:hAnsi="Optima" w:cs="Calibri"/>
                <w:color w:val="262626"/>
                <w:sz w:val="19"/>
                <w:szCs w:val="19"/>
              </w:rPr>
            </w:pPr>
          </w:p>
        </w:tc>
      </w:tr>
    </w:tbl>
    <w:p w14:paraId="6A4C7A39" w14:textId="77777777" w:rsidR="001534FC" w:rsidRDefault="001534FC" w:rsidP="00BD402C">
      <w:pPr>
        <w:pStyle w:val="NoSpacing"/>
      </w:pPr>
    </w:p>
    <w:p w14:paraId="12F9C875" w14:textId="77777777" w:rsidR="004D4C63" w:rsidRPr="00DA2A97" w:rsidRDefault="004D4C63" w:rsidP="00B11115">
      <w:pPr>
        <w:pStyle w:val="Heading3"/>
      </w:pPr>
      <w:bookmarkStart w:id="41" w:name="_Toc70944189"/>
      <w:r w:rsidRPr="00A049B4">
        <w:t>Development of a Model to Ensure Fairness and Pay for the Best Possible Outcomes</w:t>
      </w:r>
      <w:bookmarkEnd w:id="41"/>
      <w:r w:rsidRPr="00DA2A97">
        <w:t xml:space="preserve"> </w:t>
      </w:r>
    </w:p>
    <w:p w14:paraId="138BEBA0" w14:textId="77777777" w:rsidR="004D4C63" w:rsidRDefault="004D4C63" w:rsidP="007C0027">
      <w:pPr>
        <w:spacing w:after="0"/>
      </w:pPr>
      <w:r w:rsidRPr="00043C33">
        <w:t>In reviewing and considering the Oklahoma model, the stakeholder group concluded that a core of the approach</w:t>
      </w:r>
      <w:r w:rsidR="007C0027">
        <w:t>—</w:t>
      </w:r>
      <w:r w:rsidRPr="00043C33">
        <w:t>paying based on hours worked</w:t>
      </w:r>
      <w:r w:rsidR="007C0027">
        <w:t>—</w:t>
      </w:r>
      <w:r w:rsidRPr="00043C33">
        <w:t>had great merit. At the time, a national expert on rates in managed long-term care reviewed the basic premise of the approach and concluded:</w:t>
      </w:r>
    </w:p>
    <w:p w14:paraId="79DB18A9" w14:textId="77777777" w:rsidR="00695DB8" w:rsidRPr="00043C33" w:rsidRDefault="00695DB8" w:rsidP="002476FD">
      <w:pPr>
        <w:pStyle w:val="NoSpacing"/>
      </w:pPr>
    </w:p>
    <w:p w14:paraId="654E0CCB" w14:textId="77777777" w:rsidR="004D4C63" w:rsidRPr="00603D1C" w:rsidRDefault="004D4C63" w:rsidP="00603D1C">
      <w:pPr>
        <w:spacing w:before="60" w:after="60" w:line="264" w:lineRule="auto"/>
        <w:ind w:left="720" w:right="720"/>
        <w:rPr>
          <w:rStyle w:val="Emphasis"/>
          <w:rFonts w:asciiTheme="majorHAnsi" w:hAnsiTheme="majorHAnsi"/>
          <w:color w:val="002060"/>
          <w:sz w:val="21"/>
          <w:szCs w:val="21"/>
        </w:rPr>
      </w:pPr>
      <w:r w:rsidRPr="00603D1C">
        <w:rPr>
          <w:rStyle w:val="Emphasis"/>
          <w:rFonts w:asciiTheme="majorHAnsi" w:hAnsiTheme="majorHAnsi"/>
          <w:color w:val="002060"/>
          <w:sz w:val="21"/>
          <w:szCs w:val="21"/>
        </w:rPr>
        <w:t>“What is a key difference in the system being considered by Wisconsin is that part of the compensation, the billable unit, is shifted to a measure of the time the service consumer spends on the job, being measured in hours. The benefits of this approach are significant. If the outcome desired is time spent in a paid working hour, setting that hour as the basis for compensation for efforts to achieve this outcome is ideal.”</w:t>
      </w:r>
    </w:p>
    <w:p w14:paraId="7E4DBC42" w14:textId="77777777" w:rsidR="008E5C2A" w:rsidRPr="007C0027" w:rsidRDefault="004D4C63" w:rsidP="00603D1C">
      <w:pPr>
        <w:spacing w:before="60" w:after="0" w:line="264" w:lineRule="auto"/>
        <w:ind w:left="720" w:right="634"/>
        <w:rPr>
          <w:rStyle w:val="Emphasis"/>
          <w:color w:val="002060"/>
        </w:rPr>
      </w:pPr>
      <w:r w:rsidRPr="007C0027">
        <w:rPr>
          <w:rStyle w:val="Emphasis"/>
          <w:color w:val="002060"/>
        </w:rPr>
        <w:tab/>
      </w:r>
      <w:r w:rsidRPr="007C0027">
        <w:rPr>
          <w:rStyle w:val="Emphasis"/>
          <w:color w:val="002060"/>
        </w:rPr>
        <w:tab/>
      </w:r>
      <w:r w:rsidRPr="007C0027">
        <w:rPr>
          <w:rStyle w:val="Emphasis"/>
          <w:color w:val="002060"/>
        </w:rPr>
        <w:tab/>
      </w:r>
      <w:r w:rsidRPr="007C0027">
        <w:rPr>
          <w:rStyle w:val="Emphasis"/>
          <w:color w:val="002060"/>
        </w:rPr>
        <w:tab/>
      </w:r>
      <w:r w:rsidRPr="007C0027">
        <w:rPr>
          <w:rStyle w:val="Emphasis"/>
          <w:color w:val="002060"/>
        </w:rPr>
        <w:tab/>
      </w:r>
      <w:r w:rsidRPr="007C0027">
        <w:rPr>
          <w:rStyle w:val="Emphasis"/>
          <w:color w:val="002060"/>
        </w:rPr>
        <w:tab/>
      </w:r>
      <w:r w:rsidR="00B06BA5" w:rsidRPr="007C0027">
        <w:rPr>
          <w:rStyle w:val="Emphasis"/>
          <w:color w:val="002060"/>
        </w:rPr>
        <w:tab/>
      </w:r>
      <w:r w:rsidRPr="00603D1C">
        <w:rPr>
          <w:rStyle w:val="Emphasis"/>
          <w:rFonts w:asciiTheme="majorHAnsi" w:hAnsiTheme="majorHAnsi"/>
          <w:color w:val="002060"/>
          <w:sz w:val="21"/>
          <w:szCs w:val="21"/>
        </w:rPr>
        <w:t>-</w:t>
      </w:r>
      <w:r w:rsidR="00B06BA5" w:rsidRPr="00603D1C">
        <w:rPr>
          <w:rStyle w:val="Emphasis"/>
          <w:rFonts w:asciiTheme="majorHAnsi" w:hAnsiTheme="majorHAnsi"/>
          <w:color w:val="002060"/>
          <w:sz w:val="21"/>
          <w:szCs w:val="21"/>
        </w:rPr>
        <w:t xml:space="preserve"> </w:t>
      </w:r>
      <w:r w:rsidRPr="00603D1C">
        <w:rPr>
          <w:rStyle w:val="Emphasis"/>
          <w:rFonts w:asciiTheme="majorHAnsi" w:hAnsiTheme="majorHAnsi"/>
          <w:color w:val="002060"/>
          <w:sz w:val="21"/>
          <w:szCs w:val="21"/>
        </w:rPr>
        <w:t>John Villegas-Grubbs</w:t>
      </w:r>
      <w:r w:rsidRPr="007C0027">
        <w:rPr>
          <w:rStyle w:val="Emphasis"/>
          <w:color w:val="002060"/>
          <w:vertAlign w:val="superscript"/>
        </w:rPr>
        <w:footnoteReference w:id="24"/>
      </w:r>
    </w:p>
    <w:p w14:paraId="6EC2F71F" w14:textId="77777777" w:rsidR="00B129AF" w:rsidRDefault="00B129AF" w:rsidP="00022B8D">
      <w:pPr>
        <w:pStyle w:val="NoSpacing"/>
      </w:pPr>
    </w:p>
    <w:p w14:paraId="073C1B21" w14:textId="08A9A245" w:rsidR="00E9224D" w:rsidRPr="00E9224D" w:rsidRDefault="00E9224D" w:rsidP="00E0182B">
      <w:pPr>
        <w:spacing w:before="0"/>
      </w:pPr>
      <w:r w:rsidRPr="00E9224D">
        <w:t>However, Inclusa’s collaborative workgroup wanted to improve upon the Oklahoma model, concluding that a model should be created which could account for the level of disability of each individual being supported so there would be no disincentive to serve individuals with more significant support needs and barriers. They also agreed that the model would better ensure cost-effectiveness and encourage providers to bring new people into Supported Employment if the outcome-based rates could also reflect the length of time each person has been on their job.</w:t>
      </w:r>
    </w:p>
    <w:p w14:paraId="27E96AE0" w14:textId="77777777" w:rsidR="005812F1" w:rsidRDefault="00E9224D" w:rsidP="00B1367E">
      <w:r w:rsidRPr="00E9224D">
        <w:t>In order to develop a model with this level of sophistication, there was a need to establish anticipated support levels for people with varying levels of disability and at various points in the life of their job. Support levels were defined as the percentage of time an individual worked where provider support (either face to face or on behalf of the individual) was needed to ensure the individual maintained his/her employment</w:t>
      </w:r>
      <w:r w:rsidR="006677B7">
        <w:t xml:space="preserve">. </w:t>
      </w:r>
    </w:p>
    <w:p w14:paraId="40B5DB75" w14:textId="77777777" w:rsidR="004D4C63" w:rsidRPr="00707F15" w:rsidRDefault="00E9224D" w:rsidP="00B1367E">
      <w:r w:rsidRPr="00E9224D">
        <w:t>A matrix was created that established four tiers of disability and three phases of employment. Tier 1 represents individuals with the most significant disabilities and support needs</w:t>
      </w:r>
      <w:r w:rsidR="00BE29E2">
        <w:t>,</w:t>
      </w:r>
      <w:r w:rsidRPr="00E9224D">
        <w:t xml:space="preserve"> while Tier 4 represents individuals with the least significant disabilities and support needs</w:t>
      </w:r>
      <w:r w:rsidR="006677B7">
        <w:t xml:space="preserve">. </w:t>
      </w:r>
    </w:p>
    <w:p w14:paraId="1BB0E74E" w14:textId="77777777" w:rsidR="004D4C63" w:rsidRPr="00A049B4" w:rsidRDefault="004D4C63" w:rsidP="00B11115">
      <w:pPr>
        <w:pStyle w:val="Heading3"/>
      </w:pPr>
      <w:bookmarkStart w:id="42" w:name="_Toc70944190"/>
      <w:r w:rsidRPr="00A049B4">
        <w:t>Defining Tier Values</w:t>
      </w:r>
      <w:bookmarkEnd w:id="42"/>
    </w:p>
    <w:p w14:paraId="6CA65FF8" w14:textId="77777777" w:rsidR="00BC385F" w:rsidRPr="00BC385F" w:rsidRDefault="00BC385F" w:rsidP="00B1367E">
      <w:r w:rsidRPr="00BC385F">
        <w:t>To establish a method for placing individuals into the appropriate tiers, the MCO utilized data from the state’s Functional Screen. This is a level of care assessment similar to the Supports Intensity Scale, which Wisconsin created to:</w:t>
      </w:r>
    </w:p>
    <w:p w14:paraId="45BC959E" w14:textId="77777777" w:rsidR="00BC385F" w:rsidRPr="00BC385F" w:rsidRDefault="00BC385F" w:rsidP="006F1DB9">
      <w:pPr>
        <w:pStyle w:val="ListBullet"/>
      </w:pPr>
      <w:r w:rsidRPr="00BC385F">
        <w:t>Determine eligibility for long-term care</w:t>
      </w:r>
      <w:r w:rsidR="001E6980">
        <w:t>;</w:t>
      </w:r>
    </w:p>
    <w:p w14:paraId="6EC4B738" w14:textId="77777777" w:rsidR="00BC385F" w:rsidRPr="00BC385F" w:rsidRDefault="00BC385F" w:rsidP="006F1DB9">
      <w:pPr>
        <w:pStyle w:val="ListBullet"/>
      </w:pPr>
      <w:r w:rsidRPr="00BC385F">
        <w:t>Determine which eligible individuals meet institutional level of care and which do not</w:t>
      </w:r>
      <w:r w:rsidR="001E6980">
        <w:t>; and</w:t>
      </w:r>
    </w:p>
    <w:p w14:paraId="0BB5E3F8" w14:textId="77777777" w:rsidR="00BC385F" w:rsidRDefault="00BC385F" w:rsidP="00BA5B87">
      <w:pPr>
        <w:pStyle w:val="ListBullet"/>
      </w:pPr>
      <w:r w:rsidRPr="00BC385F">
        <w:t>Determine the per-member, per-month capitated rates paid to each MCO.</w:t>
      </w:r>
    </w:p>
    <w:p w14:paraId="5BF7680D" w14:textId="77777777" w:rsidR="00D70410" w:rsidRPr="00BC385F" w:rsidRDefault="00D70410" w:rsidP="002476FD">
      <w:pPr>
        <w:pStyle w:val="NoSpacing"/>
      </w:pPr>
    </w:p>
    <w:tbl>
      <w:tblPr>
        <w:tblStyle w:val="EconSysBandedTable"/>
        <w:tblW w:w="8165" w:type="dxa"/>
        <w:jc w:val="center"/>
        <w:tblInd w:w="0" w:type="dxa"/>
        <w:tblLook w:val="0420" w:firstRow="1" w:lastRow="0" w:firstColumn="0" w:lastColumn="0" w:noHBand="0" w:noVBand="1"/>
      </w:tblPr>
      <w:tblGrid>
        <w:gridCol w:w="2315"/>
        <w:gridCol w:w="1635"/>
        <w:gridCol w:w="1965"/>
        <w:gridCol w:w="2250"/>
      </w:tblGrid>
      <w:tr w:rsidR="007C0027" w:rsidRPr="002114C4" w14:paraId="38886BD8" w14:textId="77777777" w:rsidTr="00C76F2C">
        <w:trPr>
          <w:cnfStyle w:val="100000000000" w:firstRow="1" w:lastRow="0" w:firstColumn="0" w:lastColumn="0" w:oddVBand="0" w:evenVBand="0" w:oddHBand="0" w:evenHBand="0" w:firstRowFirstColumn="0" w:firstRowLastColumn="0" w:lastRowFirstColumn="0" w:lastRowLastColumn="0"/>
          <w:trHeight w:val="425"/>
          <w:jc w:val="center"/>
        </w:trPr>
        <w:tc>
          <w:tcPr>
            <w:tcW w:w="0" w:type="dxa"/>
            <w:tcBorders>
              <w:right w:val="single" w:sz="2" w:space="0" w:color="D9D9D9" w:themeColor="background1" w:themeShade="D9"/>
            </w:tcBorders>
            <w:shd w:val="clear" w:color="auto" w:fill="403152" w:themeFill="accent4" w:themeFillShade="80"/>
            <w:vAlign w:val="center"/>
            <w:hideMark/>
          </w:tcPr>
          <w:p w14:paraId="3D5F9516" w14:textId="77777777" w:rsidR="004D4C63" w:rsidRPr="00F8059E" w:rsidRDefault="004D4C63" w:rsidP="000C001D">
            <w:pPr>
              <w:spacing w:before="20" w:after="20" w:line="240" w:lineRule="auto"/>
              <w:contextualSpacing w:val="0"/>
              <w:jc w:val="center"/>
              <w:rPr>
                <w:rStyle w:val="TableText"/>
                <w:rFonts w:ascii="Optima" w:eastAsiaTheme="minorHAnsi" w:hAnsi="Optima"/>
                <w:b w:val="0"/>
                <w:color w:val="FFFFFF" w:themeColor="background1"/>
                <w:sz w:val="19"/>
                <w:szCs w:val="19"/>
              </w:rPr>
            </w:pPr>
            <w:r w:rsidRPr="00F8059E">
              <w:rPr>
                <w:rStyle w:val="TableText"/>
                <w:rFonts w:ascii="Optima" w:eastAsiaTheme="minorHAnsi" w:hAnsi="Optima"/>
                <w:color w:val="FFFFFF" w:themeColor="background1"/>
                <w:sz w:val="19"/>
                <w:szCs w:val="19"/>
              </w:rPr>
              <w:t xml:space="preserve">Monthly Budget </w:t>
            </w:r>
            <w:r w:rsidR="00F8059E">
              <w:rPr>
                <w:rStyle w:val="TableText"/>
                <w:rFonts w:ascii="Optima" w:eastAsiaTheme="minorHAnsi" w:hAnsi="Optima"/>
                <w:color w:val="FFFFFF" w:themeColor="background1"/>
                <w:sz w:val="19"/>
                <w:szCs w:val="19"/>
              </w:rPr>
              <w:t>A</w:t>
            </w:r>
            <w:r w:rsidRPr="00F8059E">
              <w:rPr>
                <w:rStyle w:val="TableText"/>
                <w:rFonts w:ascii="Optima" w:eastAsiaTheme="minorHAnsi" w:hAnsi="Optima"/>
                <w:color w:val="FFFFFF" w:themeColor="background1"/>
                <w:sz w:val="19"/>
                <w:szCs w:val="19"/>
              </w:rPr>
              <w:t>mounts</w:t>
            </w:r>
          </w:p>
        </w:tc>
        <w:tc>
          <w:tcPr>
            <w:tcW w:w="0" w:type="dxa"/>
            <w:tcBorders>
              <w:left w:val="single" w:sz="2" w:space="0" w:color="D9D9D9" w:themeColor="background1" w:themeShade="D9"/>
            </w:tcBorders>
            <w:shd w:val="clear" w:color="auto" w:fill="403152" w:themeFill="accent4" w:themeFillShade="80"/>
            <w:vAlign w:val="center"/>
            <w:hideMark/>
          </w:tcPr>
          <w:p w14:paraId="16E74915" w14:textId="77777777" w:rsidR="004D4C63" w:rsidRPr="00F8059E" w:rsidRDefault="004D4C63" w:rsidP="000C001D">
            <w:pPr>
              <w:spacing w:before="20" w:after="20" w:line="240" w:lineRule="auto"/>
              <w:contextualSpacing w:val="0"/>
              <w:jc w:val="center"/>
              <w:rPr>
                <w:rStyle w:val="TableText"/>
                <w:rFonts w:ascii="Optima" w:eastAsiaTheme="minorHAnsi" w:hAnsi="Optima"/>
                <w:b w:val="0"/>
                <w:color w:val="FFFFFF" w:themeColor="background1"/>
                <w:sz w:val="19"/>
                <w:szCs w:val="19"/>
              </w:rPr>
            </w:pPr>
            <w:r w:rsidRPr="00F8059E">
              <w:rPr>
                <w:rStyle w:val="TableText"/>
                <w:rFonts w:ascii="Optima" w:eastAsiaTheme="minorHAnsi" w:hAnsi="Optima"/>
                <w:color w:val="FFFFFF" w:themeColor="background1"/>
                <w:sz w:val="19"/>
                <w:szCs w:val="19"/>
              </w:rPr>
              <w:t>Low</w:t>
            </w:r>
          </w:p>
        </w:tc>
        <w:tc>
          <w:tcPr>
            <w:tcW w:w="0" w:type="dxa"/>
            <w:shd w:val="clear" w:color="auto" w:fill="403152" w:themeFill="accent4" w:themeFillShade="80"/>
            <w:vAlign w:val="center"/>
            <w:hideMark/>
          </w:tcPr>
          <w:p w14:paraId="41EB672C" w14:textId="77777777" w:rsidR="004D4C63" w:rsidRPr="00F8059E" w:rsidRDefault="004D4C63" w:rsidP="000C001D">
            <w:pPr>
              <w:spacing w:before="20" w:after="20" w:line="240" w:lineRule="auto"/>
              <w:contextualSpacing w:val="0"/>
              <w:jc w:val="center"/>
              <w:rPr>
                <w:rStyle w:val="TableText"/>
                <w:rFonts w:ascii="Optima" w:eastAsiaTheme="minorHAnsi" w:hAnsi="Optima"/>
                <w:b w:val="0"/>
                <w:color w:val="FFFFFF" w:themeColor="background1"/>
                <w:sz w:val="19"/>
                <w:szCs w:val="19"/>
              </w:rPr>
            </w:pPr>
            <w:r w:rsidRPr="00F8059E">
              <w:rPr>
                <w:rStyle w:val="TableText"/>
                <w:rFonts w:ascii="Optima" w:eastAsiaTheme="minorHAnsi" w:hAnsi="Optima"/>
                <w:color w:val="FFFFFF" w:themeColor="background1"/>
                <w:sz w:val="19"/>
                <w:szCs w:val="19"/>
              </w:rPr>
              <w:t>High</w:t>
            </w:r>
          </w:p>
        </w:tc>
        <w:tc>
          <w:tcPr>
            <w:tcW w:w="0" w:type="dxa"/>
            <w:shd w:val="clear" w:color="auto" w:fill="403152" w:themeFill="accent4" w:themeFillShade="80"/>
            <w:vAlign w:val="center"/>
            <w:hideMark/>
          </w:tcPr>
          <w:p w14:paraId="7EE1D3D4" w14:textId="77777777" w:rsidR="004D4C63" w:rsidRPr="00F8059E" w:rsidRDefault="004D4C63" w:rsidP="000C001D">
            <w:pPr>
              <w:spacing w:before="20" w:after="20" w:line="240" w:lineRule="auto"/>
              <w:contextualSpacing w:val="0"/>
              <w:jc w:val="center"/>
              <w:rPr>
                <w:rStyle w:val="TableText"/>
                <w:rFonts w:ascii="Optima" w:eastAsiaTheme="minorHAnsi" w:hAnsi="Optima"/>
                <w:b w:val="0"/>
                <w:color w:val="FFFFFF" w:themeColor="background1"/>
                <w:sz w:val="19"/>
                <w:szCs w:val="19"/>
              </w:rPr>
            </w:pPr>
            <w:r w:rsidRPr="00F8059E">
              <w:rPr>
                <w:rStyle w:val="TableText"/>
                <w:rFonts w:ascii="Optima" w:eastAsiaTheme="minorHAnsi" w:hAnsi="Optima"/>
                <w:color w:val="FFFFFF" w:themeColor="background1"/>
                <w:sz w:val="19"/>
                <w:szCs w:val="19"/>
              </w:rPr>
              <w:t>Difference</w:t>
            </w:r>
          </w:p>
        </w:tc>
      </w:tr>
      <w:tr w:rsidR="007C0027" w:rsidRPr="00603D1C" w14:paraId="4C73A50E" w14:textId="77777777" w:rsidTr="00C76F2C">
        <w:trPr>
          <w:cnfStyle w:val="000000100000" w:firstRow="0" w:lastRow="0" w:firstColumn="0" w:lastColumn="0" w:oddVBand="0" w:evenVBand="0" w:oddHBand="1" w:evenHBand="0" w:firstRowFirstColumn="0" w:firstRowLastColumn="0" w:lastRowFirstColumn="0" w:lastRowLastColumn="0"/>
          <w:trHeight w:val="374"/>
          <w:jc w:val="center"/>
        </w:trPr>
        <w:tc>
          <w:tcPr>
            <w:tcW w:w="2315" w:type="dxa"/>
            <w:tcBorders>
              <w:right w:val="single" w:sz="2" w:space="0" w:color="D9D9D9" w:themeColor="background1" w:themeShade="D9"/>
            </w:tcBorders>
            <w:shd w:val="clear" w:color="auto" w:fill="E5DFEC" w:themeFill="accent4" w:themeFillTint="33"/>
            <w:vAlign w:val="center"/>
            <w:hideMark/>
          </w:tcPr>
          <w:p w14:paraId="649E12CF" w14:textId="77777777" w:rsidR="004D4C63" w:rsidRPr="00603D1C" w:rsidRDefault="004D4C63" w:rsidP="00183CE9">
            <w:pPr>
              <w:spacing w:before="60" w:after="60" w:line="240" w:lineRule="auto"/>
              <w:contextualSpacing w:val="0"/>
              <w:jc w:val="center"/>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Tier 1</w:t>
            </w:r>
          </w:p>
        </w:tc>
        <w:tc>
          <w:tcPr>
            <w:tcW w:w="1635" w:type="dxa"/>
            <w:tcBorders>
              <w:left w:val="single" w:sz="2" w:space="0" w:color="D9D9D9" w:themeColor="background1" w:themeShade="D9"/>
            </w:tcBorders>
            <w:shd w:val="clear" w:color="auto" w:fill="E5DFEC" w:themeFill="accent4" w:themeFillTint="33"/>
            <w:vAlign w:val="center"/>
            <w:hideMark/>
          </w:tcPr>
          <w:p w14:paraId="1F448B22" w14:textId="77777777" w:rsidR="004D4C63" w:rsidRPr="00603D1C" w:rsidRDefault="004D4C63" w:rsidP="00183CE9">
            <w:pPr>
              <w:spacing w:before="60" w:after="60" w:line="240" w:lineRule="auto"/>
              <w:ind w:right="440"/>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$7,927</w:t>
            </w:r>
          </w:p>
        </w:tc>
        <w:tc>
          <w:tcPr>
            <w:tcW w:w="1965" w:type="dxa"/>
            <w:shd w:val="clear" w:color="auto" w:fill="E5DFEC" w:themeFill="accent4" w:themeFillTint="33"/>
            <w:vAlign w:val="center"/>
            <w:hideMark/>
          </w:tcPr>
          <w:p w14:paraId="239A5B77" w14:textId="77777777" w:rsidR="004D4C63" w:rsidRPr="00603D1C" w:rsidRDefault="004D4C63" w:rsidP="00183CE9">
            <w:pPr>
              <w:spacing w:before="60" w:after="60" w:line="240" w:lineRule="auto"/>
              <w:ind w:right="503"/>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$10,502</w:t>
            </w:r>
          </w:p>
        </w:tc>
        <w:tc>
          <w:tcPr>
            <w:tcW w:w="2250" w:type="dxa"/>
            <w:shd w:val="clear" w:color="auto" w:fill="E5DFEC" w:themeFill="accent4" w:themeFillTint="33"/>
            <w:vAlign w:val="center"/>
            <w:hideMark/>
          </w:tcPr>
          <w:p w14:paraId="73B39BF9" w14:textId="77777777" w:rsidR="004D4C63" w:rsidRPr="00603D1C" w:rsidRDefault="004D4C63" w:rsidP="00264EBB">
            <w:pPr>
              <w:spacing w:before="60" w:after="60" w:line="240" w:lineRule="auto"/>
              <w:ind w:right="695"/>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$2,575</w:t>
            </w:r>
          </w:p>
        </w:tc>
      </w:tr>
      <w:tr w:rsidR="007C0027" w:rsidRPr="00603D1C" w14:paraId="5EE88918" w14:textId="77777777" w:rsidTr="00C76F2C">
        <w:trPr>
          <w:cnfStyle w:val="000000010000" w:firstRow="0" w:lastRow="0" w:firstColumn="0" w:lastColumn="0" w:oddVBand="0" w:evenVBand="0" w:oddHBand="0" w:evenHBand="1" w:firstRowFirstColumn="0" w:firstRowLastColumn="0" w:lastRowFirstColumn="0" w:lastRowLastColumn="0"/>
          <w:trHeight w:val="374"/>
          <w:jc w:val="center"/>
        </w:trPr>
        <w:tc>
          <w:tcPr>
            <w:tcW w:w="2315" w:type="dxa"/>
            <w:tcBorders>
              <w:right w:val="single" w:sz="2" w:space="0" w:color="D9D9D9" w:themeColor="background1" w:themeShade="D9"/>
            </w:tcBorders>
            <w:vAlign w:val="center"/>
            <w:hideMark/>
          </w:tcPr>
          <w:p w14:paraId="0B8FDED5" w14:textId="77777777" w:rsidR="004D4C63" w:rsidRPr="00603D1C" w:rsidRDefault="004D4C63" w:rsidP="00183CE9">
            <w:pPr>
              <w:spacing w:before="60" w:after="60" w:line="240" w:lineRule="auto"/>
              <w:contextualSpacing w:val="0"/>
              <w:jc w:val="center"/>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Tier 2</w:t>
            </w:r>
          </w:p>
        </w:tc>
        <w:tc>
          <w:tcPr>
            <w:tcW w:w="1635" w:type="dxa"/>
            <w:tcBorders>
              <w:left w:val="single" w:sz="2" w:space="0" w:color="D9D9D9" w:themeColor="background1" w:themeShade="D9"/>
            </w:tcBorders>
            <w:vAlign w:val="center"/>
            <w:hideMark/>
          </w:tcPr>
          <w:p w14:paraId="29645591" w14:textId="77777777" w:rsidR="004D4C63" w:rsidRPr="00603D1C" w:rsidRDefault="004D4C63" w:rsidP="00183CE9">
            <w:pPr>
              <w:spacing w:before="60" w:after="60" w:line="240" w:lineRule="auto"/>
              <w:ind w:right="440"/>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$5,351</w:t>
            </w:r>
          </w:p>
        </w:tc>
        <w:tc>
          <w:tcPr>
            <w:tcW w:w="1965" w:type="dxa"/>
            <w:vAlign w:val="center"/>
            <w:hideMark/>
          </w:tcPr>
          <w:p w14:paraId="09335A65" w14:textId="77777777" w:rsidR="004D4C63" w:rsidRPr="00603D1C" w:rsidRDefault="004D4C63" w:rsidP="00183CE9">
            <w:pPr>
              <w:spacing w:before="60" w:after="60" w:line="240" w:lineRule="auto"/>
              <w:ind w:right="503"/>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$7,926</w:t>
            </w:r>
          </w:p>
        </w:tc>
        <w:tc>
          <w:tcPr>
            <w:tcW w:w="2250" w:type="dxa"/>
            <w:vAlign w:val="center"/>
            <w:hideMark/>
          </w:tcPr>
          <w:p w14:paraId="121F8972" w14:textId="77777777" w:rsidR="004D4C63" w:rsidRPr="00603D1C" w:rsidRDefault="004D4C63" w:rsidP="00264EBB">
            <w:pPr>
              <w:spacing w:before="60" w:after="60" w:line="240" w:lineRule="auto"/>
              <w:ind w:right="695"/>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$2,575</w:t>
            </w:r>
          </w:p>
        </w:tc>
      </w:tr>
      <w:tr w:rsidR="007C0027" w:rsidRPr="00603D1C" w14:paraId="3E420712" w14:textId="77777777" w:rsidTr="00C76F2C">
        <w:trPr>
          <w:cnfStyle w:val="000000100000" w:firstRow="0" w:lastRow="0" w:firstColumn="0" w:lastColumn="0" w:oddVBand="0" w:evenVBand="0" w:oddHBand="1" w:evenHBand="0" w:firstRowFirstColumn="0" w:firstRowLastColumn="0" w:lastRowFirstColumn="0" w:lastRowLastColumn="0"/>
          <w:trHeight w:val="374"/>
          <w:jc w:val="center"/>
        </w:trPr>
        <w:tc>
          <w:tcPr>
            <w:tcW w:w="0" w:type="dxa"/>
            <w:tcBorders>
              <w:right w:val="single" w:sz="2" w:space="0" w:color="D9D9D9" w:themeColor="background1" w:themeShade="D9"/>
            </w:tcBorders>
            <w:shd w:val="clear" w:color="auto" w:fill="E5DFEC" w:themeFill="accent4" w:themeFillTint="33"/>
            <w:vAlign w:val="center"/>
            <w:hideMark/>
          </w:tcPr>
          <w:p w14:paraId="19E03DC8" w14:textId="77777777" w:rsidR="004D4C63" w:rsidRPr="00603D1C" w:rsidRDefault="004D4C63" w:rsidP="00183CE9">
            <w:pPr>
              <w:spacing w:before="60" w:after="60" w:line="240" w:lineRule="auto"/>
              <w:contextualSpacing w:val="0"/>
              <w:jc w:val="center"/>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Tier 3</w:t>
            </w:r>
          </w:p>
        </w:tc>
        <w:tc>
          <w:tcPr>
            <w:tcW w:w="0" w:type="dxa"/>
            <w:tcBorders>
              <w:left w:val="single" w:sz="2" w:space="0" w:color="D9D9D9" w:themeColor="background1" w:themeShade="D9"/>
            </w:tcBorders>
            <w:shd w:val="clear" w:color="auto" w:fill="E5DFEC" w:themeFill="accent4" w:themeFillTint="33"/>
            <w:vAlign w:val="center"/>
            <w:hideMark/>
          </w:tcPr>
          <w:p w14:paraId="4AAECFE3" w14:textId="77777777" w:rsidR="004D4C63" w:rsidRPr="00603D1C" w:rsidRDefault="004D4C63" w:rsidP="00183CE9">
            <w:pPr>
              <w:spacing w:before="60" w:after="60" w:line="240" w:lineRule="auto"/>
              <w:ind w:right="440"/>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$2,775</w:t>
            </w:r>
          </w:p>
        </w:tc>
        <w:tc>
          <w:tcPr>
            <w:tcW w:w="0" w:type="dxa"/>
            <w:shd w:val="clear" w:color="auto" w:fill="E5DFEC" w:themeFill="accent4" w:themeFillTint="33"/>
            <w:vAlign w:val="center"/>
            <w:hideMark/>
          </w:tcPr>
          <w:p w14:paraId="2F6A1414" w14:textId="77777777" w:rsidR="004D4C63" w:rsidRPr="00603D1C" w:rsidRDefault="004D4C63" w:rsidP="00183CE9">
            <w:pPr>
              <w:spacing w:before="60" w:after="60" w:line="240" w:lineRule="auto"/>
              <w:ind w:right="503"/>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$5,350</w:t>
            </w:r>
          </w:p>
        </w:tc>
        <w:tc>
          <w:tcPr>
            <w:tcW w:w="0" w:type="dxa"/>
            <w:shd w:val="clear" w:color="auto" w:fill="E5DFEC" w:themeFill="accent4" w:themeFillTint="33"/>
            <w:vAlign w:val="center"/>
            <w:hideMark/>
          </w:tcPr>
          <w:p w14:paraId="13910A3A" w14:textId="77777777" w:rsidR="004D4C63" w:rsidRPr="00603D1C" w:rsidRDefault="004D4C63" w:rsidP="00264EBB">
            <w:pPr>
              <w:spacing w:before="60" w:after="60" w:line="240" w:lineRule="auto"/>
              <w:ind w:right="695"/>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$2,575</w:t>
            </w:r>
          </w:p>
        </w:tc>
      </w:tr>
      <w:tr w:rsidR="007C0027" w:rsidRPr="00603D1C" w14:paraId="773EA8F5" w14:textId="77777777" w:rsidTr="00C76F2C">
        <w:trPr>
          <w:cnfStyle w:val="000000010000" w:firstRow="0" w:lastRow="0" w:firstColumn="0" w:lastColumn="0" w:oddVBand="0" w:evenVBand="0" w:oddHBand="0" w:evenHBand="1" w:firstRowFirstColumn="0" w:firstRowLastColumn="0" w:lastRowFirstColumn="0" w:lastRowLastColumn="0"/>
          <w:trHeight w:val="374"/>
          <w:jc w:val="center"/>
        </w:trPr>
        <w:tc>
          <w:tcPr>
            <w:tcW w:w="2315" w:type="dxa"/>
            <w:tcBorders>
              <w:bottom w:val="single" w:sz="2" w:space="0" w:color="D9D9D9" w:themeColor="background1" w:themeShade="D9"/>
              <w:right w:val="single" w:sz="2" w:space="0" w:color="D9D9D9" w:themeColor="background1" w:themeShade="D9"/>
            </w:tcBorders>
            <w:vAlign w:val="center"/>
            <w:hideMark/>
          </w:tcPr>
          <w:p w14:paraId="061619A1" w14:textId="77777777" w:rsidR="004D4C63" w:rsidRPr="00603D1C" w:rsidRDefault="004D4C63" w:rsidP="00183CE9">
            <w:pPr>
              <w:spacing w:before="60" w:after="60" w:line="240" w:lineRule="auto"/>
              <w:contextualSpacing w:val="0"/>
              <w:jc w:val="center"/>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Tier 4</w:t>
            </w:r>
          </w:p>
        </w:tc>
        <w:tc>
          <w:tcPr>
            <w:tcW w:w="1635" w:type="dxa"/>
            <w:tcBorders>
              <w:left w:val="single" w:sz="2" w:space="0" w:color="D9D9D9" w:themeColor="background1" w:themeShade="D9"/>
              <w:bottom w:val="single" w:sz="2" w:space="0" w:color="D9D9D9" w:themeColor="background1" w:themeShade="D9"/>
            </w:tcBorders>
            <w:vAlign w:val="center"/>
            <w:hideMark/>
          </w:tcPr>
          <w:p w14:paraId="18E1F208" w14:textId="77777777" w:rsidR="004D4C63" w:rsidRPr="00603D1C" w:rsidRDefault="004D4C63" w:rsidP="00183CE9">
            <w:pPr>
              <w:spacing w:before="60" w:after="60" w:line="240" w:lineRule="auto"/>
              <w:ind w:right="440"/>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$199</w:t>
            </w:r>
          </w:p>
        </w:tc>
        <w:tc>
          <w:tcPr>
            <w:tcW w:w="1965" w:type="dxa"/>
            <w:tcBorders>
              <w:bottom w:val="single" w:sz="2" w:space="0" w:color="D9D9D9" w:themeColor="background1" w:themeShade="D9"/>
            </w:tcBorders>
            <w:vAlign w:val="center"/>
            <w:hideMark/>
          </w:tcPr>
          <w:p w14:paraId="2F0EEDC1" w14:textId="77777777" w:rsidR="004D4C63" w:rsidRPr="00603D1C" w:rsidRDefault="004D4C63" w:rsidP="00183CE9">
            <w:pPr>
              <w:spacing w:before="60" w:after="60" w:line="240" w:lineRule="auto"/>
              <w:ind w:right="503"/>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$2,774</w:t>
            </w:r>
          </w:p>
        </w:tc>
        <w:tc>
          <w:tcPr>
            <w:tcW w:w="2250" w:type="dxa"/>
            <w:tcBorders>
              <w:bottom w:val="single" w:sz="2" w:space="0" w:color="D9D9D9" w:themeColor="background1" w:themeShade="D9"/>
            </w:tcBorders>
            <w:vAlign w:val="center"/>
            <w:hideMark/>
          </w:tcPr>
          <w:p w14:paraId="6AC3DE93" w14:textId="77777777" w:rsidR="004D4C63" w:rsidRPr="00603D1C" w:rsidRDefault="004D4C63" w:rsidP="00264EBB">
            <w:pPr>
              <w:spacing w:before="60" w:after="60" w:line="240" w:lineRule="auto"/>
              <w:ind w:right="695"/>
              <w:contextualSpacing w:val="0"/>
              <w:jc w:val="right"/>
              <w:rPr>
                <w:rStyle w:val="TableText"/>
                <w:rFonts w:ascii="Optima" w:eastAsiaTheme="minorHAnsi" w:hAnsi="Optima"/>
                <w:color w:val="262626" w:themeColor="text1" w:themeTint="D9"/>
                <w:sz w:val="19"/>
                <w:szCs w:val="19"/>
              </w:rPr>
            </w:pPr>
            <w:r w:rsidRPr="00603D1C">
              <w:rPr>
                <w:rStyle w:val="TableText"/>
                <w:rFonts w:ascii="Optima" w:eastAsiaTheme="minorHAnsi" w:hAnsi="Optima"/>
                <w:color w:val="262626" w:themeColor="text1" w:themeTint="D9"/>
                <w:sz w:val="19"/>
                <w:szCs w:val="19"/>
              </w:rPr>
              <w:t>$2,575</w:t>
            </w:r>
          </w:p>
        </w:tc>
      </w:tr>
    </w:tbl>
    <w:p w14:paraId="39E4AD00" w14:textId="77777777" w:rsidR="009876C3" w:rsidRDefault="009876C3" w:rsidP="002476FD">
      <w:pPr>
        <w:pStyle w:val="NoSpacing"/>
      </w:pPr>
    </w:p>
    <w:p w14:paraId="14CDA55B" w14:textId="77777777" w:rsidR="004D4C63" w:rsidRPr="00A049B4" w:rsidRDefault="004D4C63" w:rsidP="00B11115">
      <w:pPr>
        <w:pStyle w:val="Heading3"/>
      </w:pPr>
      <w:bookmarkStart w:id="43" w:name="_Toc70944191"/>
      <w:r w:rsidRPr="00A049B4">
        <w:t>Establishing Support Percentages</w:t>
      </w:r>
      <w:bookmarkEnd w:id="43"/>
    </w:p>
    <w:p w14:paraId="304D4B0F" w14:textId="77777777" w:rsidR="00BC385F" w:rsidRPr="00BC385F" w:rsidRDefault="00BC385F" w:rsidP="00B1367E">
      <w:bookmarkStart w:id="44" w:name="_Hlk20319610"/>
      <w:r w:rsidRPr="00BC385F">
        <w:t>As a first step for determining the average support level needed for individuals in each of the four tiers, Functional Screen data on existing Individual Supported Employment participants was used to place each of these individuals in one of the four tiers based on the monthly budget amount in their Functional Screen. Then, providers were asked to report current data on the number of hours the individual worked per week, the amount of support (face to face or time on behalf of) that the provider was currently providing, and the length of time the individual had held his/her current job</w:t>
      </w:r>
      <w:r w:rsidR="006677B7">
        <w:t xml:space="preserve">. </w:t>
      </w:r>
    </w:p>
    <w:p w14:paraId="20453E5E" w14:textId="77777777" w:rsidR="00BC385F" w:rsidRPr="00BC385F" w:rsidRDefault="00BC385F" w:rsidP="00B1367E">
      <w:r w:rsidRPr="00BC385F">
        <w:t>Support hours reported by providers were reduced where necessary to remove any time reported for providing transportation for a supported employee to get to or from their job, any time spent on job development (e.g.</w:t>
      </w:r>
      <w:r w:rsidR="009F6492">
        <w:t>,</w:t>
      </w:r>
      <w:r w:rsidRPr="00BC385F">
        <w:t xml:space="preserve"> if someone was seeking a second job or different job), any time spent providing personal care, and any time providing support for activities other than work. All of these billable supports were reclassified and authorized under a separate, more appropriate billing category when the outcome-based Supported Employment model was implemented. The data then was used to average the amount of support being provided to individuals in the various disability tiers and various stages of employment</w:t>
      </w:r>
      <w:r w:rsidR="006677B7">
        <w:t xml:space="preserve">. </w:t>
      </w:r>
      <w:r w:rsidRPr="00BC385F">
        <w:t xml:space="preserve">The results were shared with providers and discussed as part of agreeing to a set of average support percentages to use in establishing outcome-based payments per hour worked. </w:t>
      </w:r>
    </w:p>
    <w:p w14:paraId="248062CF" w14:textId="3E0CDC39" w:rsidR="001B29BE" w:rsidRDefault="00BC385F" w:rsidP="00EF4862">
      <w:r w:rsidRPr="00BC385F">
        <w:t>While there were some anomalies in the data on existing participants in Individual Supported Employment, the data reinforced the expectation that people with higher levels of disability require more supports while people with lower levels of disability require less supports. The data also reinforced the expectation that people at earlier stages in their jobs require more support while people at later stages in their jobs require less support. With these validations, a model reflecting these expectations was developed for use in establishing the payments per hour worked that would be implemented.</w:t>
      </w:r>
      <w:r w:rsidRPr="00BC385F">
        <w:rPr>
          <w:vertAlign w:val="superscript"/>
        </w:rPr>
        <w:footnoteReference w:id="25"/>
      </w:r>
      <w:bookmarkEnd w:id="44"/>
    </w:p>
    <w:p w14:paraId="0E693CEB" w14:textId="77777777" w:rsidR="00C9395A" w:rsidRDefault="00C9395A" w:rsidP="00022B8D">
      <w:pPr>
        <w:pStyle w:val="NoSpacing"/>
      </w:pPr>
    </w:p>
    <w:tbl>
      <w:tblPr>
        <w:tblW w:w="7560" w:type="dxa"/>
        <w:jc w:val="center"/>
        <w:tblLayout w:type="fixed"/>
        <w:tblLook w:val="0420" w:firstRow="1" w:lastRow="0" w:firstColumn="0" w:lastColumn="0" w:noHBand="0" w:noVBand="1"/>
        <w:tblCaption w:val="Time on Job vs Level of Disability"/>
        <w:tblDescription w:val="Time on job vs level of disability using Tier1 - Tier4"/>
      </w:tblPr>
      <w:tblGrid>
        <w:gridCol w:w="1890"/>
        <w:gridCol w:w="1170"/>
        <w:gridCol w:w="1260"/>
        <w:gridCol w:w="1710"/>
        <w:gridCol w:w="1530"/>
      </w:tblGrid>
      <w:tr w:rsidR="00C9395A" w:rsidRPr="00B05CDB" w14:paraId="1AE9A077" w14:textId="77777777" w:rsidTr="00C76F2C">
        <w:trPr>
          <w:trHeight w:hRule="exact" w:val="405"/>
          <w:tblHeader/>
          <w:jc w:val="center"/>
        </w:trPr>
        <w:tc>
          <w:tcPr>
            <w:tcW w:w="1890" w:type="dxa"/>
            <w:tcBorders>
              <w:top w:val="nil"/>
              <w:left w:val="nil"/>
              <w:bottom w:val="single" w:sz="4" w:space="0" w:color="BFBFBF" w:themeColor="background1" w:themeShade="BF"/>
              <w:right w:val="nil"/>
            </w:tcBorders>
            <w:shd w:val="clear" w:color="auto" w:fill="403152" w:themeFill="accent4" w:themeFillShade="80"/>
            <w:hideMark/>
          </w:tcPr>
          <w:p w14:paraId="50402F2C" w14:textId="77777777" w:rsidR="00C9395A" w:rsidRPr="00D026FE" w:rsidRDefault="00C9395A" w:rsidP="007202B3">
            <w:pPr>
              <w:spacing w:before="60" w:after="0" w:line="276" w:lineRule="auto"/>
              <w:ind w:left="346"/>
              <w:jc w:val="center"/>
              <w:rPr>
                <w:rFonts w:ascii="Optima" w:eastAsia="Times New Roman" w:hAnsi="Optima" w:cs="Calibri"/>
                <w:b/>
                <w:bCs/>
                <w:color w:val="FFFFFF" w:themeColor="background1"/>
                <w:sz w:val="19"/>
                <w:szCs w:val="19"/>
              </w:rPr>
            </w:pPr>
            <w:r>
              <w:br w:type="page"/>
            </w:r>
            <w:r w:rsidRPr="00D026FE">
              <w:rPr>
                <w:rFonts w:ascii="Optima" w:eastAsia="Times New Roman" w:hAnsi="Optima" w:cs="Calibri"/>
                <w:b/>
                <w:bCs/>
                <w:color w:val="FFFFFF" w:themeColor="background1"/>
                <w:sz w:val="19"/>
                <w:szCs w:val="19"/>
              </w:rPr>
              <w:t>Time on Job</w:t>
            </w:r>
          </w:p>
        </w:tc>
        <w:tc>
          <w:tcPr>
            <w:tcW w:w="1170" w:type="dxa"/>
            <w:tcBorders>
              <w:top w:val="nil"/>
              <w:left w:val="nil"/>
              <w:right w:val="nil"/>
            </w:tcBorders>
            <w:shd w:val="clear" w:color="auto" w:fill="403152" w:themeFill="accent4" w:themeFillShade="80"/>
          </w:tcPr>
          <w:p w14:paraId="495E8FB0" w14:textId="77777777" w:rsidR="00C9395A" w:rsidRPr="00D026FE" w:rsidRDefault="00C9395A" w:rsidP="007202B3">
            <w:pPr>
              <w:spacing w:before="60" w:after="0" w:line="276" w:lineRule="auto"/>
              <w:ind w:left="-379" w:right="-290"/>
              <w:jc w:val="center"/>
              <w:rPr>
                <w:noProof/>
                <w:color w:val="FFFFFF" w:themeColor="background1"/>
              </w:rPr>
            </w:pPr>
            <w:r w:rsidRPr="00D026FE">
              <w:rPr>
                <w:noProof/>
                <w:color w:val="FFFFFF" w:themeColor="background1"/>
              </w:rPr>
              <mc:AlternateContent>
                <mc:Choice Requires="wps">
                  <w:drawing>
                    <wp:inline distT="0" distB="0" distL="0" distR="0" wp14:anchorId="5C21C349" wp14:editId="57FB8CC3">
                      <wp:extent cx="458699" cy="155003"/>
                      <wp:effectExtent l="12700" t="38100" r="11430" b="35560"/>
                      <wp:docPr id="12" name="Right Arrow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8699" cy="155003"/>
                              </a:xfrm>
                              <a:prstGeom prst="rightArrow">
                                <a:avLst/>
                              </a:prstGeom>
                              <a:solidFill>
                                <a:srgbClr val="FFFFFF"/>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5B9E5" id="Right Arrow 12" o:spid="_x0000_s1026" type="#_x0000_t13" alt="&quot;&quot;" style="width:36.1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" adj="17950" strokecolor="black [3200]" strokeweight="1.5pt">
                      <w10:anchorlock/>
                    </v:shape>
                  </w:pict>
                </mc:Fallback>
              </mc:AlternateContent>
            </w:r>
          </w:p>
        </w:tc>
        <w:tc>
          <w:tcPr>
            <w:tcW w:w="1260" w:type="dxa"/>
            <w:tcBorders>
              <w:top w:val="nil"/>
              <w:left w:val="nil"/>
              <w:right w:val="nil"/>
            </w:tcBorders>
            <w:shd w:val="clear" w:color="auto" w:fill="403152" w:themeFill="accent4" w:themeFillShade="80"/>
            <w:hideMark/>
          </w:tcPr>
          <w:p w14:paraId="4BBB3192" w14:textId="77777777" w:rsidR="00C9395A" w:rsidRPr="00D026FE" w:rsidRDefault="00C9395A" w:rsidP="007202B3">
            <w:pPr>
              <w:spacing w:before="60" w:after="0" w:line="276" w:lineRule="auto"/>
              <w:ind w:left="-198"/>
              <w:jc w:val="center"/>
              <w:rPr>
                <w:rFonts w:ascii="Optima" w:eastAsia="Times New Roman" w:hAnsi="Optima" w:cs="Calibri"/>
                <w:b/>
                <w:bCs/>
                <w:color w:val="FFFFFF" w:themeColor="background1"/>
                <w:sz w:val="19"/>
                <w:szCs w:val="19"/>
              </w:rPr>
            </w:pPr>
            <w:r w:rsidRPr="00D026FE">
              <w:rPr>
                <w:rFonts w:ascii="Optima" w:eastAsia="Times New Roman" w:hAnsi="Optima" w:cs="Calibri"/>
                <w:b/>
                <w:bCs/>
                <w:color w:val="FFFFFF" w:themeColor="background1"/>
                <w:sz w:val="19"/>
                <w:szCs w:val="19"/>
              </w:rPr>
              <w:t>0</w:t>
            </w:r>
            <w:r>
              <w:rPr>
                <w:rFonts w:ascii="Optima" w:eastAsia="Times New Roman" w:hAnsi="Optima" w:cs="Calibri"/>
                <w:b/>
                <w:bCs/>
                <w:color w:val="FFFFFF" w:themeColor="background1"/>
                <w:sz w:val="19"/>
                <w:szCs w:val="19"/>
              </w:rPr>
              <w:t>-</w:t>
            </w:r>
            <w:r w:rsidRPr="00D026FE">
              <w:rPr>
                <w:rFonts w:ascii="Optima" w:eastAsia="Times New Roman" w:hAnsi="Optima" w:cs="Calibri"/>
                <w:b/>
                <w:bCs/>
                <w:color w:val="FFFFFF" w:themeColor="background1"/>
                <w:sz w:val="19"/>
                <w:szCs w:val="19"/>
              </w:rPr>
              <w:t>11 Months</w:t>
            </w:r>
          </w:p>
        </w:tc>
        <w:tc>
          <w:tcPr>
            <w:tcW w:w="1710" w:type="dxa"/>
            <w:tcBorders>
              <w:top w:val="nil"/>
              <w:left w:val="nil"/>
              <w:right w:val="nil"/>
            </w:tcBorders>
            <w:shd w:val="clear" w:color="auto" w:fill="403152" w:themeFill="accent4" w:themeFillShade="80"/>
            <w:hideMark/>
          </w:tcPr>
          <w:p w14:paraId="676997B0" w14:textId="77777777" w:rsidR="00C9395A" w:rsidRPr="00D026FE" w:rsidRDefault="00C9395A" w:rsidP="007202B3">
            <w:pPr>
              <w:spacing w:before="60" w:after="0" w:line="276" w:lineRule="auto"/>
              <w:jc w:val="center"/>
              <w:rPr>
                <w:rFonts w:ascii="Optima" w:eastAsia="Times New Roman" w:hAnsi="Optima" w:cs="Calibri"/>
                <w:b/>
                <w:bCs/>
                <w:color w:val="FFFFFF" w:themeColor="background1"/>
                <w:sz w:val="19"/>
                <w:szCs w:val="19"/>
              </w:rPr>
            </w:pPr>
            <w:r w:rsidRPr="00D026FE">
              <w:rPr>
                <w:rFonts w:ascii="Optima" w:eastAsia="Times New Roman" w:hAnsi="Optima" w:cs="Calibri"/>
                <w:b/>
                <w:bCs/>
                <w:color w:val="FFFFFF" w:themeColor="background1"/>
                <w:sz w:val="19"/>
                <w:szCs w:val="19"/>
              </w:rPr>
              <w:t>12-24 Months</w:t>
            </w:r>
          </w:p>
        </w:tc>
        <w:tc>
          <w:tcPr>
            <w:tcW w:w="1530" w:type="dxa"/>
            <w:tcBorders>
              <w:top w:val="nil"/>
              <w:left w:val="nil"/>
              <w:right w:val="nil"/>
            </w:tcBorders>
            <w:shd w:val="clear" w:color="auto" w:fill="403152" w:themeFill="accent4" w:themeFillShade="80"/>
            <w:hideMark/>
          </w:tcPr>
          <w:p w14:paraId="58ED191F" w14:textId="77777777" w:rsidR="00C9395A" w:rsidRPr="00D026FE" w:rsidRDefault="00C9395A" w:rsidP="007202B3">
            <w:pPr>
              <w:spacing w:before="60" w:after="0" w:line="276" w:lineRule="auto"/>
              <w:jc w:val="center"/>
              <w:rPr>
                <w:rFonts w:ascii="Optima" w:eastAsia="Times New Roman" w:hAnsi="Optima" w:cs="Calibri"/>
                <w:b/>
                <w:bCs/>
                <w:color w:val="FFFFFF" w:themeColor="background1"/>
                <w:sz w:val="19"/>
                <w:szCs w:val="19"/>
              </w:rPr>
            </w:pPr>
            <w:r w:rsidRPr="00D026FE">
              <w:rPr>
                <w:rFonts w:ascii="Optima" w:eastAsia="Times New Roman" w:hAnsi="Optima" w:cs="Calibri"/>
                <w:b/>
                <w:bCs/>
                <w:color w:val="FFFFFF" w:themeColor="background1"/>
                <w:sz w:val="19"/>
                <w:szCs w:val="19"/>
              </w:rPr>
              <w:t>25+ Months</w:t>
            </w:r>
          </w:p>
        </w:tc>
      </w:tr>
      <w:tr w:rsidR="00C9395A" w:rsidRPr="00B05CDB" w14:paraId="011FE22A" w14:textId="77777777" w:rsidTr="00C76F2C">
        <w:trPr>
          <w:trHeight w:val="279"/>
          <w:tblHeader/>
          <w:jc w:val="center"/>
        </w:trPr>
        <w:tc>
          <w:tcPr>
            <w:tcW w:w="1890" w:type="dxa"/>
            <w:tcBorders>
              <w:top w:val="single" w:sz="4" w:space="0" w:color="BFBFBF" w:themeColor="background1" w:themeShade="BF"/>
              <w:right w:val="single" w:sz="2" w:space="0" w:color="D9D9D9" w:themeColor="background1" w:themeShade="D9"/>
            </w:tcBorders>
            <w:shd w:val="clear" w:color="auto" w:fill="215868" w:themeFill="accent5" w:themeFillShade="80"/>
            <w:vAlign w:val="center"/>
            <w:hideMark/>
          </w:tcPr>
          <w:p w14:paraId="0FBDC5C8" w14:textId="77777777" w:rsidR="00C9395A" w:rsidRPr="00D60934" w:rsidRDefault="00C9395A" w:rsidP="007202B3">
            <w:pPr>
              <w:spacing w:before="40" w:after="40" w:line="240" w:lineRule="auto"/>
              <w:ind w:left="76" w:right="71"/>
              <w:rPr>
                <w:rFonts w:ascii="Optima" w:eastAsia="Times New Roman" w:hAnsi="Optima" w:cs="Calibri"/>
                <w:b/>
                <w:bCs/>
                <w:color w:val="FFC000"/>
                <w:sz w:val="19"/>
                <w:szCs w:val="19"/>
              </w:rPr>
            </w:pPr>
            <w:r w:rsidRPr="00751054">
              <w:rPr>
                <w:rFonts w:ascii="Optima" w:eastAsia="Times New Roman" w:hAnsi="Optima" w:cs="Calibri"/>
                <w:b/>
                <w:bCs/>
                <w:color w:val="FFFFFF" w:themeColor="background1"/>
                <w:sz w:val="19"/>
                <w:szCs w:val="19"/>
              </w:rPr>
              <w:t>Level of Disability</w:t>
            </w:r>
          </w:p>
        </w:tc>
        <w:tc>
          <w:tcPr>
            <w:tcW w:w="1170" w:type="dxa"/>
            <w:tcBorders>
              <w:left w:val="single" w:sz="2" w:space="0" w:color="D9D9D9" w:themeColor="background1" w:themeShade="D9"/>
              <w:right w:val="nil"/>
            </w:tcBorders>
            <w:vAlign w:val="center"/>
          </w:tcPr>
          <w:p w14:paraId="7E59473E" w14:textId="77777777" w:rsidR="00C9395A" w:rsidRPr="00B05CDB" w:rsidRDefault="00C9395A" w:rsidP="007202B3">
            <w:pPr>
              <w:spacing w:before="40" w:after="40" w:line="240" w:lineRule="auto"/>
              <w:rPr>
                <w:rFonts w:ascii="Optima" w:eastAsia="Times New Roman" w:hAnsi="Optima" w:cs="Calibri"/>
                <w:b/>
                <w:bCs/>
                <w:color w:val="FFFFFF"/>
                <w:sz w:val="19"/>
                <w:szCs w:val="19"/>
              </w:rPr>
            </w:pPr>
          </w:p>
        </w:tc>
        <w:tc>
          <w:tcPr>
            <w:tcW w:w="1260" w:type="dxa"/>
            <w:tcBorders>
              <w:left w:val="nil"/>
              <w:right w:val="nil"/>
            </w:tcBorders>
            <w:shd w:val="clear" w:color="auto" w:fill="auto"/>
            <w:vAlign w:val="center"/>
            <w:hideMark/>
          </w:tcPr>
          <w:p w14:paraId="420F2191" w14:textId="77777777" w:rsidR="00C9395A" w:rsidRPr="00B05CDB" w:rsidRDefault="00C9395A" w:rsidP="007202B3">
            <w:pPr>
              <w:spacing w:before="40" w:after="40" w:line="240" w:lineRule="auto"/>
              <w:rPr>
                <w:rFonts w:ascii="Optima" w:eastAsia="Times New Roman" w:hAnsi="Optima" w:cs="Calibri"/>
                <w:b/>
                <w:bCs/>
                <w:color w:val="FFFFFF"/>
                <w:sz w:val="19"/>
                <w:szCs w:val="19"/>
              </w:rPr>
            </w:pPr>
          </w:p>
        </w:tc>
        <w:tc>
          <w:tcPr>
            <w:tcW w:w="1710" w:type="dxa"/>
            <w:tcBorders>
              <w:left w:val="nil"/>
              <w:right w:val="nil"/>
            </w:tcBorders>
            <w:shd w:val="clear" w:color="auto" w:fill="auto"/>
            <w:vAlign w:val="center"/>
            <w:hideMark/>
          </w:tcPr>
          <w:p w14:paraId="59877DE2" w14:textId="77777777" w:rsidR="00C9395A" w:rsidRPr="00B05CDB" w:rsidRDefault="00C9395A" w:rsidP="007202B3">
            <w:pPr>
              <w:spacing w:before="40" w:after="40" w:line="240" w:lineRule="auto"/>
              <w:rPr>
                <w:rFonts w:ascii="Optima" w:eastAsia="Times New Roman" w:hAnsi="Optima" w:cs="Calibri"/>
                <w:b/>
                <w:bCs/>
                <w:color w:val="FFFFFF"/>
                <w:sz w:val="19"/>
                <w:szCs w:val="19"/>
              </w:rPr>
            </w:pPr>
          </w:p>
        </w:tc>
        <w:tc>
          <w:tcPr>
            <w:tcW w:w="1530" w:type="dxa"/>
            <w:tcBorders>
              <w:left w:val="nil"/>
              <w:right w:val="nil"/>
            </w:tcBorders>
            <w:shd w:val="clear" w:color="auto" w:fill="auto"/>
            <w:vAlign w:val="center"/>
            <w:hideMark/>
          </w:tcPr>
          <w:p w14:paraId="3DF52882" w14:textId="77777777" w:rsidR="00C9395A" w:rsidRPr="00B05CDB" w:rsidRDefault="00C9395A" w:rsidP="007202B3">
            <w:pPr>
              <w:spacing w:before="40" w:after="40" w:line="240" w:lineRule="auto"/>
              <w:rPr>
                <w:rFonts w:ascii="Optima" w:eastAsia="Times New Roman" w:hAnsi="Optima" w:cs="Calibri"/>
                <w:b/>
                <w:bCs/>
                <w:color w:val="FFFFFF"/>
                <w:sz w:val="19"/>
                <w:szCs w:val="19"/>
              </w:rPr>
            </w:pPr>
          </w:p>
        </w:tc>
      </w:tr>
      <w:tr w:rsidR="00C9395A" w:rsidRPr="00B05CDB" w14:paraId="3B81686F" w14:textId="77777777" w:rsidTr="00C76F2C">
        <w:trPr>
          <w:trHeight w:val="374"/>
          <w:tblHeader/>
          <w:jc w:val="center"/>
        </w:trPr>
        <w:tc>
          <w:tcPr>
            <w:tcW w:w="1890" w:type="dxa"/>
            <w:tcBorders>
              <w:bottom w:val="single" w:sz="4" w:space="0" w:color="D9D9D9" w:themeColor="background1" w:themeShade="D9"/>
              <w:right w:val="single" w:sz="2" w:space="0" w:color="D9D9D9" w:themeColor="background1" w:themeShade="D9"/>
            </w:tcBorders>
            <w:shd w:val="clear" w:color="auto" w:fill="DAEEF3" w:themeFill="accent5" w:themeFillTint="33"/>
            <w:hideMark/>
          </w:tcPr>
          <w:p w14:paraId="3F341E0E" w14:textId="77777777" w:rsidR="00C9395A" w:rsidRPr="000C744C" w:rsidRDefault="00C9395A" w:rsidP="007202B3">
            <w:pPr>
              <w:spacing w:before="60" w:after="60" w:line="240" w:lineRule="auto"/>
              <w:ind w:left="328" w:right="529"/>
              <w:jc w:val="center"/>
              <w:rPr>
                <w:rFonts w:ascii="Optima" w:eastAsia="Times New Roman" w:hAnsi="Optima" w:cs="Calibri"/>
                <w:b/>
                <w:bCs/>
                <w:color w:val="000000" w:themeColor="text1"/>
                <w:sz w:val="19"/>
                <w:szCs w:val="19"/>
              </w:rPr>
            </w:pPr>
            <w:r w:rsidRPr="000C744C">
              <w:rPr>
                <w:b/>
                <w:bCs/>
                <w:noProof/>
                <w:color w:val="000000" w:themeColor="text1"/>
              </w:rPr>
              <mc:AlternateContent>
                <mc:Choice Requires="wps">
                  <w:drawing>
                    <wp:anchor distT="0" distB="0" distL="114300" distR="114300" simplePos="0" relativeHeight="251687949" behindDoc="0" locked="0" layoutInCell="1" allowOverlap="1" wp14:anchorId="3D284197" wp14:editId="6853F319">
                      <wp:simplePos x="0" y="0"/>
                      <wp:positionH relativeFrom="column">
                        <wp:posOffset>69215</wp:posOffset>
                      </wp:positionH>
                      <wp:positionV relativeFrom="paragraph">
                        <wp:posOffset>61595</wp:posOffset>
                      </wp:positionV>
                      <wp:extent cx="124460" cy="822960"/>
                      <wp:effectExtent l="38100" t="12700" r="15240" b="27940"/>
                      <wp:wrapNone/>
                      <wp:docPr id="16" name="Down Arrow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460" cy="822960"/>
                              </a:xfrm>
                              <a:prstGeom prst="downArrow">
                                <a:avLst/>
                              </a:prstGeom>
                              <a:solidFill>
                                <a:srgbClr val="FFFFFF"/>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817EA" id="Down Arrow 13" o:spid="_x0000_s1026" type="#_x0000_t67" alt="&quot;&quot;" style="position:absolute;margin-left:5.45pt;margin-top:4.85pt;width:9.8pt;height:64.8pt;z-index:251687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" adj="19967" strokecolor="black [3200]" strokeweight="1.5pt"/>
                  </w:pict>
                </mc:Fallback>
              </mc:AlternateContent>
            </w:r>
            <w:r w:rsidRPr="000C744C">
              <w:rPr>
                <w:rFonts w:ascii="Optima" w:eastAsia="Times New Roman" w:hAnsi="Optima" w:cs="Calibri"/>
                <w:b/>
                <w:bCs/>
                <w:color w:val="000000" w:themeColor="text1"/>
                <w:sz w:val="19"/>
                <w:szCs w:val="19"/>
              </w:rPr>
              <w:t>Tier 1</w:t>
            </w:r>
          </w:p>
        </w:tc>
        <w:tc>
          <w:tcPr>
            <w:tcW w:w="1170" w:type="dxa"/>
            <w:tcBorders>
              <w:left w:val="single" w:sz="2" w:space="0" w:color="D9D9D9" w:themeColor="background1" w:themeShade="D9"/>
              <w:bottom w:val="single" w:sz="4" w:space="0" w:color="D9D9D9" w:themeColor="background1" w:themeShade="D9"/>
              <w:right w:val="nil"/>
            </w:tcBorders>
            <w:shd w:val="clear" w:color="auto" w:fill="DAEEF3" w:themeFill="accent5" w:themeFillTint="33"/>
          </w:tcPr>
          <w:p w14:paraId="4D71CCCA" w14:textId="77777777" w:rsidR="00C9395A" w:rsidRPr="00B05CDB" w:rsidRDefault="00C9395A" w:rsidP="007202B3">
            <w:pPr>
              <w:spacing w:before="60" w:after="60" w:line="240" w:lineRule="auto"/>
              <w:jc w:val="center"/>
              <w:rPr>
                <w:rFonts w:ascii="Optima" w:eastAsia="Times New Roman" w:hAnsi="Optima" w:cs="Calibri"/>
                <w:color w:val="262626"/>
                <w:sz w:val="19"/>
                <w:szCs w:val="19"/>
              </w:rPr>
            </w:pPr>
          </w:p>
        </w:tc>
        <w:tc>
          <w:tcPr>
            <w:tcW w:w="1260" w:type="dxa"/>
            <w:tcBorders>
              <w:left w:val="nil"/>
              <w:bottom w:val="single" w:sz="4" w:space="0" w:color="D9D9D9" w:themeColor="background1" w:themeShade="D9"/>
              <w:right w:val="nil"/>
            </w:tcBorders>
            <w:shd w:val="clear" w:color="auto" w:fill="DAEEF3" w:themeFill="accent5" w:themeFillTint="33"/>
            <w:hideMark/>
          </w:tcPr>
          <w:p w14:paraId="21CA2E30" w14:textId="52134735"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95%</w:t>
            </w:r>
          </w:p>
        </w:tc>
        <w:tc>
          <w:tcPr>
            <w:tcW w:w="1710" w:type="dxa"/>
            <w:tcBorders>
              <w:left w:val="nil"/>
              <w:bottom w:val="single" w:sz="4" w:space="0" w:color="D9D9D9" w:themeColor="background1" w:themeShade="D9"/>
              <w:right w:val="nil"/>
            </w:tcBorders>
            <w:shd w:val="clear" w:color="auto" w:fill="DAEEF3" w:themeFill="accent5" w:themeFillTint="33"/>
            <w:hideMark/>
          </w:tcPr>
          <w:p w14:paraId="645AA1E1" w14:textId="083D9652" w:rsidR="00C9395A" w:rsidRPr="00603D1C" w:rsidRDefault="00C9395A" w:rsidP="00F526F7">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78%</w:t>
            </w:r>
          </w:p>
        </w:tc>
        <w:tc>
          <w:tcPr>
            <w:tcW w:w="1530" w:type="dxa"/>
            <w:tcBorders>
              <w:left w:val="nil"/>
              <w:bottom w:val="single" w:sz="4" w:space="0" w:color="D9D9D9" w:themeColor="background1" w:themeShade="D9"/>
              <w:right w:val="nil"/>
            </w:tcBorders>
            <w:shd w:val="clear" w:color="auto" w:fill="DAEEF3" w:themeFill="accent5" w:themeFillTint="33"/>
            <w:hideMark/>
          </w:tcPr>
          <w:p w14:paraId="040128A8" w14:textId="26F10AF1" w:rsidR="00C9395A" w:rsidRPr="00603D1C" w:rsidRDefault="00C9395A" w:rsidP="00F526F7">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60%</w:t>
            </w:r>
          </w:p>
        </w:tc>
      </w:tr>
      <w:tr w:rsidR="00C9395A" w:rsidRPr="00B05CDB" w14:paraId="08D51CCA" w14:textId="77777777" w:rsidTr="00C76F2C">
        <w:trPr>
          <w:trHeight w:val="374"/>
          <w:tblHeader/>
          <w:jc w:val="center"/>
        </w:trPr>
        <w:tc>
          <w:tcPr>
            <w:tcW w:w="1890" w:type="dxa"/>
            <w:tcBorders>
              <w:top w:val="single" w:sz="4" w:space="0" w:color="D9D9D9" w:themeColor="background1" w:themeShade="D9"/>
              <w:bottom w:val="single" w:sz="4" w:space="0" w:color="D9D9D9" w:themeColor="background1" w:themeShade="D9"/>
              <w:right w:val="single" w:sz="2" w:space="0" w:color="D9D9D9" w:themeColor="background1" w:themeShade="D9"/>
            </w:tcBorders>
            <w:shd w:val="clear" w:color="auto" w:fill="auto"/>
            <w:hideMark/>
          </w:tcPr>
          <w:p w14:paraId="6E903506" w14:textId="77777777" w:rsidR="00C9395A" w:rsidRPr="000C744C" w:rsidRDefault="00C9395A" w:rsidP="007202B3">
            <w:pPr>
              <w:spacing w:before="60" w:after="60" w:line="240" w:lineRule="auto"/>
              <w:ind w:left="328" w:right="529"/>
              <w:jc w:val="center"/>
              <w:rPr>
                <w:rFonts w:ascii="Optima" w:eastAsia="Times New Roman" w:hAnsi="Optima" w:cs="Calibri"/>
                <w:b/>
                <w:bCs/>
                <w:color w:val="000000" w:themeColor="text1"/>
                <w:sz w:val="19"/>
                <w:szCs w:val="19"/>
              </w:rPr>
            </w:pPr>
            <w:r w:rsidRPr="000C744C">
              <w:rPr>
                <w:rFonts w:ascii="Optima" w:eastAsia="Times New Roman" w:hAnsi="Optima" w:cs="Calibri"/>
                <w:b/>
                <w:bCs/>
                <w:color w:val="000000" w:themeColor="text1"/>
                <w:sz w:val="19"/>
                <w:szCs w:val="19"/>
              </w:rPr>
              <w:t>Tier 2</w:t>
            </w:r>
          </w:p>
        </w:tc>
        <w:tc>
          <w:tcPr>
            <w:tcW w:w="1170" w:type="dxa"/>
            <w:tcBorders>
              <w:top w:val="single" w:sz="4" w:space="0" w:color="D9D9D9" w:themeColor="background1" w:themeShade="D9"/>
              <w:left w:val="single" w:sz="2" w:space="0" w:color="D9D9D9" w:themeColor="background1" w:themeShade="D9"/>
              <w:bottom w:val="single" w:sz="4" w:space="0" w:color="D9D9D9" w:themeColor="background1" w:themeShade="D9"/>
              <w:right w:val="nil"/>
            </w:tcBorders>
          </w:tcPr>
          <w:p w14:paraId="2D4F2B0E" w14:textId="77777777" w:rsidR="00C9395A" w:rsidRPr="00B05CDB" w:rsidRDefault="00C9395A" w:rsidP="007202B3">
            <w:pPr>
              <w:spacing w:before="60" w:after="60" w:line="240" w:lineRule="auto"/>
              <w:jc w:val="center"/>
              <w:rPr>
                <w:rFonts w:ascii="Optima" w:eastAsia="Times New Roman" w:hAnsi="Optima" w:cs="Calibri"/>
                <w:color w:val="262626"/>
                <w:sz w:val="19"/>
                <w:szCs w:val="19"/>
              </w:rPr>
            </w:pPr>
          </w:p>
        </w:tc>
        <w:tc>
          <w:tcPr>
            <w:tcW w:w="126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513385F0" w14:textId="489FAF6B"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80%</w:t>
            </w:r>
          </w:p>
        </w:tc>
        <w:tc>
          <w:tcPr>
            <w:tcW w:w="171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40A61776" w14:textId="3DBC884E"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60%</w:t>
            </w:r>
          </w:p>
        </w:tc>
        <w:tc>
          <w:tcPr>
            <w:tcW w:w="153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3EDEEA73" w14:textId="4CC46F5C"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45%</w:t>
            </w:r>
          </w:p>
        </w:tc>
      </w:tr>
      <w:tr w:rsidR="00C9395A" w:rsidRPr="00B05CDB" w14:paraId="0C1921D1" w14:textId="77777777" w:rsidTr="00C76F2C">
        <w:trPr>
          <w:trHeight w:val="374"/>
          <w:tblHeader/>
          <w:jc w:val="center"/>
        </w:trPr>
        <w:tc>
          <w:tcPr>
            <w:tcW w:w="1890" w:type="dxa"/>
            <w:tcBorders>
              <w:top w:val="single" w:sz="4" w:space="0" w:color="D9D9D9" w:themeColor="background1" w:themeShade="D9"/>
              <w:bottom w:val="single" w:sz="4" w:space="0" w:color="D9D9D9" w:themeColor="background1" w:themeShade="D9"/>
              <w:right w:val="single" w:sz="2" w:space="0" w:color="D9D9D9" w:themeColor="background1" w:themeShade="D9"/>
            </w:tcBorders>
            <w:shd w:val="clear" w:color="auto" w:fill="DAEEF3" w:themeFill="accent5" w:themeFillTint="33"/>
            <w:hideMark/>
          </w:tcPr>
          <w:p w14:paraId="72BE3125" w14:textId="77777777" w:rsidR="00C9395A" w:rsidRPr="000C744C" w:rsidRDefault="00C9395A" w:rsidP="007202B3">
            <w:pPr>
              <w:spacing w:before="60" w:after="60" w:line="240" w:lineRule="auto"/>
              <w:ind w:left="328" w:right="529"/>
              <w:jc w:val="center"/>
              <w:rPr>
                <w:rFonts w:ascii="Optima" w:eastAsia="Times New Roman" w:hAnsi="Optima" w:cs="Calibri"/>
                <w:b/>
                <w:bCs/>
                <w:color w:val="000000" w:themeColor="text1"/>
                <w:sz w:val="19"/>
                <w:szCs w:val="19"/>
              </w:rPr>
            </w:pPr>
            <w:r w:rsidRPr="000C744C">
              <w:rPr>
                <w:rFonts w:ascii="Optima" w:eastAsia="Times New Roman" w:hAnsi="Optima" w:cs="Calibri"/>
                <w:b/>
                <w:bCs/>
                <w:color w:val="000000" w:themeColor="text1"/>
                <w:sz w:val="19"/>
                <w:szCs w:val="19"/>
              </w:rPr>
              <w:t>Tier 3</w:t>
            </w:r>
          </w:p>
        </w:tc>
        <w:tc>
          <w:tcPr>
            <w:tcW w:w="1170" w:type="dxa"/>
            <w:tcBorders>
              <w:top w:val="single" w:sz="4" w:space="0" w:color="D9D9D9" w:themeColor="background1" w:themeShade="D9"/>
              <w:left w:val="single" w:sz="2" w:space="0" w:color="D9D9D9" w:themeColor="background1" w:themeShade="D9"/>
              <w:bottom w:val="single" w:sz="4" w:space="0" w:color="D9D9D9" w:themeColor="background1" w:themeShade="D9"/>
              <w:right w:val="nil"/>
            </w:tcBorders>
            <w:shd w:val="clear" w:color="auto" w:fill="DAEEF3" w:themeFill="accent5" w:themeFillTint="33"/>
          </w:tcPr>
          <w:p w14:paraId="05704863" w14:textId="77777777" w:rsidR="00C9395A" w:rsidRPr="00B05CDB" w:rsidRDefault="00C9395A" w:rsidP="007202B3">
            <w:pPr>
              <w:spacing w:before="60" w:after="60" w:line="240" w:lineRule="auto"/>
              <w:jc w:val="center"/>
              <w:rPr>
                <w:rFonts w:ascii="Optima" w:eastAsia="Times New Roman" w:hAnsi="Optima" w:cs="Calibri"/>
                <w:color w:val="262626"/>
                <w:sz w:val="19"/>
                <w:szCs w:val="19"/>
              </w:rPr>
            </w:pPr>
          </w:p>
        </w:tc>
        <w:tc>
          <w:tcPr>
            <w:tcW w:w="126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3F95BFD4" w14:textId="31197CAE"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60%</w:t>
            </w:r>
          </w:p>
        </w:tc>
        <w:tc>
          <w:tcPr>
            <w:tcW w:w="171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6EECF4E4" w14:textId="04C5DAE0"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40%</w:t>
            </w:r>
          </w:p>
        </w:tc>
        <w:tc>
          <w:tcPr>
            <w:tcW w:w="1530" w:type="dxa"/>
            <w:tcBorders>
              <w:top w:val="single" w:sz="4" w:space="0" w:color="D9D9D9" w:themeColor="background1" w:themeShade="D9"/>
              <w:left w:val="nil"/>
              <w:bottom w:val="single" w:sz="4" w:space="0" w:color="D9D9D9" w:themeColor="background1" w:themeShade="D9"/>
              <w:right w:val="nil"/>
            </w:tcBorders>
            <w:shd w:val="clear" w:color="auto" w:fill="DAEEF3" w:themeFill="accent5" w:themeFillTint="33"/>
            <w:hideMark/>
          </w:tcPr>
          <w:p w14:paraId="137BB69B" w14:textId="7BBE40AF"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30%</w:t>
            </w:r>
          </w:p>
        </w:tc>
      </w:tr>
      <w:tr w:rsidR="00C9395A" w:rsidRPr="00B05CDB" w14:paraId="591A2C49" w14:textId="77777777" w:rsidTr="00C76F2C">
        <w:trPr>
          <w:trHeight w:val="374"/>
          <w:tblHeader/>
          <w:jc w:val="center"/>
        </w:trPr>
        <w:tc>
          <w:tcPr>
            <w:tcW w:w="1890" w:type="dxa"/>
            <w:tcBorders>
              <w:top w:val="single" w:sz="4" w:space="0" w:color="D9D9D9" w:themeColor="background1" w:themeShade="D9"/>
              <w:bottom w:val="single" w:sz="4" w:space="0" w:color="BFBFBF" w:themeColor="background1" w:themeShade="BF"/>
              <w:right w:val="single" w:sz="2" w:space="0" w:color="D9D9D9" w:themeColor="background1" w:themeShade="D9"/>
            </w:tcBorders>
            <w:shd w:val="clear" w:color="auto" w:fill="auto"/>
            <w:hideMark/>
          </w:tcPr>
          <w:p w14:paraId="3B3309AC" w14:textId="77777777" w:rsidR="00C9395A" w:rsidRPr="000C744C" w:rsidRDefault="00C9395A" w:rsidP="007202B3">
            <w:pPr>
              <w:spacing w:before="60" w:after="60" w:line="240" w:lineRule="auto"/>
              <w:ind w:left="328" w:right="529"/>
              <w:jc w:val="center"/>
              <w:rPr>
                <w:rFonts w:ascii="Optima" w:eastAsia="Times New Roman" w:hAnsi="Optima" w:cs="Calibri"/>
                <w:b/>
                <w:bCs/>
                <w:color w:val="000000" w:themeColor="text1"/>
                <w:sz w:val="19"/>
                <w:szCs w:val="19"/>
              </w:rPr>
            </w:pPr>
            <w:r w:rsidRPr="000C744C">
              <w:rPr>
                <w:rFonts w:ascii="Optima" w:eastAsia="Times New Roman" w:hAnsi="Optima" w:cs="Calibri"/>
                <w:b/>
                <w:bCs/>
                <w:color w:val="000000" w:themeColor="text1"/>
                <w:sz w:val="19"/>
                <w:szCs w:val="19"/>
              </w:rPr>
              <w:t>Tier 4</w:t>
            </w:r>
          </w:p>
        </w:tc>
        <w:tc>
          <w:tcPr>
            <w:tcW w:w="1170" w:type="dxa"/>
            <w:tcBorders>
              <w:top w:val="single" w:sz="4" w:space="0" w:color="D9D9D9" w:themeColor="background1" w:themeShade="D9"/>
              <w:left w:val="single" w:sz="2" w:space="0" w:color="D9D9D9" w:themeColor="background1" w:themeShade="D9"/>
              <w:bottom w:val="single" w:sz="4" w:space="0" w:color="D9D9D9" w:themeColor="background1" w:themeShade="D9"/>
              <w:right w:val="nil"/>
            </w:tcBorders>
          </w:tcPr>
          <w:p w14:paraId="3006CE8C" w14:textId="77777777" w:rsidR="00C9395A" w:rsidRPr="00B05CDB" w:rsidRDefault="00C9395A" w:rsidP="007202B3">
            <w:pPr>
              <w:spacing w:before="60" w:after="60" w:line="240" w:lineRule="auto"/>
              <w:jc w:val="center"/>
              <w:rPr>
                <w:rFonts w:ascii="Optima" w:eastAsia="Times New Roman" w:hAnsi="Optima" w:cs="Calibri"/>
                <w:color w:val="262626"/>
                <w:sz w:val="19"/>
                <w:szCs w:val="19"/>
              </w:rPr>
            </w:pPr>
          </w:p>
        </w:tc>
        <w:tc>
          <w:tcPr>
            <w:tcW w:w="126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102E9A24" w14:textId="39D0ECC3"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35%</w:t>
            </w:r>
          </w:p>
        </w:tc>
        <w:tc>
          <w:tcPr>
            <w:tcW w:w="171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66DC2347" w14:textId="356A823E"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30%</w:t>
            </w:r>
          </w:p>
        </w:tc>
        <w:tc>
          <w:tcPr>
            <w:tcW w:w="1530" w:type="dxa"/>
            <w:tcBorders>
              <w:top w:val="single" w:sz="4" w:space="0" w:color="D9D9D9" w:themeColor="background1" w:themeShade="D9"/>
              <w:left w:val="nil"/>
              <w:bottom w:val="single" w:sz="4" w:space="0" w:color="D9D9D9" w:themeColor="background1" w:themeShade="D9"/>
              <w:right w:val="nil"/>
            </w:tcBorders>
            <w:shd w:val="clear" w:color="auto" w:fill="auto"/>
            <w:hideMark/>
          </w:tcPr>
          <w:p w14:paraId="26425095" w14:textId="505F86AB" w:rsidR="00C9395A" w:rsidRPr="00603D1C" w:rsidRDefault="00C9395A" w:rsidP="007202B3">
            <w:pPr>
              <w:spacing w:before="60" w:after="60" w:line="240" w:lineRule="auto"/>
              <w:jc w:val="center"/>
              <w:rPr>
                <w:rFonts w:ascii="Optima" w:eastAsia="Times New Roman" w:hAnsi="Optima" w:cs="Calibri"/>
                <w:color w:val="262626" w:themeColor="text1" w:themeTint="D9"/>
                <w:sz w:val="19"/>
                <w:szCs w:val="19"/>
              </w:rPr>
            </w:pPr>
            <w:r w:rsidRPr="00603D1C">
              <w:rPr>
                <w:rFonts w:ascii="Optima" w:eastAsia="Times New Roman" w:hAnsi="Optima" w:cs="Calibri"/>
                <w:color w:val="262626" w:themeColor="text1" w:themeTint="D9"/>
                <w:sz w:val="19"/>
                <w:szCs w:val="19"/>
              </w:rPr>
              <w:t>24%</w:t>
            </w:r>
          </w:p>
        </w:tc>
      </w:tr>
    </w:tbl>
    <w:p w14:paraId="5763EEFB" w14:textId="3ADF8C7B" w:rsidR="00EF4862" w:rsidRDefault="00EF4862" w:rsidP="00264EBB">
      <w:pPr>
        <w:pStyle w:val="NoSpacing"/>
      </w:pPr>
    </w:p>
    <w:p w14:paraId="7E3C7185" w14:textId="77777777" w:rsidR="00901CCD" w:rsidRPr="00901CCD" w:rsidRDefault="00901CCD" w:rsidP="000024AE">
      <w:r w:rsidRPr="00901CCD">
        <w:t>The final percentages arrived in the above table were adjusted to ensure that there was sufficient incentive to bring new people into Supported Employment. This meant ensuring that the support percentages for the 0-11 Months timeframe were set slightly higher than the actual percentages for existing Individual Supported Employment participants. The final percentages were also adjusted to ensure that there was sufficient incentive to serve individuals in Tier 1, none of whom were yet involved in Individual Supported Employment. This meant ensuring that the support percentages for the Tier 1 individuals were set high enough to reflect the types of individuals in this tier.</w:t>
      </w:r>
    </w:p>
    <w:p w14:paraId="6FDBE989" w14:textId="77777777" w:rsidR="004D4C63" w:rsidRPr="009F2EF2" w:rsidRDefault="004D4C63" w:rsidP="00B11115">
      <w:pPr>
        <w:pStyle w:val="Heading3"/>
      </w:pPr>
      <w:bookmarkStart w:id="45" w:name="_Toc70944192"/>
      <w:r w:rsidRPr="009F2EF2">
        <w:t>Arriving at the Payments Per Hour Worked by the Supported Employee</w:t>
      </w:r>
      <w:bookmarkEnd w:id="45"/>
    </w:p>
    <w:p w14:paraId="711A4676" w14:textId="77777777" w:rsidR="00893839" w:rsidRDefault="00667BFD" w:rsidP="00893839">
      <w:pPr>
        <w:spacing w:after="240"/>
        <w:rPr>
          <w:rFonts w:ascii="Optima" w:hAnsi="Optima"/>
          <w:b/>
          <w:bCs/>
          <w:color w:val="FFFFFF" w:themeColor="background1"/>
          <w:sz w:val="19"/>
          <w:szCs w:val="19"/>
        </w:rPr>
      </w:pPr>
      <w:r w:rsidRPr="00667BFD">
        <w:t>At the time that this new outcome-based model was developed, the MCO was contracting with Supported Employment providers on an individual basis. This meant every provider had negotiated a different hourly fee-for-service reimbursement rate. While the rates were not widely spread to limit the amount of change providers were experiencing, the MCO used each provider’s existing reimbursement rate per hour of service (coaching) to calculate the outcome rates. As an example, assuming an underlying fee for service rate of $32/hour of job coaching service, the outcome-based rates were calculated as follows:</w:t>
      </w:r>
    </w:p>
    <w:tbl>
      <w:tblPr>
        <w:tblStyle w:val="GridTable3-Accent5"/>
        <w:tblW w:w="7560" w:type="dxa"/>
        <w:jc w:val="center"/>
        <w:tblBorders>
          <w:top w:val="none" w:sz="0" w:space="0" w:color="auto"/>
          <w:left w:val="none" w:sz="0" w:space="0" w:color="auto"/>
          <w:right w:val="none" w:sz="0" w:space="0" w:color="auto"/>
          <w:insideV w:val="none" w:sz="0" w:space="0" w:color="auto"/>
        </w:tblBorders>
        <w:tblLook w:val="0420" w:firstRow="1" w:lastRow="0" w:firstColumn="0" w:lastColumn="0" w:noHBand="0" w:noVBand="1"/>
        <w:tblCaption w:val="Acuity Tier in Months"/>
        <w:tblDescription w:val="Acuity Tier with months on the job using dollar amount."/>
      </w:tblPr>
      <w:tblGrid>
        <w:gridCol w:w="1800"/>
        <w:gridCol w:w="1890"/>
        <w:gridCol w:w="1980"/>
        <w:gridCol w:w="1890"/>
      </w:tblGrid>
      <w:tr w:rsidR="00F526F7" w:rsidRPr="009D3CFA" w14:paraId="183CC185" w14:textId="77777777" w:rsidTr="00C76F2C">
        <w:trPr>
          <w:cnfStyle w:val="100000000000" w:firstRow="1" w:lastRow="0" w:firstColumn="0" w:lastColumn="0" w:oddVBand="0" w:evenVBand="0" w:oddHBand="0" w:evenHBand="0" w:firstRowFirstColumn="0" w:firstRowLastColumn="0" w:lastRowFirstColumn="0" w:lastRowLastColumn="0"/>
          <w:trHeight w:hRule="exact" w:val="374"/>
          <w:jc w:val="center"/>
        </w:trPr>
        <w:tc>
          <w:tcPr>
            <w:tcW w:w="1800" w:type="dxa"/>
            <w:tcBorders>
              <w:top w:val="none" w:sz="0" w:space="0" w:color="auto"/>
              <w:left w:val="none" w:sz="0" w:space="0" w:color="auto"/>
              <w:bottom w:val="nil"/>
              <w:right w:val="none" w:sz="0" w:space="0" w:color="auto"/>
            </w:tcBorders>
            <w:shd w:val="clear" w:color="auto" w:fill="215868" w:themeFill="accent5" w:themeFillShade="80"/>
            <w:vAlign w:val="center"/>
            <w:hideMark/>
          </w:tcPr>
          <w:p w14:paraId="50EEDC49" w14:textId="354B7B64" w:rsidR="00893839" w:rsidRPr="009D3CFA" w:rsidRDefault="00893839" w:rsidP="00CA1889">
            <w:pPr>
              <w:spacing w:before="0" w:after="0" w:line="240" w:lineRule="auto"/>
              <w:jc w:val="center"/>
              <w:rPr>
                <w:rFonts w:ascii="Optima" w:hAnsi="Optima"/>
                <w:b w:val="0"/>
                <w:bCs w:val="0"/>
                <w:color w:val="FFFFFF" w:themeColor="background1"/>
                <w:sz w:val="19"/>
                <w:szCs w:val="19"/>
              </w:rPr>
            </w:pPr>
          </w:p>
        </w:tc>
        <w:tc>
          <w:tcPr>
            <w:tcW w:w="1890" w:type="dxa"/>
            <w:tcBorders>
              <w:top w:val="none" w:sz="0" w:space="0" w:color="auto"/>
              <w:left w:val="none" w:sz="0" w:space="0" w:color="auto"/>
              <w:bottom w:val="nil"/>
              <w:right w:val="none" w:sz="0" w:space="0" w:color="auto"/>
            </w:tcBorders>
            <w:shd w:val="clear" w:color="auto" w:fill="215868" w:themeFill="accent5" w:themeFillShade="80"/>
            <w:vAlign w:val="center"/>
            <w:hideMark/>
          </w:tcPr>
          <w:p w14:paraId="7685ACD7" w14:textId="77777777" w:rsidR="00893839" w:rsidRPr="009D3CFA" w:rsidRDefault="00893839" w:rsidP="00CA1889">
            <w:pPr>
              <w:spacing w:before="0" w:after="0" w:line="240" w:lineRule="auto"/>
              <w:jc w:val="center"/>
              <w:rPr>
                <w:rFonts w:ascii="Optima" w:hAnsi="Optima"/>
                <w:b w:val="0"/>
                <w:bCs w:val="0"/>
                <w:color w:val="FFFFFF" w:themeColor="background1"/>
                <w:sz w:val="19"/>
                <w:szCs w:val="19"/>
              </w:rPr>
            </w:pPr>
            <w:r w:rsidRPr="009D3CFA">
              <w:rPr>
                <w:rFonts w:ascii="Optima" w:hAnsi="Optima"/>
                <w:color w:val="FFFFFF" w:themeColor="background1"/>
                <w:sz w:val="19"/>
                <w:szCs w:val="19"/>
              </w:rPr>
              <w:t>0-11 Months on Job</w:t>
            </w:r>
          </w:p>
        </w:tc>
        <w:tc>
          <w:tcPr>
            <w:tcW w:w="1980" w:type="dxa"/>
            <w:tcBorders>
              <w:top w:val="none" w:sz="0" w:space="0" w:color="auto"/>
              <w:left w:val="none" w:sz="0" w:space="0" w:color="auto"/>
              <w:bottom w:val="nil"/>
              <w:right w:val="none" w:sz="0" w:space="0" w:color="auto"/>
            </w:tcBorders>
            <w:shd w:val="clear" w:color="auto" w:fill="215868" w:themeFill="accent5" w:themeFillShade="80"/>
            <w:vAlign w:val="center"/>
            <w:hideMark/>
          </w:tcPr>
          <w:p w14:paraId="0144A986" w14:textId="77777777" w:rsidR="00893839" w:rsidRPr="009D3CFA" w:rsidRDefault="00893839" w:rsidP="00CA1889">
            <w:pPr>
              <w:spacing w:before="0" w:after="0" w:line="240" w:lineRule="auto"/>
              <w:jc w:val="center"/>
              <w:rPr>
                <w:rFonts w:ascii="Optima" w:hAnsi="Optima"/>
                <w:b w:val="0"/>
                <w:bCs w:val="0"/>
                <w:color w:val="FFFFFF" w:themeColor="background1"/>
                <w:sz w:val="19"/>
                <w:szCs w:val="19"/>
              </w:rPr>
            </w:pPr>
            <w:r w:rsidRPr="009D3CFA">
              <w:rPr>
                <w:rFonts w:ascii="Optima" w:hAnsi="Optima"/>
                <w:color w:val="FFFFFF" w:themeColor="background1"/>
                <w:sz w:val="19"/>
                <w:szCs w:val="19"/>
              </w:rPr>
              <w:t>12-24 Months on Job</w:t>
            </w:r>
          </w:p>
        </w:tc>
        <w:tc>
          <w:tcPr>
            <w:tcW w:w="1890" w:type="dxa"/>
            <w:tcBorders>
              <w:top w:val="none" w:sz="0" w:space="0" w:color="auto"/>
              <w:left w:val="none" w:sz="0" w:space="0" w:color="auto"/>
              <w:bottom w:val="nil"/>
              <w:right w:val="none" w:sz="0" w:space="0" w:color="auto"/>
            </w:tcBorders>
            <w:shd w:val="clear" w:color="auto" w:fill="215868" w:themeFill="accent5" w:themeFillShade="80"/>
            <w:vAlign w:val="center"/>
            <w:hideMark/>
          </w:tcPr>
          <w:p w14:paraId="42281F12" w14:textId="77777777" w:rsidR="00893839" w:rsidRPr="009D3CFA" w:rsidRDefault="00893839" w:rsidP="00893839">
            <w:pPr>
              <w:spacing w:before="0" w:after="0" w:line="240" w:lineRule="auto"/>
              <w:jc w:val="center"/>
              <w:rPr>
                <w:rFonts w:ascii="Optima" w:hAnsi="Optima"/>
                <w:b w:val="0"/>
                <w:bCs w:val="0"/>
                <w:color w:val="FFFFFF" w:themeColor="background1"/>
                <w:sz w:val="19"/>
                <w:szCs w:val="19"/>
              </w:rPr>
            </w:pPr>
            <w:r w:rsidRPr="009D3CFA">
              <w:rPr>
                <w:rFonts w:ascii="Optima" w:hAnsi="Optima"/>
                <w:color w:val="FFFFFF" w:themeColor="background1"/>
                <w:sz w:val="19"/>
                <w:szCs w:val="19"/>
              </w:rPr>
              <w:t>25+ Months on Job</w:t>
            </w:r>
          </w:p>
        </w:tc>
      </w:tr>
      <w:tr w:rsidR="00F526F7" w:rsidRPr="00603D1C" w14:paraId="1D61F577" w14:textId="77777777" w:rsidTr="00C76F2C">
        <w:trPr>
          <w:cnfStyle w:val="000000100000" w:firstRow="0" w:lastRow="0" w:firstColumn="0" w:lastColumn="0" w:oddVBand="0" w:evenVBand="0" w:oddHBand="1" w:evenHBand="0" w:firstRowFirstColumn="0" w:firstRowLastColumn="0" w:lastRowFirstColumn="0" w:lastRowLastColumn="0"/>
          <w:trHeight w:hRule="exact" w:val="374"/>
          <w:jc w:val="center"/>
        </w:trPr>
        <w:tc>
          <w:tcPr>
            <w:tcW w:w="1800" w:type="dxa"/>
            <w:tcBorders>
              <w:top w:val="nil"/>
              <w:bottom w:val="single" w:sz="2" w:space="0" w:color="F2F2F2" w:themeColor="background1" w:themeShade="F2"/>
              <w:right w:val="single" w:sz="4" w:space="0" w:color="D9D9D9" w:themeColor="background1" w:themeShade="D9"/>
            </w:tcBorders>
            <w:vAlign w:val="center"/>
            <w:hideMark/>
          </w:tcPr>
          <w:p w14:paraId="6DD8D14C" w14:textId="77777777" w:rsidR="00893839" w:rsidRPr="00603D1C" w:rsidRDefault="00893839" w:rsidP="00CA1889">
            <w:pPr>
              <w:spacing w:before="0" w:after="0" w:line="240" w:lineRule="auto"/>
              <w:jc w:val="center"/>
              <w:rPr>
                <w:rFonts w:ascii="Optima" w:hAnsi="Optima"/>
                <w:sz w:val="19"/>
                <w:szCs w:val="19"/>
              </w:rPr>
            </w:pPr>
            <w:r w:rsidRPr="00603D1C">
              <w:rPr>
                <w:rFonts w:ascii="Optima" w:hAnsi="Optima"/>
                <w:sz w:val="19"/>
                <w:szCs w:val="19"/>
              </w:rPr>
              <w:t>Tier 1</w:t>
            </w:r>
          </w:p>
        </w:tc>
        <w:tc>
          <w:tcPr>
            <w:tcW w:w="1890" w:type="dxa"/>
            <w:tcBorders>
              <w:top w:val="nil"/>
              <w:left w:val="single" w:sz="4" w:space="0" w:color="D9D9D9" w:themeColor="background1" w:themeShade="D9"/>
              <w:bottom w:val="single" w:sz="2" w:space="0" w:color="F2F2F2" w:themeColor="background1" w:themeShade="F2"/>
            </w:tcBorders>
            <w:vAlign w:val="center"/>
            <w:hideMark/>
          </w:tcPr>
          <w:p w14:paraId="31E2437A" w14:textId="77777777" w:rsidR="00893839" w:rsidRPr="00603D1C" w:rsidRDefault="00893839" w:rsidP="00CA1889">
            <w:pPr>
              <w:spacing w:before="0" w:after="0" w:line="240" w:lineRule="auto"/>
              <w:ind w:right="164"/>
              <w:jc w:val="center"/>
              <w:rPr>
                <w:rFonts w:ascii="Optima" w:hAnsi="Optima"/>
                <w:sz w:val="19"/>
                <w:szCs w:val="19"/>
              </w:rPr>
            </w:pPr>
            <w:r w:rsidRPr="00603D1C">
              <w:rPr>
                <w:rFonts w:ascii="Optima" w:hAnsi="Optima"/>
                <w:sz w:val="19"/>
                <w:szCs w:val="19"/>
              </w:rPr>
              <w:t>$30.40</w:t>
            </w:r>
          </w:p>
        </w:tc>
        <w:tc>
          <w:tcPr>
            <w:tcW w:w="1980" w:type="dxa"/>
            <w:tcBorders>
              <w:top w:val="nil"/>
              <w:bottom w:val="single" w:sz="2" w:space="0" w:color="F2F2F2" w:themeColor="background1" w:themeShade="F2"/>
            </w:tcBorders>
            <w:vAlign w:val="center"/>
            <w:hideMark/>
          </w:tcPr>
          <w:p w14:paraId="50436454" w14:textId="77777777" w:rsidR="00893839" w:rsidRPr="00603D1C" w:rsidRDefault="00893839" w:rsidP="00CA1889">
            <w:pPr>
              <w:spacing w:before="0" w:after="0" w:line="240" w:lineRule="auto"/>
              <w:ind w:right="158"/>
              <w:jc w:val="center"/>
              <w:rPr>
                <w:rFonts w:ascii="Optima" w:hAnsi="Optima"/>
                <w:sz w:val="19"/>
                <w:szCs w:val="19"/>
              </w:rPr>
            </w:pPr>
            <w:r w:rsidRPr="00603D1C">
              <w:rPr>
                <w:rFonts w:ascii="Optima" w:hAnsi="Optima"/>
                <w:sz w:val="19"/>
                <w:szCs w:val="19"/>
              </w:rPr>
              <w:t>$24.96</w:t>
            </w:r>
          </w:p>
        </w:tc>
        <w:tc>
          <w:tcPr>
            <w:tcW w:w="1890" w:type="dxa"/>
            <w:tcBorders>
              <w:top w:val="nil"/>
              <w:bottom w:val="single" w:sz="2" w:space="0" w:color="F2F2F2" w:themeColor="background1" w:themeShade="F2"/>
            </w:tcBorders>
            <w:vAlign w:val="center"/>
            <w:hideMark/>
          </w:tcPr>
          <w:p w14:paraId="446CCF85" w14:textId="77777777" w:rsidR="00893839" w:rsidRPr="00603D1C" w:rsidRDefault="00893839" w:rsidP="00CA1889">
            <w:pPr>
              <w:spacing w:before="0" w:after="0" w:line="240" w:lineRule="auto"/>
              <w:ind w:right="173"/>
              <w:jc w:val="center"/>
              <w:rPr>
                <w:rFonts w:ascii="Optima" w:hAnsi="Optima"/>
                <w:sz w:val="19"/>
                <w:szCs w:val="19"/>
              </w:rPr>
            </w:pPr>
            <w:r w:rsidRPr="00603D1C">
              <w:rPr>
                <w:rFonts w:ascii="Optima" w:hAnsi="Optima"/>
                <w:sz w:val="19"/>
                <w:szCs w:val="19"/>
              </w:rPr>
              <w:t>$19.20</w:t>
            </w:r>
          </w:p>
        </w:tc>
      </w:tr>
      <w:tr w:rsidR="00F526F7" w:rsidRPr="00603D1C" w14:paraId="6456FC25" w14:textId="77777777" w:rsidTr="00C76F2C">
        <w:trPr>
          <w:trHeight w:hRule="exact" w:val="374"/>
          <w:jc w:val="center"/>
        </w:trPr>
        <w:tc>
          <w:tcPr>
            <w:tcW w:w="1800" w:type="dxa"/>
            <w:tcBorders>
              <w:top w:val="single" w:sz="2" w:space="0" w:color="F2F2F2" w:themeColor="background1" w:themeShade="F2"/>
              <w:bottom w:val="single" w:sz="2" w:space="0" w:color="F2F2F2" w:themeColor="background1" w:themeShade="F2"/>
              <w:right w:val="single" w:sz="4" w:space="0" w:color="D9D9D9" w:themeColor="background1" w:themeShade="D9"/>
            </w:tcBorders>
            <w:vAlign w:val="center"/>
            <w:hideMark/>
          </w:tcPr>
          <w:p w14:paraId="52128908" w14:textId="77777777" w:rsidR="00893839" w:rsidRPr="00603D1C" w:rsidRDefault="00893839" w:rsidP="00CA1889">
            <w:pPr>
              <w:spacing w:before="0" w:after="0" w:line="240" w:lineRule="auto"/>
              <w:jc w:val="center"/>
              <w:rPr>
                <w:rFonts w:ascii="Optima" w:hAnsi="Optima"/>
                <w:sz w:val="19"/>
                <w:szCs w:val="19"/>
              </w:rPr>
            </w:pPr>
            <w:r w:rsidRPr="00603D1C">
              <w:rPr>
                <w:rFonts w:ascii="Optima" w:hAnsi="Optima"/>
                <w:sz w:val="19"/>
                <w:szCs w:val="19"/>
              </w:rPr>
              <w:t>Tier 2</w:t>
            </w:r>
          </w:p>
        </w:tc>
        <w:tc>
          <w:tcPr>
            <w:tcW w:w="1890" w:type="dxa"/>
            <w:tcBorders>
              <w:top w:val="single" w:sz="2" w:space="0" w:color="F2F2F2" w:themeColor="background1" w:themeShade="F2"/>
              <w:left w:val="single" w:sz="4" w:space="0" w:color="D9D9D9" w:themeColor="background1" w:themeShade="D9"/>
              <w:bottom w:val="single" w:sz="2" w:space="0" w:color="F2F2F2" w:themeColor="background1" w:themeShade="F2"/>
            </w:tcBorders>
            <w:vAlign w:val="center"/>
            <w:hideMark/>
          </w:tcPr>
          <w:p w14:paraId="2C1FD797" w14:textId="77777777" w:rsidR="00893839" w:rsidRPr="00603D1C" w:rsidRDefault="00893839" w:rsidP="00CA1889">
            <w:pPr>
              <w:spacing w:before="0" w:after="0" w:line="240" w:lineRule="auto"/>
              <w:ind w:right="164"/>
              <w:jc w:val="center"/>
              <w:rPr>
                <w:rFonts w:ascii="Optima" w:hAnsi="Optima"/>
                <w:sz w:val="19"/>
                <w:szCs w:val="19"/>
              </w:rPr>
            </w:pPr>
            <w:r w:rsidRPr="00603D1C">
              <w:rPr>
                <w:rFonts w:ascii="Optima" w:hAnsi="Optima"/>
                <w:sz w:val="19"/>
                <w:szCs w:val="19"/>
              </w:rPr>
              <w:t>$25.60</w:t>
            </w:r>
          </w:p>
        </w:tc>
        <w:tc>
          <w:tcPr>
            <w:tcW w:w="1980" w:type="dxa"/>
            <w:tcBorders>
              <w:top w:val="single" w:sz="2" w:space="0" w:color="F2F2F2" w:themeColor="background1" w:themeShade="F2"/>
              <w:bottom w:val="single" w:sz="2" w:space="0" w:color="F2F2F2" w:themeColor="background1" w:themeShade="F2"/>
            </w:tcBorders>
            <w:vAlign w:val="center"/>
            <w:hideMark/>
          </w:tcPr>
          <w:p w14:paraId="5C9E93F8" w14:textId="77777777" w:rsidR="00893839" w:rsidRPr="00603D1C" w:rsidRDefault="00893839" w:rsidP="00CA1889">
            <w:pPr>
              <w:spacing w:before="0" w:after="0" w:line="240" w:lineRule="auto"/>
              <w:ind w:right="158"/>
              <w:jc w:val="center"/>
              <w:rPr>
                <w:rFonts w:ascii="Optima" w:hAnsi="Optima"/>
                <w:sz w:val="19"/>
                <w:szCs w:val="19"/>
              </w:rPr>
            </w:pPr>
            <w:r w:rsidRPr="00603D1C">
              <w:rPr>
                <w:rFonts w:ascii="Optima" w:hAnsi="Optima"/>
                <w:sz w:val="19"/>
                <w:szCs w:val="19"/>
              </w:rPr>
              <w:t>$19.20</w:t>
            </w:r>
          </w:p>
        </w:tc>
        <w:tc>
          <w:tcPr>
            <w:tcW w:w="1890" w:type="dxa"/>
            <w:tcBorders>
              <w:top w:val="single" w:sz="2" w:space="0" w:color="F2F2F2" w:themeColor="background1" w:themeShade="F2"/>
              <w:bottom w:val="single" w:sz="2" w:space="0" w:color="F2F2F2" w:themeColor="background1" w:themeShade="F2"/>
            </w:tcBorders>
            <w:vAlign w:val="center"/>
            <w:hideMark/>
          </w:tcPr>
          <w:p w14:paraId="4A9F824F" w14:textId="77777777" w:rsidR="00893839" w:rsidRPr="00603D1C" w:rsidRDefault="00893839" w:rsidP="00CA1889">
            <w:pPr>
              <w:spacing w:before="0" w:after="0" w:line="240" w:lineRule="auto"/>
              <w:ind w:right="173"/>
              <w:jc w:val="center"/>
              <w:rPr>
                <w:rFonts w:ascii="Optima" w:hAnsi="Optima"/>
                <w:sz w:val="19"/>
                <w:szCs w:val="19"/>
              </w:rPr>
            </w:pPr>
            <w:r w:rsidRPr="00603D1C">
              <w:rPr>
                <w:rFonts w:ascii="Optima" w:hAnsi="Optima"/>
                <w:sz w:val="19"/>
                <w:szCs w:val="19"/>
              </w:rPr>
              <w:t>$14.40</w:t>
            </w:r>
          </w:p>
        </w:tc>
      </w:tr>
      <w:tr w:rsidR="00F526F7" w:rsidRPr="00603D1C" w14:paraId="7FBBD9C6" w14:textId="77777777" w:rsidTr="00C76F2C">
        <w:trPr>
          <w:cnfStyle w:val="000000100000" w:firstRow="0" w:lastRow="0" w:firstColumn="0" w:lastColumn="0" w:oddVBand="0" w:evenVBand="0" w:oddHBand="1" w:evenHBand="0" w:firstRowFirstColumn="0" w:firstRowLastColumn="0" w:lastRowFirstColumn="0" w:lastRowLastColumn="0"/>
          <w:trHeight w:hRule="exact" w:val="374"/>
          <w:jc w:val="center"/>
        </w:trPr>
        <w:tc>
          <w:tcPr>
            <w:tcW w:w="1800" w:type="dxa"/>
            <w:tcBorders>
              <w:top w:val="single" w:sz="2" w:space="0" w:color="F2F2F2" w:themeColor="background1" w:themeShade="F2"/>
              <w:bottom w:val="single" w:sz="2" w:space="0" w:color="F2F2F2" w:themeColor="background1" w:themeShade="F2"/>
              <w:right w:val="single" w:sz="4" w:space="0" w:color="D9D9D9" w:themeColor="background1" w:themeShade="D9"/>
            </w:tcBorders>
            <w:vAlign w:val="center"/>
            <w:hideMark/>
          </w:tcPr>
          <w:p w14:paraId="78140369" w14:textId="77777777" w:rsidR="00893839" w:rsidRPr="00603D1C" w:rsidRDefault="00893839" w:rsidP="00CA1889">
            <w:pPr>
              <w:spacing w:before="0" w:after="0" w:line="240" w:lineRule="auto"/>
              <w:jc w:val="center"/>
              <w:rPr>
                <w:rFonts w:ascii="Optima" w:hAnsi="Optima"/>
                <w:sz w:val="19"/>
                <w:szCs w:val="19"/>
              </w:rPr>
            </w:pPr>
            <w:r w:rsidRPr="00603D1C">
              <w:rPr>
                <w:rFonts w:ascii="Optima" w:hAnsi="Optima"/>
                <w:sz w:val="19"/>
                <w:szCs w:val="19"/>
              </w:rPr>
              <w:t>Tier 3</w:t>
            </w:r>
          </w:p>
        </w:tc>
        <w:tc>
          <w:tcPr>
            <w:tcW w:w="1890" w:type="dxa"/>
            <w:tcBorders>
              <w:top w:val="single" w:sz="2" w:space="0" w:color="F2F2F2" w:themeColor="background1" w:themeShade="F2"/>
              <w:left w:val="single" w:sz="4" w:space="0" w:color="D9D9D9" w:themeColor="background1" w:themeShade="D9"/>
              <w:bottom w:val="single" w:sz="2" w:space="0" w:color="F2F2F2" w:themeColor="background1" w:themeShade="F2"/>
            </w:tcBorders>
            <w:vAlign w:val="center"/>
            <w:hideMark/>
          </w:tcPr>
          <w:p w14:paraId="32D3C988" w14:textId="77777777" w:rsidR="00893839" w:rsidRPr="00603D1C" w:rsidRDefault="00893839" w:rsidP="00CA1889">
            <w:pPr>
              <w:spacing w:before="0" w:after="0" w:line="240" w:lineRule="auto"/>
              <w:ind w:right="164"/>
              <w:jc w:val="center"/>
              <w:rPr>
                <w:rFonts w:ascii="Optima" w:hAnsi="Optima"/>
                <w:sz w:val="19"/>
                <w:szCs w:val="19"/>
              </w:rPr>
            </w:pPr>
            <w:r w:rsidRPr="00603D1C">
              <w:rPr>
                <w:rFonts w:ascii="Optima" w:hAnsi="Optima"/>
                <w:sz w:val="19"/>
                <w:szCs w:val="19"/>
              </w:rPr>
              <w:t>$19.20</w:t>
            </w:r>
          </w:p>
        </w:tc>
        <w:tc>
          <w:tcPr>
            <w:tcW w:w="1980" w:type="dxa"/>
            <w:tcBorders>
              <w:top w:val="single" w:sz="2" w:space="0" w:color="F2F2F2" w:themeColor="background1" w:themeShade="F2"/>
              <w:bottom w:val="single" w:sz="2" w:space="0" w:color="F2F2F2" w:themeColor="background1" w:themeShade="F2"/>
            </w:tcBorders>
            <w:vAlign w:val="center"/>
            <w:hideMark/>
          </w:tcPr>
          <w:p w14:paraId="01E73FF3" w14:textId="77777777" w:rsidR="00893839" w:rsidRPr="00603D1C" w:rsidRDefault="00893839" w:rsidP="00CA1889">
            <w:pPr>
              <w:spacing w:before="0" w:after="0" w:line="240" w:lineRule="auto"/>
              <w:ind w:right="158"/>
              <w:jc w:val="center"/>
              <w:rPr>
                <w:rFonts w:ascii="Optima" w:hAnsi="Optima"/>
                <w:sz w:val="19"/>
                <w:szCs w:val="19"/>
              </w:rPr>
            </w:pPr>
            <w:r w:rsidRPr="00603D1C">
              <w:rPr>
                <w:rFonts w:ascii="Optima" w:hAnsi="Optima"/>
                <w:sz w:val="19"/>
                <w:szCs w:val="19"/>
              </w:rPr>
              <w:t>$12.80</w:t>
            </w:r>
          </w:p>
        </w:tc>
        <w:tc>
          <w:tcPr>
            <w:tcW w:w="1890" w:type="dxa"/>
            <w:tcBorders>
              <w:top w:val="single" w:sz="2" w:space="0" w:color="F2F2F2" w:themeColor="background1" w:themeShade="F2"/>
              <w:bottom w:val="single" w:sz="2" w:space="0" w:color="F2F2F2" w:themeColor="background1" w:themeShade="F2"/>
            </w:tcBorders>
            <w:vAlign w:val="center"/>
            <w:hideMark/>
          </w:tcPr>
          <w:p w14:paraId="1F8D0314" w14:textId="77777777" w:rsidR="00893839" w:rsidRPr="00603D1C" w:rsidRDefault="00893839" w:rsidP="00CA1889">
            <w:pPr>
              <w:spacing w:before="0" w:after="0" w:line="240" w:lineRule="auto"/>
              <w:ind w:right="173"/>
              <w:jc w:val="center"/>
              <w:rPr>
                <w:rFonts w:ascii="Optima" w:hAnsi="Optima"/>
                <w:sz w:val="19"/>
                <w:szCs w:val="19"/>
              </w:rPr>
            </w:pPr>
            <w:r w:rsidRPr="00603D1C">
              <w:rPr>
                <w:rFonts w:ascii="Optima" w:hAnsi="Optima"/>
                <w:sz w:val="19"/>
                <w:szCs w:val="19"/>
              </w:rPr>
              <w:t>$9.60</w:t>
            </w:r>
          </w:p>
        </w:tc>
      </w:tr>
      <w:tr w:rsidR="00F526F7" w:rsidRPr="00603D1C" w14:paraId="5F2BC65D" w14:textId="77777777" w:rsidTr="00C76F2C">
        <w:trPr>
          <w:trHeight w:hRule="exact" w:val="374"/>
          <w:jc w:val="center"/>
        </w:trPr>
        <w:tc>
          <w:tcPr>
            <w:tcW w:w="1800" w:type="dxa"/>
            <w:tcBorders>
              <w:top w:val="single" w:sz="2" w:space="0" w:color="F2F2F2" w:themeColor="background1" w:themeShade="F2"/>
              <w:bottom w:val="single" w:sz="2" w:space="0" w:color="F2F2F2" w:themeColor="background1" w:themeShade="F2"/>
              <w:right w:val="single" w:sz="4" w:space="0" w:color="D9D9D9" w:themeColor="background1" w:themeShade="D9"/>
            </w:tcBorders>
            <w:vAlign w:val="center"/>
            <w:hideMark/>
          </w:tcPr>
          <w:p w14:paraId="649E8B05" w14:textId="77777777" w:rsidR="00893839" w:rsidRPr="00603D1C" w:rsidRDefault="00893839" w:rsidP="00CA1889">
            <w:pPr>
              <w:spacing w:before="0" w:after="0" w:line="240" w:lineRule="auto"/>
              <w:jc w:val="center"/>
              <w:rPr>
                <w:rFonts w:ascii="Optima" w:hAnsi="Optima"/>
                <w:sz w:val="19"/>
                <w:szCs w:val="19"/>
              </w:rPr>
            </w:pPr>
            <w:r w:rsidRPr="00603D1C">
              <w:rPr>
                <w:rFonts w:ascii="Optima" w:hAnsi="Optima"/>
                <w:sz w:val="19"/>
                <w:szCs w:val="19"/>
              </w:rPr>
              <w:t>Tier 4</w:t>
            </w:r>
          </w:p>
        </w:tc>
        <w:tc>
          <w:tcPr>
            <w:tcW w:w="1890" w:type="dxa"/>
            <w:tcBorders>
              <w:top w:val="single" w:sz="2" w:space="0" w:color="F2F2F2" w:themeColor="background1" w:themeShade="F2"/>
              <w:left w:val="single" w:sz="4" w:space="0" w:color="D9D9D9" w:themeColor="background1" w:themeShade="D9"/>
              <w:bottom w:val="single" w:sz="2" w:space="0" w:color="F2F2F2" w:themeColor="background1" w:themeShade="F2"/>
            </w:tcBorders>
            <w:vAlign w:val="center"/>
            <w:hideMark/>
          </w:tcPr>
          <w:p w14:paraId="31483607" w14:textId="77777777" w:rsidR="00893839" w:rsidRPr="00603D1C" w:rsidRDefault="00893839" w:rsidP="00CA1889">
            <w:pPr>
              <w:spacing w:before="0" w:after="0" w:line="240" w:lineRule="auto"/>
              <w:ind w:right="164"/>
              <w:jc w:val="center"/>
              <w:rPr>
                <w:rFonts w:ascii="Optima" w:hAnsi="Optima"/>
                <w:sz w:val="19"/>
                <w:szCs w:val="19"/>
              </w:rPr>
            </w:pPr>
            <w:r w:rsidRPr="00603D1C">
              <w:rPr>
                <w:rFonts w:ascii="Optima" w:hAnsi="Optima"/>
                <w:sz w:val="19"/>
                <w:szCs w:val="19"/>
              </w:rPr>
              <w:t>$11.20</w:t>
            </w:r>
          </w:p>
        </w:tc>
        <w:tc>
          <w:tcPr>
            <w:tcW w:w="1980" w:type="dxa"/>
            <w:tcBorders>
              <w:top w:val="single" w:sz="2" w:space="0" w:color="F2F2F2" w:themeColor="background1" w:themeShade="F2"/>
              <w:bottom w:val="single" w:sz="2" w:space="0" w:color="F2F2F2" w:themeColor="background1" w:themeShade="F2"/>
            </w:tcBorders>
            <w:vAlign w:val="center"/>
            <w:hideMark/>
          </w:tcPr>
          <w:p w14:paraId="3A4D8402" w14:textId="77777777" w:rsidR="00893839" w:rsidRPr="00603D1C" w:rsidRDefault="00893839" w:rsidP="00CA1889">
            <w:pPr>
              <w:spacing w:before="0" w:after="0" w:line="240" w:lineRule="auto"/>
              <w:ind w:right="158"/>
              <w:jc w:val="center"/>
              <w:rPr>
                <w:rFonts w:ascii="Optima" w:hAnsi="Optima"/>
                <w:sz w:val="19"/>
                <w:szCs w:val="19"/>
              </w:rPr>
            </w:pPr>
            <w:r w:rsidRPr="00603D1C">
              <w:rPr>
                <w:rFonts w:ascii="Optima" w:hAnsi="Optima"/>
                <w:sz w:val="19"/>
                <w:szCs w:val="19"/>
              </w:rPr>
              <w:t>$9.60</w:t>
            </w:r>
          </w:p>
        </w:tc>
        <w:tc>
          <w:tcPr>
            <w:tcW w:w="1890" w:type="dxa"/>
            <w:tcBorders>
              <w:top w:val="single" w:sz="2" w:space="0" w:color="F2F2F2" w:themeColor="background1" w:themeShade="F2"/>
              <w:bottom w:val="single" w:sz="2" w:space="0" w:color="F2F2F2" w:themeColor="background1" w:themeShade="F2"/>
            </w:tcBorders>
            <w:vAlign w:val="center"/>
            <w:hideMark/>
          </w:tcPr>
          <w:p w14:paraId="4ACE15EB" w14:textId="77777777" w:rsidR="00893839" w:rsidRPr="00603D1C" w:rsidRDefault="00893839" w:rsidP="00CA1889">
            <w:pPr>
              <w:spacing w:before="0" w:after="0" w:line="240" w:lineRule="auto"/>
              <w:ind w:right="173"/>
              <w:jc w:val="center"/>
              <w:rPr>
                <w:rFonts w:ascii="Optima" w:hAnsi="Optima"/>
                <w:sz w:val="19"/>
                <w:szCs w:val="19"/>
              </w:rPr>
            </w:pPr>
            <w:r w:rsidRPr="00603D1C">
              <w:rPr>
                <w:rFonts w:ascii="Optima" w:hAnsi="Optima"/>
                <w:sz w:val="19"/>
                <w:szCs w:val="19"/>
              </w:rPr>
              <w:t>$7.68</w:t>
            </w:r>
          </w:p>
        </w:tc>
      </w:tr>
    </w:tbl>
    <w:p w14:paraId="6CF775E4" w14:textId="77777777" w:rsidR="00893839" w:rsidRDefault="00893839" w:rsidP="00A823AF">
      <w:pPr>
        <w:pStyle w:val="NoSpacing"/>
      </w:pPr>
    </w:p>
    <w:p w14:paraId="638FFBA9" w14:textId="180E058B" w:rsidR="007B6EE7" w:rsidRDefault="0064649B" w:rsidP="00893839">
      <w:pPr>
        <w:spacing w:after="240"/>
      </w:pPr>
      <w:r w:rsidRPr="0064649B">
        <w:t>These rates are calculated by taking the job coaching target percentage for each tier/phase, as outlined in the table on the previous page, and multiplying that percentage by the cost per hour of job coaching: in this example, $32/hour is used</w:t>
      </w:r>
      <w:r w:rsidR="006677B7">
        <w:t xml:space="preserve">. </w:t>
      </w:r>
    </w:p>
    <w:p w14:paraId="25B67D5B" w14:textId="77777777" w:rsidR="0064649B" w:rsidRPr="0064649B" w:rsidRDefault="0064649B" w:rsidP="00B1367E">
      <w:r w:rsidRPr="0064649B">
        <w:t>Note</w:t>
      </w:r>
      <w:r w:rsidR="00D10210">
        <w:t xml:space="preserve">: </w:t>
      </w:r>
      <w:r w:rsidRPr="0064649B">
        <w:t xml:space="preserve">The assumption that an hour of job coaching time cost the provider $32 was based on 2011 provider operating costs and based on the assumption that any service </w:t>
      </w:r>
      <w:r w:rsidRPr="0064649B">
        <w:rPr>
          <w:i/>
        </w:rPr>
        <w:t>on behalf of the individual</w:t>
      </w:r>
      <w:r w:rsidRPr="0064649B">
        <w:t xml:space="preserve"> is billable, not only face-to-face time.</w:t>
      </w:r>
    </w:p>
    <w:p w14:paraId="64F3C24E" w14:textId="77777777" w:rsidR="004D4C63" w:rsidRPr="00A049B4" w:rsidRDefault="004D4C63" w:rsidP="00B11115">
      <w:pPr>
        <w:pStyle w:val="Heading3"/>
      </w:pPr>
      <w:bookmarkStart w:id="46" w:name="_Toc70944193"/>
      <w:r w:rsidRPr="00A049B4">
        <w:t>Ongoing Payment for Job Coaching</w:t>
      </w:r>
      <w:bookmarkEnd w:id="46"/>
    </w:p>
    <w:p w14:paraId="767217A7" w14:textId="77777777" w:rsidR="0064649B" w:rsidRPr="0064649B" w:rsidRDefault="0064649B" w:rsidP="00B1367E">
      <w:r w:rsidRPr="0064649B">
        <w:t xml:space="preserve">Payment is made based on supported employee hours worked, regardless of how much job coaching the person may be receiving from the provider. A required minimum monthly check-in ensures that there is proper </w:t>
      </w:r>
      <w:r w:rsidRPr="0064649B">
        <w:rPr>
          <w:rFonts w:eastAsia="Times New Roman"/>
          <w:color w:val="000000"/>
          <w:kern w:val="24"/>
        </w:rPr>
        <w:t xml:space="preserve">support for the prevention of job loss and ongoing ability to identify opportunities for increased hours and/or advancement. </w:t>
      </w:r>
      <w:r w:rsidRPr="00B81F90">
        <w:rPr>
          <w:rFonts w:eastAsia="Times New Roman"/>
          <w:color w:val="000000"/>
          <w:kern w:val="24"/>
        </w:rPr>
        <w:t>Within this model, t</w:t>
      </w:r>
      <w:r w:rsidRPr="00B81F90">
        <w:t>here is an inherent financial incentive to maximize the person’s hours worked and minimize job coaching supports as hours worked will be made on an ongoing basis, according to the matrix, if the person remains employed in his/her job.</w:t>
      </w:r>
      <w:r w:rsidRPr="0064649B">
        <w:t xml:space="preserve"> </w:t>
      </w:r>
    </w:p>
    <w:p w14:paraId="12026266" w14:textId="77777777" w:rsidR="0064649B" w:rsidRPr="0064649B" w:rsidRDefault="0093631E" w:rsidP="00B1367E">
      <w:r>
        <w:t>Required</w:t>
      </w:r>
      <w:r w:rsidR="0064649B" w:rsidRPr="0064649B">
        <w:t xml:space="preserve"> for all Medicaid waiver funded services, </w:t>
      </w:r>
      <w:r>
        <w:t>e</w:t>
      </w:r>
      <w:r w:rsidRPr="0064649B">
        <w:t xml:space="preserve">nsuring cost-efficiency </w:t>
      </w:r>
      <w:r w:rsidR="0064649B" w:rsidRPr="0064649B">
        <w:t>is done by evaluating the overall financial outcomes for each provider at reasonable intervals. The model is risk-based for providers, so fading for an individual supported employee, to the point that the provider is receiving more income than the job coaching actually costs, may very well be offset by another individual supported employee for whom fading is not as great. Therefore, the provider’s overall financial outcomes are assessed to determine if the target fading percentages and the underlying fee-for-service base rate is still appropriate. By policy, a provider’s net income may not exceed a certain percentage in order to ensure the model is still cost-efficient. Ultimately, the periodic evaluations will show if the target fading percentages and/or the underlying fee-for-service hourly rate need adjustment, or if each provider is within the range of allowable net income, thus still ensuring the provider has sufficient incentive to achieve the best practice, high</w:t>
      </w:r>
      <w:r w:rsidR="00303659">
        <w:t>-</w:t>
      </w:r>
      <w:r w:rsidR="0064649B" w:rsidRPr="0064649B">
        <w:t>quality outcomes desired.</w:t>
      </w:r>
    </w:p>
    <w:p w14:paraId="008598EF" w14:textId="77777777" w:rsidR="004D4C63" w:rsidRPr="00A049B4" w:rsidRDefault="004D4C63" w:rsidP="00B11115">
      <w:pPr>
        <w:pStyle w:val="Heading3"/>
      </w:pPr>
      <w:bookmarkStart w:id="47" w:name="_Toc70944194"/>
      <w:r w:rsidRPr="00A049B4">
        <w:t>Addressing Changes in Level of Disability over Time</w:t>
      </w:r>
      <w:bookmarkEnd w:id="47"/>
    </w:p>
    <w:p w14:paraId="2048ACF1" w14:textId="0086B6BD" w:rsidR="0064649B" w:rsidRPr="0064649B" w:rsidRDefault="0064649B" w:rsidP="00B1367E">
      <w:r w:rsidRPr="0064649B">
        <w:t>Each individual’s Functional Screen is updated annually, or when a significant change in support need occurs</w:t>
      </w:r>
      <w:r w:rsidR="0037194D">
        <w:t xml:space="preserve">. </w:t>
      </w:r>
      <w:r w:rsidRPr="0064649B">
        <w:t xml:space="preserve">Providers have the ability to request a review at any time they observe a significant change in support needs that are expected to last longer than </w:t>
      </w:r>
      <w:r w:rsidR="004616F8">
        <w:t>six to eight</w:t>
      </w:r>
      <w:r w:rsidRPr="0064649B">
        <w:t xml:space="preserve"> weeks</w:t>
      </w:r>
      <w:r w:rsidR="0037194D">
        <w:t xml:space="preserve">. </w:t>
      </w:r>
      <w:r w:rsidRPr="0064649B">
        <w:t>Information collected from both the provider and the member-centered team is utilized to determine whether there will be a tier level change</w:t>
      </w:r>
      <w:r w:rsidR="0037194D">
        <w:t xml:space="preserve">. </w:t>
      </w:r>
      <w:r w:rsidRPr="0064649B">
        <w:t>This updating helps ensure every Supported Employment participant is in the appropriate tier for the purposes of establishing the outcome-based reimbursement per hour worked that is paid to the Supported Employment provider</w:t>
      </w:r>
      <w:r w:rsidR="006677B7">
        <w:t xml:space="preserve">. </w:t>
      </w:r>
    </w:p>
    <w:p w14:paraId="1F1F6229" w14:textId="77777777" w:rsidR="004D4C63" w:rsidRPr="00A049B4" w:rsidRDefault="004D4C63" w:rsidP="00B11115">
      <w:pPr>
        <w:pStyle w:val="Heading3"/>
      </w:pPr>
      <w:bookmarkStart w:id="48" w:name="_Toc70944195"/>
      <w:r w:rsidRPr="00A049B4">
        <w:t>Impact of the Change to Outcome-Based Reimbursement for Job Coaching</w:t>
      </w:r>
      <w:bookmarkEnd w:id="48"/>
    </w:p>
    <w:p w14:paraId="12057E40" w14:textId="386C7987" w:rsidR="0064649B" w:rsidRPr="0064649B" w:rsidRDefault="0064649B" w:rsidP="00B1367E">
      <w:r w:rsidRPr="0064649B">
        <w:t>Because this payment model has been in place since 2012, providers have been paid in this model for a period of time sufficient enough to accurately assess the impact</w:t>
      </w:r>
      <w:r w:rsidR="0037194D">
        <w:t xml:space="preserve">. </w:t>
      </w:r>
      <w:r w:rsidRPr="0064649B">
        <w:t>Inclusa did an evaluation of impact at two points: 25 months after the change; and 6 years after the change</w:t>
      </w:r>
      <w:r w:rsidR="0037194D">
        <w:t xml:space="preserve">. </w:t>
      </w:r>
      <w:r w:rsidRPr="0064649B">
        <w:rPr>
          <w:b/>
          <w:i/>
        </w:rPr>
        <w:t>After 25 months, Inclusa saw a 35% growth in the number of individuals working in competitive integrated employment, and after 6 years, they saw a nearly 71% growth</w:t>
      </w:r>
      <w:r w:rsidR="003B36A1" w:rsidRPr="00D702BC">
        <w:rPr>
          <w:b/>
          <w:i/>
        </w:rPr>
        <w:t>,</w:t>
      </w:r>
      <w:r w:rsidRPr="00D702BC">
        <w:rPr>
          <w:b/>
          <w:i/>
        </w:rPr>
        <w:t xml:space="preserve"> </w:t>
      </w:r>
      <w:r w:rsidRPr="00D702BC">
        <w:t>demonstrating</w:t>
      </w:r>
      <w:r w:rsidRPr="0064649B">
        <w:t xml:space="preserve"> that the initial growth was not just a </w:t>
      </w:r>
      <w:r w:rsidR="004616F8">
        <w:t>“</w:t>
      </w:r>
      <w:r w:rsidRPr="0064649B">
        <w:t>honeymoon period</w:t>
      </w:r>
      <w:r w:rsidR="004616F8">
        <w:t>”</w:t>
      </w:r>
      <w:r w:rsidRPr="0064649B">
        <w:t xml:space="preserve"> as is typical after a big shift in approach</w:t>
      </w:r>
      <w:r w:rsidR="0037194D">
        <w:t xml:space="preserve">. </w:t>
      </w:r>
      <w:r w:rsidRPr="0064649B">
        <w:t>Further, the cost-efficiency and cost-effectiveness of the reimbursement model was also confirmed</w:t>
      </w:r>
      <w:r w:rsidR="0037194D">
        <w:t xml:space="preserve">. </w:t>
      </w:r>
      <w:r w:rsidRPr="0064649B">
        <w:t>The average cost per supported employee hour worked was $9.75, while the average cost for both Day Services and Prevocational Services was higher</w:t>
      </w:r>
      <w:r w:rsidR="006677B7">
        <w:t xml:space="preserve">. </w:t>
      </w:r>
    </w:p>
    <w:p w14:paraId="56856309" w14:textId="50F89ADE" w:rsidR="008D55AA" w:rsidRDefault="00936BE9" w:rsidP="001666DE">
      <w:pPr>
        <w:spacing w:before="0"/>
        <w:ind w:left="1620"/>
      </w:pPr>
      <w:r w:rsidRPr="00F726EE">
        <w:rPr>
          <w:noProof/>
          <w:sz w:val="18"/>
          <w:szCs w:val="18"/>
        </w:rPr>
        <mc:AlternateContent>
          <mc:Choice Requires="wpg">
            <w:drawing>
              <wp:inline distT="0" distB="0" distL="0" distR="0" wp14:anchorId="169A189D" wp14:editId="6E7C8127">
                <wp:extent cx="3343958" cy="2928868"/>
                <wp:effectExtent l="12700" t="12700" r="8890" b="0"/>
                <wp:docPr id="211" name="Group 42" descr="Chart shows the growth in numbers of individuals supported to work CIE, and the percentages of the portion of total agency revenue coming from the provision of CIE services. &#10;&#10;Growth in numbers was as follows:&#10;2009 - 58&#10;2011 - 80&#10;2013 - 121&#10;2015 - 145&#10;2017 - 237&#10;&#10;Percentages of revenue from the provision of CIE services is as follows:&#10;&#10;2009 - 20%&#10;2011 - 25%&#10;2013 - 37%&#10;2015 - 41%&#10;2017 - 60%&#10;"/>
                <wp:cNvGraphicFramePr/>
                <a:graphic xmlns:a="http://schemas.openxmlformats.org/drawingml/2006/main">
                  <a:graphicData uri="http://schemas.microsoft.com/office/word/2010/wordprocessingGroup">
                    <wpg:wgp>
                      <wpg:cNvGrpSpPr/>
                      <wpg:grpSpPr>
                        <a:xfrm>
                          <a:off x="0" y="0"/>
                          <a:ext cx="3343958" cy="2928868"/>
                          <a:chOff x="0" y="0"/>
                          <a:chExt cx="4783755" cy="2677556"/>
                        </a:xfrm>
                      </wpg:grpSpPr>
                      <wps:wsp>
                        <wps:cNvPr id="212" name="Rectangle 212"/>
                        <wps:cNvSpPr/>
                        <wps:spPr>
                          <a:xfrm>
                            <a:off x="0" y="0"/>
                            <a:ext cx="4783755" cy="2532797"/>
                          </a:xfrm>
                          <a:prstGeom prst="rect">
                            <a:avLst/>
                          </a:prstGeom>
                          <a:solidFill>
                            <a:schemeClr val="accent4">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244979" y="219545"/>
                            <a:ext cx="4082112" cy="2458011"/>
                            <a:chOff x="244902" y="228802"/>
                            <a:chExt cx="6344977" cy="4916016"/>
                          </a:xfrm>
                        </wpg:grpSpPr>
                        <wps:wsp>
                          <wps:cNvPr id="214" name="Straight Connector 214"/>
                          <wps:cNvCnPr>
                            <a:cxnSpLocks/>
                          </wps:cNvCnPr>
                          <wps:spPr>
                            <a:xfrm>
                              <a:off x="245047" y="4153904"/>
                              <a:ext cx="634483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a:off x="244902" y="3118531"/>
                              <a:ext cx="634434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a:off x="245048" y="2196552"/>
                              <a:ext cx="634356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a:off x="245048" y="1239307"/>
                              <a:ext cx="634293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a:cxnSpLocks/>
                          </wps:cNvCnPr>
                          <wps:spPr>
                            <a:xfrm>
                              <a:off x="245048" y="228802"/>
                              <a:ext cx="6342299"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0" name="TextBox 10"/>
                          <wps:cNvSpPr txBox="1"/>
                          <wps:spPr>
                            <a:xfrm>
                              <a:off x="612218" y="3971774"/>
                              <a:ext cx="1533914" cy="960704"/>
                            </a:xfrm>
                            <a:prstGeom prst="rect">
                              <a:avLst/>
                            </a:prstGeom>
                            <a:noFill/>
                          </wps:spPr>
                          <wps:txbx>
                            <w:txbxContent>
                              <w:p w14:paraId="35FDA55D"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2009</w:t>
                                </w:r>
                              </w:p>
                            </w:txbxContent>
                          </wps:txbx>
                          <wps:bodyPr wrap="square" rtlCol="0">
                            <a:noAutofit/>
                          </wps:bodyPr>
                        </wps:wsp>
                        <wps:wsp>
                          <wps:cNvPr id="221" name="TextBox 14"/>
                          <wps:cNvSpPr txBox="1"/>
                          <wps:spPr>
                            <a:xfrm>
                              <a:off x="1769530" y="3971774"/>
                              <a:ext cx="1321455" cy="1173044"/>
                            </a:xfrm>
                            <a:prstGeom prst="rect">
                              <a:avLst/>
                            </a:prstGeom>
                            <a:noFill/>
                          </wps:spPr>
                          <wps:txbx>
                            <w:txbxContent>
                              <w:p w14:paraId="5EBDB9E0"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2011</w:t>
                                </w:r>
                              </w:p>
                            </w:txbxContent>
                          </wps:txbx>
                          <wps:bodyPr wrap="square" rtlCol="0">
                            <a:noAutofit/>
                          </wps:bodyPr>
                        </wps:wsp>
                        <wps:wsp>
                          <wps:cNvPr id="222" name="TextBox 15"/>
                          <wps:cNvSpPr txBox="1"/>
                          <wps:spPr>
                            <a:xfrm>
                              <a:off x="2872785" y="3971774"/>
                              <a:ext cx="1388223" cy="960702"/>
                            </a:xfrm>
                            <a:prstGeom prst="rect">
                              <a:avLst/>
                            </a:prstGeom>
                            <a:noFill/>
                          </wps:spPr>
                          <wps:txbx>
                            <w:txbxContent>
                              <w:p w14:paraId="2F909F17"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2013</w:t>
                                </w:r>
                              </w:p>
                            </w:txbxContent>
                          </wps:txbx>
                          <wps:bodyPr wrap="square" rtlCol="0">
                            <a:noAutofit/>
                          </wps:bodyPr>
                        </wps:wsp>
                        <wps:wsp>
                          <wps:cNvPr id="223" name="TextBox 16"/>
                          <wps:cNvSpPr txBox="1"/>
                          <wps:spPr>
                            <a:xfrm>
                              <a:off x="4939467" y="3971774"/>
                              <a:ext cx="1419675" cy="960702"/>
                            </a:xfrm>
                            <a:prstGeom prst="rect">
                              <a:avLst/>
                            </a:prstGeom>
                            <a:noFill/>
                          </wps:spPr>
                          <wps:txbx>
                            <w:txbxContent>
                              <w:p w14:paraId="5A341197"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2017</w:t>
                                </w:r>
                              </w:p>
                            </w:txbxContent>
                          </wps:txbx>
                          <wps:bodyPr wrap="square" rtlCol="0">
                            <a:noAutofit/>
                          </wps:bodyPr>
                        </wps:wsp>
                        <wps:wsp>
                          <wps:cNvPr id="224" name="TextBox 17"/>
                          <wps:cNvSpPr txBox="1"/>
                          <wps:spPr>
                            <a:xfrm>
                              <a:off x="3884070" y="3971774"/>
                              <a:ext cx="1387540" cy="960702"/>
                            </a:xfrm>
                            <a:prstGeom prst="rect">
                              <a:avLst/>
                            </a:prstGeom>
                            <a:noFill/>
                          </wps:spPr>
                          <wps:txbx>
                            <w:txbxContent>
                              <w:p w14:paraId="1A93BEB3"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2015</w:t>
                                </w:r>
                              </w:p>
                            </w:txbxContent>
                          </wps:txbx>
                          <wps:bodyPr wrap="square" rtlCol="0">
                            <a:noAutofit/>
                          </wps:bodyPr>
                        </wps:wsp>
                        <wps:wsp>
                          <wps:cNvPr id="225" name="Isosceles Triangle 225"/>
                          <wps:cNvSpPr/>
                          <wps:spPr>
                            <a:xfrm>
                              <a:off x="879879" y="3252764"/>
                              <a:ext cx="840729" cy="905350"/>
                            </a:xfrm>
                            <a:prstGeom prst="triangle">
                              <a:avLst/>
                            </a:prstGeom>
                            <a:pattFill prst="wdUpDiag">
                              <a:fgClr>
                                <a:srgbClr val="FFE28B"/>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Isosceles Triangle 226"/>
                          <wps:cNvSpPr/>
                          <wps:spPr>
                            <a:xfrm>
                              <a:off x="1926058" y="2844100"/>
                              <a:ext cx="840729" cy="1314009"/>
                            </a:xfrm>
                            <a:prstGeom prst="triangle">
                              <a:avLst/>
                            </a:prstGeom>
                            <a:pattFill prst="wdUpDiag">
                              <a:fgClr>
                                <a:srgbClr val="FFE28B"/>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Isosceles Triangle 227"/>
                          <wps:cNvSpPr/>
                          <wps:spPr>
                            <a:xfrm>
                              <a:off x="2956970" y="2449774"/>
                              <a:ext cx="840729" cy="1708336"/>
                            </a:xfrm>
                            <a:prstGeom prst="triangle">
                              <a:avLst/>
                            </a:prstGeom>
                            <a:pattFill prst="wdUpDiag">
                              <a:fgClr>
                                <a:srgbClr val="FFE28B"/>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Isosceles Triangle 228"/>
                          <wps:cNvSpPr/>
                          <wps:spPr>
                            <a:xfrm>
                              <a:off x="4004264" y="2086408"/>
                              <a:ext cx="840730" cy="2068135"/>
                            </a:xfrm>
                            <a:prstGeom prst="triangle">
                              <a:avLst/>
                            </a:prstGeom>
                            <a:pattFill prst="wdUpDiag">
                              <a:fgClr>
                                <a:srgbClr val="FFE28B"/>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Isosceles Triangle 229"/>
                          <wps:cNvSpPr/>
                          <wps:spPr>
                            <a:xfrm>
                              <a:off x="5030985" y="965289"/>
                              <a:ext cx="840732" cy="3172117"/>
                            </a:xfrm>
                            <a:prstGeom prst="triangle">
                              <a:avLst/>
                            </a:prstGeom>
                            <a:pattFill prst="wdUpDiag">
                              <a:fgClr>
                                <a:srgbClr val="FFE28B"/>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TextBox 29"/>
                          <wps:cNvSpPr txBox="1"/>
                          <wps:spPr>
                            <a:xfrm>
                              <a:off x="612219" y="3572124"/>
                              <a:ext cx="1412064" cy="960703"/>
                            </a:xfrm>
                            <a:prstGeom prst="rect">
                              <a:avLst/>
                            </a:prstGeom>
                            <a:noFill/>
                          </wps:spPr>
                          <wps:txbx>
                            <w:txbxContent>
                              <w:p w14:paraId="3107A1A2" w14:textId="77777777" w:rsidR="00567853" w:rsidRPr="00837BFC" w:rsidRDefault="00567853" w:rsidP="00CB21ED">
                                <w:pPr>
                                  <w:spacing w:after="0"/>
                                  <w:jc w:val="center"/>
                                  <w:rPr>
                                    <w:b/>
                                    <w:bCs/>
                                    <w:sz w:val="18"/>
                                    <w:szCs w:val="18"/>
                                  </w:rPr>
                                </w:pPr>
                                <w:r w:rsidRPr="00837BFC">
                                  <w:rPr>
                                    <w:b/>
                                    <w:bCs/>
                                    <w:color w:val="C00000"/>
                                    <w:kern w:val="24"/>
                                    <w:sz w:val="18"/>
                                    <w:szCs w:val="18"/>
                                  </w:rPr>
                                  <w:t>20%</w:t>
                                </w:r>
                              </w:p>
                            </w:txbxContent>
                          </wps:txbx>
                          <wps:bodyPr wrap="square" rtlCol="0">
                            <a:noAutofit/>
                          </wps:bodyPr>
                        </wps:wsp>
                        <wps:wsp>
                          <wps:cNvPr id="231" name="TextBox 30"/>
                          <wps:cNvSpPr txBox="1"/>
                          <wps:spPr>
                            <a:xfrm>
                              <a:off x="893685" y="2616311"/>
                              <a:ext cx="1226639" cy="876008"/>
                            </a:xfrm>
                            <a:prstGeom prst="rect">
                              <a:avLst/>
                            </a:prstGeom>
                            <a:noFill/>
                          </wps:spPr>
                          <wps:txbx>
                            <w:txbxContent>
                              <w:p w14:paraId="0CD09E12"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58</w:t>
                                </w:r>
                              </w:p>
                            </w:txbxContent>
                          </wps:txbx>
                          <wps:bodyPr wrap="square" rtlCol="0">
                            <a:noAutofit/>
                          </wps:bodyPr>
                        </wps:wsp>
                        <wps:wsp>
                          <wps:cNvPr id="232" name="TextBox 31"/>
                          <wps:cNvSpPr txBox="1"/>
                          <wps:spPr>
                            <a:xfrm>
                              <a:off x="1701804" y="3570131"/>
                              <a:ext cx="1331583" cy="960703"/>
                            </a:xfrm>
                            <a:prstGeom prst="rect">
                              <a:avLst/>
                            </a:prstGeom>
                            <a:noFill/>
                          </wps:spPr>
                          <wps:txbx>
                            <w:txbxContent>
                              <w:p w14:paraId="3A4CC054" w14:textId="77777777" w:rsidR="00567853" w:rsidRPr="00837BFC" w:rsidRDefault="00567853" w:rsidP="00CB21ED">
                                <w:pPr>
                                  <w:spacing w:after="0"/>
                                  <w:jc w:val="center"/>
                                  <w:rPr>
                                    <w:b/>
                                    <w:bCs/>
                                    <w:sz w:val="18"/>
                                    <w:szCs w:val="18"/>
                                  </w:rPr>
                                </w:pPr>
                                <w:r w:rsidRPr="00837BFC">
                                  <w:rPr>
                                    <w:b/>
                                    <w:bCs/>
                                    <w:color w:val="C00000"/>
                                    <w:kern w:val="24"/>
                                    <w:sz w:val="18"/>
                                    <w:szCs w:val="18"/>
                                  </w:rPr>
                                  <w:t>25%</w:t>
                                </w:r>
                              </w:p>
                            </w:txbxContent>
                          </wps:txbx>
                          <wps:bodyPr wrap="square" rtlCol="0">
                            <a:noAutofit/>
                          </wps:bodyPr>
                        </wps:wsp>
                        <wps:wsp>
                          <wps:cNvPr id="233" name="TextBox 32"/>
                          <wps:cNvSpPr txBox="1"/>
                          <wps:spPr>
                            <a:xfrm>
                              <a:off x="2794009" y="3568137"/>
                              <a:ext cx="1229087" cy="960703"/>
                            </a:xfrm>
                            <a:prstGeom prst="rect">
                              <a:avLst/>
                            </a:prstGeom>
                            <a:noFill/>
                          </wps:spPr>
                          <wps:txbx>
                            <w:txbxContent>
                              <w:p w14:paraId="2D7B1B4D" w14:textId="77777777" w:rsidR="00567853" w:rsidRPr="00837BFC" w:rsidRDefault="00567853" w:rsidP="00CB21ED">
                                <w:pPr>
                                  <w:spacing w:after="0"/>
                                  <w:jc w:val="center"/>
                                  <w:rPr>
                                    <w:b/>
                                    <w:bCs/>
                                    <w:sz w:val="18"/>
                                    <w:szCs w:val="18"/>
                                  </w:rPr>
                                </w:pPr>
                                <w:r w:rsidRPr="00837BFC">
                                  <w:rPr>
                                    <w:b/>
                                    <w:bCs/>
                                    <w:color w:val="C00000"/>
                                    <w:kern w:val="24"/>
                                    <w:sz w:val="18"/>
                                    <w:szCs w:val="18"/>
                                  </w:rPr>
                                  <w:t>37%</w:t>
                                </w:r>
                              </w:p>
                            </w:txbxContent>
                          </wps:txbx>
                          <wps:bodyPr wrap="square" rtlCol="0">
                            <a:noAutofit/>
                          </wps:bodyPr>
                        </wps:wsp>
                        <wps:wsp>
                          <wps:cNvPr id="234" name="TextBox 33"/>
                          <wps:cNvSpPr txBox="1"/>
                          <wps:spPr>
                            <a:xfrm>
                              <a:off x="3884073" y="3558416"/>
                              <a:ext cx="1109251" cy="899498"/>
                            </a:xfrm>
                            <a:prstGeom prst="rect">
                              <a:avLst/>
                            </a:prstGeom>
                            <a:noFill/>
                          </wps:spPr>
                          <wps:txbx>
                            <w:txbxContent>
                              <w:p w14:paraId="66D32912" w14:textId="77777777" w:rsidR="00567853" w:rsidRPr="00837BFC" w:rsidRDefault="00567853" w:rsidP="00CB21ED">
                                <w:pPr>
                                  <w:spacing w:after="0"/>
                                  <w:jc w:val="center"/>
                                  <w:rPr>
                                    <w:b/>
                                    <w:bCs/>
                                    <w:sz w:val="18"/>
                                    <w:szCs w:val="18"/>
                                  </w:rPr>
                                </w:pPr>
                                <w:r w:rsidRPr="00837BFC">
                                  <w:rPr>
                                    <w:b/>
                                    <w:bCs/>
                                    <w:color w:val="C00000"/>
                                    <w:kern w:val="24"/>
                                    <w:sz w:val="18"/>
                                    <w:szCs w:val="18"/>
                                  </w:rPr>
                                  <w:t>41%</w:t>
                                </w:r>
                              </w:p>
                            </w:txbxContent>
                          </wps:txbx>
                          <wps:bodyPr wrap="square" rtlCol="0">
                            <a:noAutofit/>
                          </wps:bodyPr>
                        </wps:wsp>
                        <wps:wsp>
                          <wps:cNvPr id="235" name="TextBox 34"/>
                          <wps:cNvSpPr txBox="1"/>
                          <wps:spPr>
                            <a:xfrm>
                              <a:off x="4781393" y="3553060"/>
                              <a:ext cx="1374485" cy="1036521"/>
                            </a:xfrm>
                            <a:prstGeom prst="rect">
                              <a:avLst/>
                            </a:prstGeom>
                            <a:noFill/>
                          </wps:spPr>
                          <wps:txbx>
                            <w:txbxContent>
                              <w:p w14:paraId="4DDB780C" w14:textId="77777777" w:rsidR="00567853" w:rsidRPr="002872E1" w:rsidRDefault="00567853" w:rsidP="00CB21ED">
                                <w:pPr>
                                  <w:spacing w:after="0"/>
                                  <w:jc w:val="center"/>
                                  <w:rPr>
                                    <w:sz w:val="18"/>
                                    <w:szCs w:val="18"/>
                                  </w:rPr>
                                </w:pPr>
                                <w:r w:rsidRPr="00837BFC">
                                  <w:rPr>
                                    <w:b/>
                                    <w:bCs/>
                                    <w:color w:val="C00000"/>
                                    <w:kern w:val="24"/>
                                    <w:sz w:val="18"/>
                                    <w:szCs w:val="18"/>
                                  </w:rPr>
                                  <w:t>60</w:t>
                                </w:r>
                                <w:r w:rsidRPr="002872E1">
                                  <w:rPr>
                                    <w:color w:val="C00000"/>
                                    <w:kern w:val="24"/>
                                    <w:sz w:val="18"/>
                                    <w:szCs w:val="18"/>
                                  </w:rPr>
                                  <w:t>%</w:t>
                                </w:r>
                              </w:p>
                            </w:txbxContent>
                          </wps:txbx>
                          <wps:bodyPr wrap="square" rtlCol="0">
                            <a:noAutofit/>
                          </wps:bodyPr>
                        </wps:wsp>
                        <wps:wsp>
                          <wps:cNvPr id="236" name="TextBox 35"/>
                          <wps:cNvSpPr txBox="1"/>
                          <wps:spPr>
                            <a:xfrm>
                              <a:off x="1937789" y="2259115"/>
                              <a:ext cx="1042689" cy="868371"/>
                            </a:xfrm>
                            <a:prstGeom prst="rect">
                              <a:avLst/>
                            </a:prstGeom>
                            <a:noFill/>
                          </wps:spPr>
                          <wps:txbx>
                            <w:txbxContent>
                              <w:p w14:paraId="77993C66"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80</w:t>
                                </w:r>
                              </w:p>
                            </w:txbxContent>
                          </wps:txbx>
                          <wps:bodyPr wrap="square" rtlCol="0">
                            <a:noAutofit/>
                          </wps:bodyPr>
                        </wps:wsp>
                        <wps:wsp>
                          <wps:cNvPr id="237" name="TextBox 36"/>
                          <wps:cNvSpPr txBox="1"/>
                          <wps:spPr>
                            <a:xfrm>
                              <a:off x="4961956" y="357855"/>
                              <a:ext cx="1281687" cy="851545"/>
                            </a:xfrm>
                            <a:prstGeom prst="rect">
                              <a:avLst/>
                            </a:prstGeom>
                            <a:noFill/>
                          </wps:spPr>
                          <wps:txbx>
                            <w:txbxContent>
                              <w:p w14:paraId="4CAEFF4D"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237</w:t>
                                </w:r>
                              </w:p>
                            </w:txbxContent>
                          </wps:txbx>
                          <wps:bodyPr wrap="square" rtlCol="0">
                            <a:noAutofit/>
                          </wps:bodyPr>
                        </wps:wsp>
                        <wps:wsp>
                          <wps:cNvPr id="238" name="TextBox 37"/>
                          <wps:cNvSpPr txBox="1"/>
                          <wps:spPr>
                            <a:xfrm>
                              <a:off x="2872644" y="1837220"/>
                              <a:ext cx="1388363" cy="918562"/>
                            </a:xfrm>
                            <a:prstGeom prst="rect">
                              <a:avLst/>
                            </a:prstGeom>
                            <a:noFill/>
                          </wps:spPr>
                          <wps:txbx>
                            <w:txbxContent>
                              <w:p w14:paraId="70851CB0"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121</w:t>
                                </w:r>
                              </w:p>
                            </w:txbxContent>
                          </wps:txbx>
                          <wps:bodyPr wrap="square" rtlCol="0">
                            <a:noAutofit/>
                          </wps:bodyPr>
                        </wps:wsp>
                        <wps:wsp>
                          <wps:cNvPr id="239" name="TextBox 38"/>
                          <wps:cNvSpPr txBox="1"/>
                          <wps:spPr>
                            <a:xfrm>
                              <a:off x="3760033" y="1501270"/>
                              <a:ext cx="1361214" cy="870861"/>
                            </a:xfrm>
                            <a:prstGeom prst="rect">
                              <a:avLst/>
                            </a:prstGeom>
                            <a:noFill/>
                          </wps:spPr>
                          <wps:txbx>
                            <w:txbxContent>
                              <w:p w14:paraId="3DAA8579" w14:textId="77777777" w:rsidR="00567853" w:rsidRPr="002872E1" w:rsidRDefault="00567853" w:rsidP="00CB21ED">
                                <w:pPr>
                                  <w:spacing w:after="0"/>
                                  <w:jc w:val="center"/>
                                  <w:rPr>
                                    <w:rFonts w:ascii="Optima" w:hAnsi="Optima"/>
                                    <w:sz w:val="19"/>
                                    <w:szCs w:val="19"/>
                                  </w:rPr>
                                </w:pPr>
                                <w:r w:rsidRPr="002872E1">
                                  <w:rPr>
                                    <w:rFonts w:ascii="Optima" w:hAnsi="Optima"/>
                                    <w:b/>
                                    <w:bCs/>
                                    <w:color w:val="000000" w:themeColor="text1"/>
                                    <w:kern w:val="24"/>
                                    <w:sz w:val="19"/>
                                    <w:szCs w:val="19"/>
                                  </w:rPr>
                                  <w:t>145</w:t>
                                </w:r>
                              </w:p>
                            </w:txbxContent>
                          </wps:txbx>
                          <wps:bodyPr wrap="square" rtlCol="0">
                            <a:noAutofit/>
                          </wps:bodyPr>
                        </wps:wsp>
                      </wpg:grpSp>
                    </wpg:wgp>
                  </a:graphicData>
                </a:graphic>
              </wp:inline>
            </w:drawing>
          </mc:Choice>
          <mc:Fallback>
            <w:pict>
              <v:group w14:anchorId="169A189D" id="Group 42" o:spid="_x0000_s1047" alt="Chart shows the growth in numbers of individuals supported to work CIE, and the percentages of the portion of total agency revenue coming from the provision of CIE services. &#10;&#10;Growth in numbers was as follows:&#10;2009 - 58&#10;2011 - 80&#10;2013 - 121&#10;2015 - 145&#10;2017 - 237&#10;&#10;Percentages of revenue from the provision of CIE services is as follows:&#10;&#10;2009 - 20%&#10;2011 - 25%&#10;2013 - 37%&#10;2015 - 41%&#10;2017 - 60%&#10;" style="width:263.3pt;height:230.6pt;mso-position-horizontal-relative:char;mso-position-vertical-relative:line" coordsize="47837,2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">
                <v:rect id="Rectangle 212" o:spid="_x0000_s1048" style="position:absolute;width:47837;height:2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" fillcolor="#ccc0d9 [1303]" strokecolor="white [3212]" strokeweight="2pt"/>
                <v:group id="Group 213" o:spid="_x0000_s1049" style="position:absolute;left:2449;top:2195;width:40821;height:24580" coordorigin="2449,2288" coordsize="63449,4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Straight Connector 214" o:spid="_x0000_s1050" style="position:absolute;visibility:visible;mso-wrap-style:square" from="2450,41539" to="65898,4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" strokecolor="white [3212]">
                    <o:lock v:ext="edit" shapetype="f"/>
                  </v:line>
                  <v:line id="Straight Connector 215" o:spid="_x0000_s1051" style="position:absolute;visibility:visible;mso-wrap-style:square" from="2449,31185" to="65892,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" strokecolor="white [3212]">
                    <o:lock v:ext="edit" shapetype="f"/>
                  </v:line>
                  <v:line id="Straight Connector 216" o:spid="_x0000_s1052" style="position:absolute;visibility:visible;mso-wrap-style:square" from="2450,21965" to="65886,2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" strokecolor="white [3212]">
                    <o:lock v:ext="edit" shapetype="f"/>
                  </v:line>
                  <v:line id="Straight Connector 218" o:spid="_x0000_s1053" style="position:absolute;visibility:visible;mso-wrap-style:square" from="2450,12393" to="65879,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" strokecolor="white [3212]">
                    <o:lock v:ext="edit" shapetype="f"/>
                  </v:line>
                  <v:line id="Straight Connector 219" o:spid="_x0000_s1054" style="position:absolute;visibility:visible;mso-wrap-style:square" from="2450,2288" to="65873,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" strokecolor="white [3212]">
                    <o:lock v:ext="edit" shapetype="f"/>
                  </v:line>
                  <v:shape id="TextBox 10" o:spid="_x0000_s1055" type="#_x0000_t202" style="position:absolute;left:6122;top:39717;width:15339;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5FDA55D"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2009</w:t>
                          </w:r>
                        </w:p>
                      </w:txbxContent>
                    </v:textbox>
                  </v:shape>
                  <v:shape id="TextBox 14" o:spid="_x0000_s1056" type="#_x0000_t202" style="position:absolute;left:17695;top:39717;width:13214;height:1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EBDB9E0"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2011</w:t>
                          </w:r>
                        </w:p>
                      </w:txbxContent>
                    </v:textbox>
                  </v:shape>
                  <v:shape id="TextBox 15" o:spid="_x0000_s1057" type="#_x0000_t202" style="position:absolute;left:28727;top:39717;width:13883;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F909F17"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2013</w:t>
                          </w:r>
                        </w:p>
                      </w:txbxContent>
                    </v:textbox>
                  </v:shape>
                  <v:shape id="TextBox 16" o:spid="_x0000_s1058" type="#_x0000_t202" style="position:absolute;left:49394;top:39717;width:14197;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5A341197"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2017</w:t>
                          </w:r>
                        </w:p>
                      </w:txbxContent>
                    </v:textbox>
                  </v:shape>
                  <v:shape id="TextBox 17" o:spid="_x0000_s1059" type="#_x0000_t202" style="position:absolute;left:38840;top:39717;width:13876;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A93BEB3" w14:textId="77777777" w:rsidR="00567853" w:rsidRPr="00837BFC" w:rsidRDefault="00567853" w:rsidP="00CB21ED">
                          <w:pPr>
                            <w:spacing w:after="0"/>
                            <w:rPr>
                              <w:rFonts w:ascii="Optima" w:hAnsi="Optima"/>
                              <w:b/>
                              <w:bCs/>
                              <w:sz w:val="18"/>
                              <w:szCs w:val="18"/>
                            </w:rPr>
                          </w:pPr>
                          <w:r w:rsidRPr="00837BFC">
                            <w:rPr>
                              <w:rFonts w:ascii="Optima" w:hAnsi="Optima"/>
                              <w:b/>
                              <w:bCs/>
                              <w:color w:val="000000" w:themeColor="text1"/>
                              <w:kern w:val="24"/>
                              <w:sz w:val="18"/>
                              <w:szCs w:val="18"/>
                            </w:rPr>
                            <w:t xml:space="preserve"> 2015</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5" o:spid="_x0000_s1060" type="#_x0000_t5" style="position:absolute;left:8798;top:32527;width:8408;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" fillcolor="#ffe28b" strokecolor="#243f60 [1604]" strokeweight="2pt">
                    <v:fill r:id="rId37" o:title="" color2="white [3212]" type="pattern"/>
                  </v:shape>
                  <v:shape id="Isosceles Triangle 226" o:spid="_x0000_s1061" type="#_x0000_t5" style="position:absolute;left:19260;top:28441;width:8407;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" fillcolor="#ffe28b" strokecolor="#243f60 [1604]" strokeweight="2pt">
                    <v:fill r:id="rId37" o:title="" color2="white [3212]" type="pattern"/>
                  </v:shape>
                  <v:shape id="Isosceles Triangle 227" o:spid="_x0000_s1062" type="#_x0000_t5" style="position:absolute;left:29569;top:24497;width:8407;height:1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" fillcolor="#ffe28b" strokecolor="#243f60 [1604]" strokeweight="2pt">
                    <v:fill r:id="rId37" o:title="" color2="white [3212]" type="pattern"/>
                  </v:shape>
                  <v:shape id="Isosceles Triangle 228" o:spid="_x0000_s1063" type="#_x0000_t5" style="position:absolute;left:40042;top:20864;width:8407;height:20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" fillcolor="#ffe28b" strokecolor="#243f60 [1604]" strokeweight="2pt">
                    <v:fill r:id="rId37" o:title="" color2="white [3212]" type="pattern"/>
                  </v:shape>
                  <v:shape id="Isosceles Triangle 229" o:spid="_x0000_s1064" type="#_x0000_t5" style="position:absolute;left:50309;top:9652;width:8408;height:3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" fillcolor="#ffe28b" strokecolor="#243f60 [1604]" strokeweight="2pt">
                    <v:fill r:id="rId37" o:title="" color2="white [3212]" type="pattern"/>
                  </v:shape>
                  <v:shape id="TextBox 29" o:spid="_x0000_s1065" type="#_x0000_t202" style="position:absolute;left:6122;top:35721;width:14120;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107A1A2" w14:textId="77777777" w:rsidR="00567853" w:rsidRPr="00837BFC" w:rsidRDefault="00567853" w:rsidP="00CB21ED">
                          <w:pPr>
                            <w:spacing w:after="0"/>
                            <w:jc w:val="center"/>
                            <w:rPr>
                              <w:b/>
                              <w:bCs/>
                              <w:sz w:val="18"/>
                              <w:szCs w:val="18"/>
                            </w:rPr>
                          </w:pPr>
                          <w:r w:rsidRPr="00837BFC">
                            <w:rPr>
                              <w:b/>
                              <w:bCs/>
                              <w:color w:val="C00000"/>
                              <w:kern w:val="24"/>
                              <w:sz w:val="18"/>
                              <w:szCs w:val="18"/>
                            </w:rPr>
                            <w:t>20%</w:t>
                          </w:r>
                        </w:p>
                      </w:txbxContent>
                    </v:textbox>
                  </v:shape>
                  <v:shape id="TextBox 30" o:spid="_x0000_s1066" type="#_x0000_t202" style="position:absolute;left:8936;top:26163;width:12267;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0CD09E12"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58</w:t>
                          </w:r>
                        </w:p>
                      </w:txbxContent>
                    </v:textbox>
                  </v:shape>
                  <v:shape id="TextBox 31" o:spid="_x0000_s1067" type="#_x0000_t202" style="position:absolute;left:17018;top:35701;width:13315;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3A4CC054" w14:textId="77777777" w:rsidR="00567853" w:rsidRPr="00837BFC" w:rsidRDefault="00567853" w:rsidP="00CB21ED">
                          <w:pPr>
                            <w:spacing w:after="0"/>
                            <w:jc w:val="center"/>
                            <w:rPr>
                              <w:b/>
                              <w:bCs/>
                              <w:sz w:val="18"/>
                              <w:szCs w:val="18"/>
                            </w:rPr>
                          </w:pPr>
                          <w:r w:rsidRPr="00837BFC">
                            <w:rPr>
                              <w:b/>
                              <w:bCs/>
                              <w:color w:val="C00000"/>
                              <w:kern w:val="24"/>
                              <w:sz w:val="18"/>
                              <w:szCs w:val="18"/>
                            </w:rPr>
                            <w:t>25%</w:t>
                          </w:r>
                        </w:p>
                      </w:txbxContent>
                    </v:textbox>
                  </v:shape>
                  <v:shape id="TextBox 32" o:spid="_x0000_s1068" type="#_x0000_t202" style="position:absolute;left:27940;top:35681;width:12290;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2D7B1B4D" w14:textId="77777777" w:rsidR="00567853" w:rsidRPr="00837BFC" w:rsidRDefault="00567853" w:rsidP="00CB21ED">
                          <w:pPr>
                            <w:spacing w:after="0"/>
                            <w:jc w:val="center"/>
                            <w:rPr>
                              <w:b/>
                              <w:bCs/>
                              <w:sz w:val="18"/>
                              <w:szCs w:val="18"/>
                            </w:rPr>
                          </w:pPr>
                          <w:r w:rsidRPr="00837BFC">
                            <w:rPr>
                              <w:b/>
                              <w:bCs/>
                              <w:color w:val="C00000"/>
                              <w:kern w:val="24"/>
                              <w:sz w:val="18"/>
                              <w:szCs w:val="18"/>
                            </w:rPr>
                            <w:t>37%</w:t>
                          </w:r>
                        </w:p>
                      </w:txbxContent>
                    </v:textbox>
                  </v:shape>
                  <v:shape id="TextBox 33" o:spid="_x0000_s1069" type="#_x0000_t202" style="position:absolute;left:38840;top:35584;width:11093;height: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66D32912" w14:textId="77777777" w:rsidR="00567853" w:rsidRPr="00837BFC" w:rsidRDefault="00567853" w:rsidP="00CB21ED">
                          <w:pPr>
                            <w:spacing w:after="0"/>
                            <w:jc w:val="center"/>
                            <w:rPr>
                              <w:b/>
                              <w:bCs/>
                              <w:sz w:val="18"/>
                              <w:szCs w:val="18"/>
                            </w:rPr>
                          </w:pPr>
                          <w:r w:rsidRPr="00837BFC">
                            <w:rPr>
                              <w:b/>
                              <w:bCs/>
                              <w:color w:val="C00000"/>
                              <w:kern w:val="24"/>
                              <w:sz w:val="18"/>
                              <w:szCs w:val="18"/>
                            </w:rPr>
                            <w:t>41%</w:t>
                          </w:r>
                        </w:p>
                      </w:txbxContent>
                    </v:textbox>
                  </v:shape>
                  <v:shape id="TextBox 34" o:spid="_x0000_s1070" type="#_x0000_t202" style="position:absolute;left:47813;top:35530;width:13745;height:10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4DDB780C" w14:textId="77777777" w:rsidR="00567853" w:rsidRPr="002872E1" w:rsidRDefault="00567853" w:rsidP="00CB21ED">
                          <w:pPr>
                            <w:spacing w:after="0"/>
                            <w:jc w:val="center"/>
                            <w:rPr>
                              <w:sz w:val="18"/>
                              <w:szCs w:val="18"/>
                            </w:rPr>
                          </w:pPr>
                          <w:r w:rsidRPr="00837BFC">
                            <w:rPr>
                              <w:b/>
                              <w:bCs/>
                              <w:color w:val="C00000"/>
                              <w:kern w:val="24"/>
                              <w:sz w:val="18"/>
                              <w:szCs w:val="18"/>
                            </w:rPr>
                            <w:t>60</w:t>
                          </w:r>
                          <w:r w:rsidRPr="002872E1">
                            <w:rPr>
                              <w:color w:val="C00000"/>
                              <w:kern w:val="24"/>
                              <w:sz w:val="18"/>
                              <w:szCs w:val="18"/>
                            </w:rPr>
                            <w:t>%</w:t>
                          </w:r>
                        </w:p>
                      </w:txbxContent>
                    </v:textbox>
                  </v:shape>
                  <v:shape id="TextBox 35" o:spid="_x0000_s1071" type="#_x0000_t202" style="position:absolute;left:19377;top:22591;width:10427;height:8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77993C66"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80</w:t>
                          </w:r>
                        </w:p>
                      </w:txbxContent>
                    </v:textbox>
                  </v:shape>
                  <v:shape id="TextBox 36" o:spid="_x0000_s1072" type="#_x0000_t202" style="position:absolute;left:49619;top:3578;width:12817;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4CAEFF4D"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237</w:t>
                          </w:r>
                        </w:p>
                      </w:txbxContent>
                    </v:textbox>
                  </v:shape>
                  <v:shape id="TextBox 37" o:spid="_x0000_s1073" type="#_x0000_t202" style="position:absolute;left:28726;top:18372;width:13884;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70851CB0" w14:textId="77777777" w:rsidR="00567853" w:rsidRPr="002872E1" w:rsidRDefault="00567853" w:rsidP="00CB21ED">
                          <w:pPr>
                            <w:spacing w:after="0"/>
                            <w:rPr>
                              <w:rFonts w:ascii="Optima" w:hAnsi="Optima"/>
                              <w:sz w:val="19"/>
                              <w:szCs w:val="19"/>
                            </w:rPr>
                          </w:pPr>
                          <w:r w:rsidRPr="002872E1">
                            <w:rPr>
                              <w:rFonts w:ascii="Optima" w:hAnsi="Optima"/>
                              <w:b/>
                              <w:bCs/>
                              <w:color w:val="000000" w:themeColor="text1"/>
                              <w:kern w:val="24"/>
                              <w:sz w:val="19"/>
                              <w:szCs w:val="19"/>
                            </w:rPr>
                            <w:t>121</w:t>
                          </w:r>
                        </w:p>
                      </w:txbxContent>
                    </v:textbox>
                  </v:shape>
                  <v:shape id="TextBox 38" o:spid="_x0000_s1074" type="#_x0000_t202" style="position:absolute;left:37600;top:15012;width:13612;height:8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3DAA8579" w14:textId="77777777" w:rsidR="00567853" w:rsidRPr="002872E1" w:rsidRDefault="00567853" w:rsidP="00CB21ED">
                          <w:pPr>
                            <w:spacing w:after="0"/>
                            <w:jc w:val="center"/>
                            <w:rPr>
                              <w:rFonts w:ascii="Optima" w:hAnsi="Optima"/>
                              <w:sz w:val="19"/>
                              <w:szCs w:val="19"/>
                            </w:rPr>
                          </w:pPr>
                          <w:r w:rsidRPr="002872E1">
                            <w:rPr>
                              <w:rFonts w:ascii="Optima" w:hAnsi="Optima"/>
                              <w:b/>
                              <w:bCs/>
                              <w:color w:val="000000" w:themeColor="text1"/>
                              <w:kern w:val="24"/>
                              <w:sz w:val="19"/>
                              <w:szCs w:val="19"/>
                            </w:rPr>
                            <w:t>145</w:t>
                          </w:r>
                        </w:p>
                      </w:txbxContent>
                    </v:textbox>
                  </v:shape>
                </v:group>
                <w10:anchorlock/>
              </v:group>
            </w:pict>
          </mc:Fallback>
        </mc:AlternateContent>
      </w:r>
      <w:r>
        <w:rPr>
          <w:noProof/>
        </w:rPr>
        <mc:AlternateContent>
          <mc:Choice Requires="wps">
            <w:drawing>
              <wp:inline distT="0" distB="0" distL="0" distR="0" wp14:anchorId="58AAD9D0" wp14:editId="7A45C164">
                <wp:extent cx="3356610" cy="486137"/>
                <wp:effectExtent l="0" t="0" r="0" b="0"/>
                <wp:docPr id="10" name="Text Box 10"/>
                <wp:cNvGraphicFramePr/>
                <a:graphic xmlns:a="http://schemas.openxmlformats.org/drawingml/2006/main">
                  <a:graphicData uri="http://schemas.microsoft.com/office/word/2010/wordprocessingShape">
                    <wps:wsp>
                      <wps:cNvSpPr txBox="1"/>
                      <wps:spPr>
                        <a:xfrm>
                          <a:off x="0" y="0"/>
                          <a:ext cx="3356610" cy="486137"/>
                        </a:xfrm>
                        <a:prstGeom prst="rect">
                          <a:avLst/>
                        </a:prstGeom>
                        <a:solidFill>
                          <a:schemeClr val="lt1"/>
                        </a:solidFill>
                        <a:ln w="6350">
                          <a:noFill/>
                        </a:ln>
                      </wps:spPr>
                      <wps:txbx>
                        <w:txbxContent>
                          <w:p w14:paraId="06CF47BA" w14:textId="77777777" w:rsidR="00567853" w:rsidRPr="00D85E0C" w:rsidRDefault="00567853" w:rsidP="00936BE9">
                            <w:pPr>
                              <w:spacing w:before="0" w:after="0" w:line="240" w:lineRule="auto"/>
                              <w:rPr>
                                <w:i/>
                                <w:iCs/>
                                <w:sz w:val="16"/>
                                <w:szCs w:val="16"/>
                              </w:rPr>
                            </w:pPr>
                            <w:r w:rsidRPr="00D85E0C">
                              <w:rPr>
                                <w:i/>
                                <w:iCs/>
                                <w:sz w:val="16"/>
                                <w:szCs w:val="16"/>
                              </w:rPr>
                              <w:t>Note: Black numbers represent the growth in numbers of individuals supported to work CIE, and the percentages represent the portion of total agency revenue coming from the provision of CIE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AAD9D0" id="Text Box 10" o:spid="_x0000_s1075" type="#_x0000_t202" style="width:264.3pt;height: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" fillcolor="white [3201]" stroked="f" strokeweight=".5pt">
                <v:textbox>
                  <w:txbxContent>
                    <w:p w14:paraId="06CF47BA" w14:textId="77777777" w:rsidR="00567853" w:rsidRPr="00D85E0C" w:rsidRDefault="00567853" w:rsidP="00936BE9">
                      <w:pPr>
                        <w:spacing w:before="0" w:after="0" w:line="240" w:lineRule="auto"/>
                        <w:rPr>
                          <w:i/>
                          <w:iCs/>
                          <w:sz w:val="16"/>
                          <w:szCs w:val="16"/>
                        </w:rPr>
                      </w:pPr>
                      <w:r w:rsidRPr="00D85E0C">
                        <w:rPr>
                          <w:i/>
                          <w:iCs/>
                          <w:sz w:val="16"/>
                          <w:szCs w:val="16"/>
                        </w:rPr>
                        <w:t>Note: Black numbers represent the growth in numbers of individuals supported to work CIE, and the percentages represent the portion of total agency revenue coming from the provision of CIE services.</w:t>
                      </w:r>
                    </w:p>
                  </w:txbxContent>
                </v:textbox>
                <w10:anchorlock/>
              </v:shape>
            </w:pict>
          </mc:Fallback>
        </mc:AlternateContent>
      </w:r>
    </w:p>
    <w:p w14:paraId="6C5A23BE" w14:textId="77777777" w:rsidR="00C9395A" w:rsidRDefault="00C9395A" w:rsidP="00022B8D">
      <w:pPr>
        <w:pStyle w:val="NoSpacing"/>
      </w:pPr>
    </w:p>
    <w:p w14:paraId="77C913AF" w14:textId="69A190D5" w:rsidR="00FE2413" w:rsidRPr="00043C33" w:rsidRDefault="0064649B" w:rsidP="00D85E0C">
      <w:r w:rsidRPr="0064649B">
        <w:t xml:space="preserve">Inclusa also found evidence that this outcome-based reimbursement model supports provider transformation. The largest employment and day service provider that was moved to outcome-based reimbursement for </w:t>
      </w:r>
      <w:r w:rsidR="00263C85">
        <w:t>I</w:t>
      </w:r>
      <w:r w:rsidRPr="0064649B">
        <w:t xml:space="preserve">ndividual Supported Employment was able to </w:t>
      </w:r>
      <w:r w:rsidRPr="0064649B">
        <w:rPr>
          <w:b/>
          <w:i/>
        </w:rPr>
        <w:t>increase the number of people supported in competitive integrated employment by 300%.</w:t>
      </w:r>
      <w:r w:rsidRPr="0064649B">
        <w:t xml:space="preserve"> Additionally, the percentage of total revenue that this provider received by providing competitive integrated employment services tripled, demonstrating the rebalancing toward Employment First that had been accomplished.</w:t>
      </w:r>
    </w:p>
    <w:p w14:paraId="78050C21" w14:textId="6D5B6AB8" w:rsidR="00D85E0C" w:rsidRDefault="004D4C63" w:rsidP="00D85E0C">
      <w:r w:rsidRPr="00043C33">
        <w:t xml:space="preserve">When Inclusa introduced the model to a second area of the state, this one much more rural, it was unknown whether the outcomes would be as impressive. However, after two years of implementation in the far northwestern part of Wisconsin, Inclusa saw the number of members working in competitive integrated employment in that area of the state grow by just under 32%. </w:t>
      </w:r>
    </w:p>
    <w:p w14:paraId="74AF57A1" w14:textId="0FEF8666" w:rsidR="004D4C63" w:rsidRPr="00A049B4" w:rsidRDefault="004D4C63" w:rsidP="00B11115">
      <w:pPr>
        <w:pStyle w:val="Heading3"/>
      </w:pPr>
      <w:bookmarkStart w:id="49" w:name="_Toc70944196"/>
      <w:r w:rsidRPr="00A049B4">
        <w:t>Outcome-Based Reimbursement for Job Development</w:t>
      </w:r>
      <w:bookmarkEnd w:id="49"/>
    </w:p>
    <w:p w14:paraId="05C1AF42" w14:textId="77777777" w:rsidR="00060365" w:rsidRPr="00060365" w:rsidRDefault="00060365" w:rsidP="00D85E0C">
      <w:r w:rsidRPr="00060365">
        <w:t xml:space="preserve">In collaboration with its providers, Inclusa recognized that there are situations where the typical payer for Job Development services was not available to an Inclusa member, including the Wisconsin Division of Vocational Rehabilitation (DVR). While not expected to be a commonplace situation, Inclusa worked with providers to develop an outcome-based payment structure for Job Development. This payment structure worked to incentivize achievement of successful job placement and encourage placement to be made in a timely manner by structuring a reimbursement model </w:t>
      </w:r>
      <w:r w:rsidR="005300E6">
        <w:t>that</w:t>
      </w:r>
      <w:r w:rsidR="005300E6" w:rsidRPr="00060365">
        <w:t xml:space="preserve"> </w:t>
      </w:r>
      <w:r w:rsidRPr="00060365">
        <w:t>initiates payment when the job is secured, rather than</w:t>
      </w:r>
      <w:r w:rsidR="0043604A">
        <w:t>—</w:t>
      </w:r>
      <w:r w:rsidRPr="00060365">
        <w:t>as is the case in fee-for-service</w:t>
      </w:r>
      <w:r w:rsidR="0043604A">
        <w:t>—</w:t>
      </w:r>
      <w:r w:rsidRPr="00060365">
        <w:t>having payment</w:t>
      </w:r>
      <w:r w:rsidR="005300E6">
        <w:t>s</w:t>
      </w:r>
      <w:r w:rsidRPr="00060365">
        <w:t xml:space="preserve"> stop when the job is secured</w:t>
      </w:r>
      <w:r w:rsidR="006677B7">
        <w:t xml:space="preserve">. </w:t>
      </w:r>
    </w:p>
    <w:p w14:paraId="5EEBCDDE" w14:textId="5D76E137" w:rsidR="007C0027" w:rsidRPr="001B29BE" w:rsidRDefault="004D4C63" w:rsidP="00B1367E">
      <w:r w:rsidRPr="00043C33">
        <w:t>Inclusa adopted the same approach to placing members in acuity tiers and created four tiered payments for successful job placement, paying a higher amount for a person with higher acuity and vice versa</w:t>
      </w:r>
      <w:r w:rsidR="005043F4">
        <w:t xml:space="preserve">. </w:t>
      </w:r>
    </w:p>
    <w:tbl>
      <w:tblPr>
        <w:tblW w:w="6930" w:type="dxa"/>
        <w:jc w:val="center"/>
        <w:tblCellMar>
          <w:left w:w="0" w:type="dxa"/>
          <w:right w:w="0" w:type="dxa"/>
        </w:tblCellMar>
        <w:tblLook w:val="0420" w:firstRow="1" w:lastRow="0" w:firstColumn="0" w:lastColumn="0" w:noHBand="0" w:noVBand="1"/>
        <w:tblCaption w:val="Acuity Tier Highest to Lowest"/>
        <w:tblDescription w:val="Acuity tier highest to lowest and outcome payment for successful job development/placement"/>
      </w:tblPr>
      <w:tblGrid>
        <w:gridCol w:w="2790"/>
        <w:gridCol w:w="4140"/>
      </w:tblGrid>
      <w:tr w:rsidR="00410168" w:rsidRPr="00603D1C" w14:paraId="40C3C01D" w14:textId="77777777" w:rsidTr="00410168">
        <w:trPr>
          <w:trHeight w:val="126"/>
          <w:tblHeader/>
          <w:jc w:val="center"/>
        </w:trPr>
        <w:tc>
          <w:tcPr>
            <w:tcW w:w="2790" w:type="dxa"/>
            <w:tcBorders>
              <w:left w:val="single" w:sz="8" w:space="0" w:color="FFFFFF"/>
              <w:bottom w:val="single" w:sz="8" w:space="0" w:color="FFFFFF"/>
              <w:right w:val="single" w:sz="4" w:space="0" w:color="D9D9D9" w:themeColor="background1" w:themeShade="D9"/>
            </w:tcBorders>
            <w:shd w:val="clear" w:color="auto" w:fill="215868" w:themeFill="accent5" w:themeFillShade="80"/>
            <w:tcMar>
              <w:top w:w="72" w:type="dxa"/>
              <w:left w:w="127" w:type="dxa"/>
              <w:bottom w:w="72" w:type="dxa"/>
              <w:right w:w="127" w:type="dxa"/>
            </w:tcMar>
            <w:vAlign w:val="center"/>
          </w:tcPr>
          <w:p w14:paraId="1AFD885D" w14:textId="274A803E" w:rsidR="00410168" w:rsidRPr="00410168" w:rsidRDefault="00410168" w:rsidP="00410168">
            <w:pPr>
              <w:pStyle w:val="TableLeftColumn"/>
              <w:jc w:val="center"/>
              <w:rPr>
                <w:b/>
                <w:bCs/>
                <w:color w:val="FFFFFF" w:themeColor="background1"/>
                <w:sz w:val="19"/>
                <w:szCs w:val="19"/>
              </w:rPr>
            </w:pPr>
            <w:r w:rsidRPr="00410168">
              <w:rPr>
                <w:b/>
                <w:bCs/>
                <w:color w:val="FFFFFF" w:themeColor="background1"/>
                <w:sz w:val="19"/>
                <w:szCs w:val="19"/>
              </w:rPr>
              <w:t>Acuity Tier</w:t>
            </w:r>
          </w:p>
        </w:tc>
        <w:tc>
          <w:tcPr>
            <w:tcW w:w="4140" w:type="dxa"/>
            <w:tcBorders>
              <w:left w:val="single" w:sz="4" w:space="0" w:color="D9D9D9" w:themeColor="background1" w:themeShade="D9"/>
              <w:bottom w:val="single" w:sz="8" w:space="0" w:color="FFFFFF"/>
              <w:right w:val="single" w:sz="8" w:space="0" w:color="FFFFFF"/>
            </w:tcBorders>
            <w:shd w:val="clear" w:color="auto" w:fill="215868" w:themeFill="accent5" w:themeFillShade="80"/>
            <w:tcMar>
              <w:top w:w="72" w:type="dxa"/>
              <w:left w:w="127" w:type="dxa"/>
              <w:bottom w:w="72" w:type="dxa"/>
              <w:right w:w="127" w:type="dxa"/>
            </w:tcMar>
            <w:vAlign w:val="center"/>
          </w:tcPr>
          <w:p w14:paraId="0B651AD9" w14:textId="6B6D98C0" w:rsidR="00410168" w:rsidRPr="00410168" w:rsidRDefault="00410168" w:rsidP="00410168">
            <w:pPr>
              <w:pStyle w:val="TablePercentages"/>
              <w:jc w:val="center"/>
              <w:rPr>
                <w:b/>
                <w:bCs/>
                <w:color w:val="FFFFFF" w:themeColor="background1"/>
                <w:sz w:val="19"/>
                <w:szCs w:val="19"/>
              </w:rPr>
            </w:pPr>
            <w:r w:rsidRPr="00410168">
              <w:rPr>
                <w:b/>
                <w:bCs/>
                <w:color w:val="FFFFFF" w:themeColor="background1"/>
                <w:sz w:val="19"/>
                <w:szCs w:val="19"/>
              </w:rPr>
              <w:t>Outcome Payment for Successful Job Development/Placement</w:t>
            </w:r>
          </w:p>
        </w:tc>
      </w:tr>
      <w:tr w:rsidR="004D4C63" w:rsidRPr="00603D1C" w14:paraId="319AD13A" w14:textId="77777777" w:rsidTr="00410168">
        <w:trPr>
          <w:trHeight w:val="126"/>
          <w:tblHeader/>
          <w:jc w:val="center"/>
        </w:trPr>
        <w:tc>
          <w:tcPr>
            <w:tcW w:w="2790" w:type="dxa"/>
            <w:tcBorders>
              <w:left w:val="single" w:sz="8" w:space="0" w:color="FFFFFF"/>
              <w:bottom w:val="single" w:sz="8" w:space="0" w:color="FFFFFF"/>
              <w:right w:val="single" w:sz="4" w:space="0" w:color="D9D9D9" w:themeColor="background1" w:themeShade="D9"/>
            </w:tcBorders>
            <w:shd w:val="clear" w:color="auto" w:fill="auto"/>
            <w:tcMar>
              <w:top w:w="72" w:type="dxa"/>
              <w:left w:w="127" w:type="dxa"/>
              <w:bottom w:w="72" w:type="dxa"/>
              <w:right w:w="127" w:type="dxa"/>
            </w:tcMar>
            <w:vAlign w:val="center"/>
            <w:hideMark/>
          </w:tcPr>
          <w:p w14:paraId="2C24D5CC" w14:textId="77777777" w:rsidR="004D4C63" w:rsidRPr="00603D1C" w:rsidRDefault="004D4C63" w:rsidP="00410168">
            <w:pPr>
              <w:pStyle w:val="TableLeftColumn"/>
              <w:jc w:val="center"/>
              <w:rPr>
                <w:color w:val="262626" w:themeColor="text1" w:themeTint="D9"/>
                <w:sz w:val="19"/>
                <w:szCs w:val="19"/>
              </w:rPr>
            </w:pPr>
            <w:r w:rsidRPr="00603D1C">
              <w:rPr>
                <w:color w:val="262626" w:themeColor="text1" w:themeTint="D9"/>
                <w:sz w:val="19"/>
                <w:szCs w:val="19"/>
              </w:rPr>
              <w:t>Tier 1 (Highest Acuity)</w:t>
            </w:r>
          </w:p>
        </w:tc>
        <w:tc>
          <w:tcPr>
            <w:tcW w:w="4140" w:type="dxa"/>
            <w:tcBorders>
              <w:left w:val="single" w:sz="4" w:space="0" w:color="D9D9D9" w:themeColor="background1" w:themeShade="D9"/>
              <w:bottom w:val="single" w:sz="8" w:space="0" w:color="FFFFFF"/>
              <w:right w:val="single" w:sz="8" w:space="0" w:color="FFFFFF"/>
            </w:tcBorders>
            <w:shd w:val="clear" w:color="auto" w:fill="auto"/>
            <w:tcMar>
              <w:top w:w="72" w:type="dxa"/>
              <w:left w:w="127" w:type="dxa"/>
              <w:bottom w:w="72" w:type="dxa"/>
              <w:right w:w="127" w:type="dxa"/>
            </w:tcMar>
            <w:vAlign w:val="center"/>
            <w:hideMark/>
          </w:tcPr>
          <w:p w14:paraId="1C2AD0D9" w14:textId="77777777" w:rsidR="004D4C63" w:rsidRPr="00603D1C" w:rsidRDefault="004D4C63" w:rsidP="00410168">
            <w:pPr>
              <w:pStyle w:val="TablePercentages"/>
              <w:jc w:val="center"/>
              <w:rPr>
                <w:color w:val="262626" w:themeColor="text1" w:themeTint="D9"/>
                <w:sz w:val="19"/>
                <w:szCs w:val="19"/>
              </w:rPr>
            </w:pPr>
            <w:r w:rsidRPr="00603D1C">
              <w:rPr>
                <w:color w:val="262626" w:themeColor="text1" w:themeTint="D9"/>
                <w:sz w:val="19"/>
                <w:szCs w:val="19"/>
              </w:rPr>
              <w:t>$1,600</w:t>
            </w:r>
          </w:p>
        </w:tc>
      </w:tr>
      <w:tr w:rsidR="004D4C63" w:rsidRPr="00603D1C" w14:paraId="10472547" w14:textId="77777777" w:rsidTr="00410168">
        <w:trPr>
          <w:trHeight w:val="232"/>
          <w:tblHeader/>
          <w:jc w:val="center"/>
        </w:trPr>
        <w:tc>
          <w:tcPr>
            <w:tcW w:w="2790" w:type="dxa"/>
            <w:tcBorders>
              <w:top w:val="single" w:sz="8" w:space="0" w:color="FFFFFF"/>
              <w:left w:val="single" w:sz="8" w:space="0" w:color="FFFFFF"/>
              <w:bottom w:val="single" w:sz="8" w:space="0" w:color="FFFFFF"/>
              <w:right w:val="single" w:sz="4" w:space="0" w:color="D9D9D9" w:themeColor="background1" w:themeShade="D9"/>
            </w:tcBorders>
            <w:shd w:val="clear" w:color="auto" w:fill="DAEEF3" w:themeFill="accent5" w:themeFillTint="33"/>
            <w:tcMar>
              <w:top w:w="72" w:type="dxa"/>
              <w:left w:w="127" w:type="dxa"/>
              <w:bottom w:w="72" w:type="dxa"/>
              <w:right w:w="127" w:type="dxa"/>
            </w:tcMar>
            <w:vAlign w:val="center"/>
            <w:hideMark/>
          </w:tcPr>
          <w:p w14:paraId="1B5960FC" w14:textId="77777777" w:rsidR="004D4C63" w:rsidRPr="00603D1C" w:rsidRDefault="004D4C63" w:rsidP="00410168">
            <w:pPr>
              <w:pStyle w:val="TableLeftColumn"/>
              <w:jc w:val="center"/>
              <w:rPr>
                <w:color w:val="262626" w:themeColor="text1" w:themeTint="D9"/>
                <w:sz w:val="19"/>
                <w:szCs w:val="19"/>
              </w:rPr>
            </w:pPr>
            <w:r w:rsidRPr="00603D1C">
              <w:rPr>
                <w:color w:val="262626" w:themeColor="text1" w:themeTint="D9"/>
                <w:sz w:val="19"/>
                <w:szCs w:val="19"/>
              </w:rPr>
              <w:t>Tier 2</w:t>
            </w:r>
          </w:p>
        </w:tc>
        <w:tc>
          <w:tcPr>
            <w:tcW w:w="4140" w:type="dxa"/>
            <w:tcBorders>
              <w:top w:val="single" w:sz="8" w:space="0" w:color="FFFFFF"/>
              <w:left w:val="single" w:sz="4" w:space="0" w:color="D9D9D9" w:themeColor="background1" w:themeShade="D9"/>
              <w:bottom w:val="single" w:sz="8" w:space="0" w:color="FFFFFF"/>
              <w:right w:val="single" w:sz="8" w:space="0" w:color="FFFFFF"/>
            </w:tcBorders>
            <w:shd w:val="clear" w:color="auto" w:fill="DAEEF3" w:themeFill="accent5" w:themeFillTint="33"/>
            <w:tcMar>
              <w:top w:w="72" w:type="dxa"/>
              <w:left w:w="127" w:type="dxa"/>
              <w:bottom w:w="72" w:type="dxa"/>
              <w:right w:w="127" w:type="dxa"/>
            </w:tcMar>
            <w:vAlign w:val="center"/>
            <w:hideMark/>
          </w:tcPr>
          <w:p w14:paraId="4EEA5EE4" w14:textId="77777777" w:rsidR="004D4C63" w:rsidRPr="00603D1C" w:rsidRDefault="004D4C63" w:rsidP="00410168">
            <w:pPr>
              <w:pStyle w:val="TablePercentages"/>
              <w:jc w:val="center"/>
              <w:rPr>
                <w:color w:val="262626" w:themeColor="text1" w:themeTint="D9"/>
                <w:sz w:val="19"/>
                <w:szCs w:val="19"/>
              </w:rPr>
            </w:pPr>
            <w:r w:rsidRPr="00603D1C">
              <w:rPr>
                <w:color w:val="262626" w:themeColor="text1" w:themeTint="D9"/>
                <w:sz w:val="19"/>
                <w:szCs w:val="19"/>
              </w:rPr>
              <w:t>$1,200</w:t>
            </w:r>
          </w:p>
        </w:tc>
      </w:tr>
      <w:tr w:rsidR="004D4C63" w:rsidRPr="00603D1C" w14:paraId="02611A58" w14:textId="77777777" w:rsidTr="00410168">
        <w:trPr>
          <w:trHeight w:val="19"/>
          <w:tblHeader/>
          <w:jc w:val="center"/>
        </w:trPr>
        <w:tc>
          <w:tcPr>
            <w:tcW w:w="2790" w:type="dxa"/>
            <w:tcBorders>
              <w:top w:val="single" w:sz="8" w:space="0" w:color="FFFFFF"/>
              <w:left w:val="single" w:sz="8" w:space="0" w:color="FFFFFF"/>
              <w:bottom w:val="single" w:sz="8" w:space="0" w:color="FFFFFF"/>
              <w:right w:val="single" w:sz="4" w:space="0" w:color="D9D9D9" w:themeColor="background1" w:themeShade="D9"/>
            </w:tcBorders>
            <w:shd w:val="clear" w:color="auto" w:fill="auto"/>
            <w:tcMar>
              <w:top w:w="72" w:type="dxa"/>
              <w:left w:w="127" w:type="dxa"/>
              <w:bottom w:w="72" w:type="dxa"/>
              <w:right w:w="127" w:type="dxa"/>
            </w:tcMar>
            <w:vAlign w:val="center"/>
            <w:hideMark/>
          </w:tcPr>
          <w:p w14:paraId="146DBD1B" w14:textId="77777777" w:rsidR="004D4C63" w:rsidRPr="00603D1C" w:rsidRDefault="004D4C63" w:rsidP="00410168">
            <w:pPr>
              <w:pStyle w:val="TableLeftColumn"/>
              <w:jc w:val="center"/>
              <w:rPr>
                <w:color w:val="262626" w:themeColor="text1" w:themeTint="D9"/>
                <w:sz w:val="19"/>
                <w:szCs w:val="19"/>
              </w:rPr>
            </w:pPr>
            <w:r w:rsidRPr="00603D1C">
              <w:rPr>
                <w:color w:val="262626" w:themeColor="text1" w:themeTint="D9"/>
                <w:sz w:val="19"/>
                <w:szCs w:val="19"/>
              </w:rPr>
              <w:t>Tier 3</w:t>
            </w:r>
          </w:p>
        </w:tc>
        <w:tc>
          <w:tcPr>
            <w:tcW w:w="4140" w:type="dxa"/>
            <w:tcBorders>
              <w:top w:val="single" w:sz="8" w:space="0" w:color="FFFFFF"/>
              <w:left w:val="single" w:sz="4" w:space="0" w:color="D9D9D9" w:themeColor="background1" w:themeShade="D9"/>
              <w:bottom w:val="single" w:sz="8" w:space="0" w:color="FFFFFF"/>
              <w:right w:val="single" w:sz="8" w:space="0" w:color="FFFFFF"/>
            </w:tcBorders>
            <w:shd w:val="clear" w:color="auto" w:fill="auto"/>
            <w:tcMar>
              <w:top w:w="72" w:type="dxa"/>
              <w:left w:w="127" w:type="dxa"/>
              <w:bottom w:w="72" w:type="dxa"/>
              <w:right w:w="127" w:type="dxa"/>
            </w:tcMar>
            <w:vAlign w:val="center"/>
            <w:hideMark/>
          </w:tcPr>
          <w:p w14:paraId="50FC8402" w14:textId="77777777" w:rsidR="004D4C63" w:rsidRPr="00603D1C" w:rsidRDefault="004D4C63" w:rsidP="00410168">
            <w:pPr>
              <w:pStyle w:val="TablePercentages"/>
              <w:jc w:val="center"/>
              <w:rPr>
                <w:color w:val="262626" w:themeColor="text1" w:themeTint="D9"/>
                <w:sz w:val="19"/>
                <w:szCs w:val="19"/>
              </w:rPr>
            </w:pPr>
            <w:r w:rsidRPr="00603D1C">
              <w:rPr>
                <w:color w:val="262626" w:themeColor="text1" w:themeTint="D9"/>
                <w:sz w:val="19"/>
                <w:szCs w:val="19"/>
              </w:rPr>
              <w:t>$900</w:t>
            </w:r>
          </w:p>
        </w:tc>
      </w:tr>
      <w:tr w:rsidR="004D4C63" w:rsidRPr="00603D1C" w14:paraId="66722ED3" w14:textId="77777777" w:rsidTr="00410168">
        <w:trPr>
          <w:trHeight w:val="259"/>
          <w:tblHeader/>
          <w:jc w:val="center"/>
        </w:trPr>
        <w:tc>
          <w:tcPr>
            <w:tcW w:w="2790" w:type="dxa"/>
            <w:tcBorders>
              <w:top w:val="single" w:sz="8" w:space="0" w:color="FFFFFF"/>
              <w:left w:val="single" w:sz="8" w:space="0" w:color="FFFFFF"/>
              <w:bottom w:val="single" w:sz="8" w:space="0" w:color="FFFFFF"/>
              <w:right w:val="single" w:sz="4" w:space="0" w:color="D9D9D9" w:themeColor="background1" w:themeShade="D9"/>
            </w:tcBorders>
            <w:shd w:val="clear" w:color="auto" w:fill="DAEEF3" w:themeFill="accent5" w:themeFillTint="33"/>
            <w:tcMar>
              <w:top w:w="72" w:type="dxa"/>
              <w:left w:w="127" w:type="dxa"/>
              <w:bottom w:w="72" w:type="dxa"/>
              <w:right w:w="127" w:type="dxa"/>
            </w:tcMar>
            <w:vAlign w:val="center"/>
            <w:hideMark/>
          </w:tcPr>
          <w:p w14:paraId="623C5EBC" w14:textId="77777777" w:rsidR="004D4C63" w:rsidRPr="00603D1C" w:rsidRDefault="004D4C63" w:rsidP="00410168">
            <w:pPr>
              <w:pStyle w:val="TableLeftColumn"/>
              <w:jc w:val="center"/>
              <w:rPr>
                <w:color w:val="262626" w:themeColor="text1" w:themeTint="D9"/>
                <w:sz w:val="19"/>
                <w:szCs w:val="19"/>
              </w:rPr>
            </w:pPr>
            <w:r w:rsidRPr="00603D1C">
              <w:rPr>
                <w:color w:val="262626" w:themeColor="text1" w:themeTint="D9"/>
                <w:sz w:val="19"/>
                <w:szCs w:val="19"/>
              </w:rPr>
              <w:t>Tier 4 (Lowest Acuity)</w:t>
            </w:r>
          </w:p>
        </w:tc>
        <w:tc>
          <w:tcPr>
            <w:tcW w:w="4140" w:type="dxa"/>
            <w:tcBorders>
              <w:top w:val="single" w:sz="8" w:space="0" w:color="FFFFFF"/>
              <w:left w:val="single" w:sz="4" w:space="0" w:color="D9D9D9" w:themeColor="background1" w:themeShade="D9"/>
              <w:bottom w:val="single" w:sz="8" w:space="0" w:color="FFFFFF"/>
              <w:right w:val="single" w:sz="8" w:space="0" w:color="FFFFFF"/>
            </w:tcBorders>
            <w:shd w:val="clear" w:color="auto" w:fill="DAEEF3" w:themeFill="accent5" w:themeFillTint="33"/>
            <w:tcMar>
              <w:top w:w="72" w:type="dxa"/>
              <w:left w:w="127" w:type="dxa"/>
              <w:bottom w:w="72" w:type="dxa"/>
              <w:right w:w="127" w:type="dxa"/>
            </w:tcMar>
            <w:vAlign w:val="center"/>
            <w:hideMark/>
          </w:tcPr>
          <w:p w14:paraId="410B380D" w14:textId="77777777" w:rsidR="004D4C63" w:rsidRPr="00603D1C" w:rsidRDefault="004D4C63" w:rsidP="00410168">
            <w:pPr>
              <w:pStyle w:val="TablePercentages"/>
              <w:jc w:val="center"/>
              <w:rPr>
                <w:color w:val="262626" w:themeColor="text1" w:themeTint="D9"/>
                <w:sz w:val="19"/>
                <w:szCs w:val="19"/>
              </w:rPr>
            </w:pPr>
            <w:r w:rsidRPr="00603D1C">
              <w:rPr>
                <w:color w:val="262626" w:themeColor="text1" w:themeTint="D9"/>
                <w:sz w:val="19"/>
                <w:szCs w:val="19"/>
              </w:rPr>
              <w:t>$650</w:t>
            </w:r>
          </w:p>
        </w:tc>
      </w:tr>
    </w:tbl>
    <w:p w14:paraId="457B4844" w14:textId="77777777" w:rsidR="004D4C63" w:rsidRPr="00043C33" w:rsidRDefault="004D4C63" w:rsidP="002476FD">
      <w:pPr>
        <w:pStyle w:val="NoSpacing"/>
      </w:pPr>
    </w:p>
    <w:p w14:paraId="25903CF6" w14:textId="77777777" w:rsidR="004D4C63" w:rsidRPr="00043C33" w:rsidRDefault="004D4C63" w:rsidP="00B1367E">
      <w:r w:rsidRPr="00043C33">
        <w:t xml:space="preserve">Inclusa specifically set the rates at a level lower than the milestone payment offered by DVR to ensure there would be no incentive for providers to bypass DVR. </w:t>
      </w:r>
      <w:r w:rsidRPr="008855F3">
        <w:t xml:space="preserve">To further ensure DVR would be fully utilized, Inclusa trained its Care Managers (Case Managers) to track any member engaged with DVR and contact DVR if </w:t>
      </w:r>
      <w:r w:rsidR="008855F3" w:rsidRPr="00280EC4">
        <w:t>any party informed the Care Manager</w:t>
      </w:r>
      <w:r w:rsidRPr="008855F3">
        <w:t xml:space="preserve"> that DVR was closing the member’s case unsuccessfully (without the member having secured competitive integrated employment).</w:t>
      </w:r>
      <w:r w:rsidRPr="00043C33">
        <w:t xml:space="preserve"> When Care Managers implemented routine follow up with the local DVR office, they were able to prevent cases from being closed and/or get cases reopened quickly, which further ensured DVR was always leveraged as the primary payer for Job Development.</w:t>
      </w:r>
    </w:p>
    <w:p w14:paraId="297F5E31" w14:textId="77777777" w:rsidR="004D4C63" w:rsidRPr="00DA2A97" w:rsidRDefault="00552B55" w:rsidP="00B11115">
      <w:pPr>
        <w:pStyle w:val="Heading2"/>
      </w:pPr>
      <w:bookmarkStart w:id="50" w:name="_Toc70944197"/>
      <w:r w:rsidRPr="00DA2A97">
        <w:t>Case Example</w:t>
      </w:r>
      <w:r w:rsidR="008C4BED" w:rsidRPr="00DA2A97">
        <w:t xml:space="preserve">: </w:t>
      </w:r>
      <w:r w:rsidR="004D4C63" w:rsidRPr="00DA2A97">
        <w:t>O</w:t>
      </w:r>
      <w:r w:rsidRPr="00DA2A97">
        <w:t>regon</w:t>
      </w:r>
      <w:bookmarkEnd w:id="50"/>
    </w:p>
    <w:p w14:paraId="164D59D1" w14:textId="77777777" w:rsidR="00C34DC1" w:rsidRPr="00C34DC1" w:rsidRDefault="00C34DC1" w:rsidP="00B1367E">
      <w:r w:rsidRPr="00C34DC1">
        <w:t>As part of advancing Employment First, in 2013, the Oregon Office of Developmental Disabilities Services (ODDS) began considering the inclusion of outcome-based reimbursement for employment services in its 1915c waivers</w:t>
      </w:r>
      <w:r w:rsidR="006677B7">
        <w:t xml:space="preserve">. </w:t>
      </w:r>
      <w:r w:rsidRPr="00C34DC1">
        <w:t xml:space="preserve">Consulting on Employment First with ODDS from 2013 to 2015, I had the opportunity to work with the agency to develop its waiver changes to advance Employment First including “Employment Path” services, one of the first examples in the country of a Prevocational Service that did not utilize sheltered work as part of its service model. In addition to job coaching, the changes also included outcome-based reimbursement models for Supported Employment-Individual services and </w:t>
      </w:r>
      <w:r w:rsidR="00F74747">
        <w:t xml:space="preserve">the </w:t>
      </w:r>
      <w:r w:rsidRPr="00C34DC1">
        <w:t>inclusion of two pre-employment services (Discovery and Job Development)</w:t>
      </w:r>
      <w:r w:rsidR="006677B7">
        <w:t xml:space="preserve">. </w:t>
      </w:r>
      <w:r w:rsidRPr="00C34DC1">
        <w:t xml:space="preserve">ODDS began by considering the Wisconsin model described above, developed by Inclusa, and built its own model based on the Wisconsin approach. </w:t>
      </w:r>
    </w:p>
    <w:p w14:paraId="307B5C80" w14:textId="77777777" w:rsidR="004D4C63" w:rsidRPr="00A049B4" w:rsidRDefault="004D4C63" w:rsidP="00B11115">
      <w:pPr>
        <w:pStyle w:val="Heading3"/>
      </w:pPr>
      <w:bookmarkStart w:id="51" w:name="_Toc70944198"/>
      <w:r w:rsidRPr="00A049B4">
        <w:t>Discovery</w:t>
      </w:r>
      <w:bookmarkEnd w:id="51"/>
    </w:p>
    <w:p w14:paraId="07986F79" w14:textId="77777777" w:rsidR="00031F10" w:rsidRPr="00043C33" w:rsidRDefault="00031F10" w:rsidP="00B1367E">
      <w:r w:rsidRPr="00B81F90">
        <w:t xml:space="preserve">ODDS opted to develop a waiver “Discovery” service to ensure the waivers could purchase the evidence-based process known as </w:t>
      </w:r>
      <w:r w:rsidRPr="00E33D7B">
        <w:t>Discovery</w:t>
      </w:r>
      <w:r w:rsidRPr="00B81F90">
        <w:rPr>
          <w:b/>
        </w:rPr>
        <w:t xml:space="preserve">, </w:t>
      </w:r>
      <w:r w:rsidRPr="00B81F90">
        <w:t>first conceived by Michael Callahan of Marc Gold and Associates</w:t>
      </w:r>
      <w:r w:rsidR="0076056F" w:rsidRPr="00B81F90">
        <w:t>,</w:t>
      </w:r>
      <w:r w:rsidRPr="00B81F90">
        <w:rPr>
          <w:rStyle w:val="FootnoteReference"/>
          <w:sz w:val="24"/>
          <w:szCs w:val="24"/>
        </w:rPr>
        <w:footnoteReference w:id="26"/>
      </w:r>
      <w:r w:rsidRPr="00B81F90">
        <w:t xml:space="preserve"> and subsequently recognized by ODEP and other federal agencies (including CMS and RSA) as the first strategies in a comprehensive </w:t>
      </w:r>
      <w:r w:rsidR="000F55AF" w:rsidRPr="00B81F90">
        <w:rPr>
          <w:i/>
        </w:rPr>
        <w:t>CE</w:t>
      </w:r>
      <w:r w:rsidRPr="00B81F90">
        <w:t xml:space="preserve"> process</w:t>
      </w:r>
      <w:r w:rsidR="006677B7" w:rsidRPr="00B81F90">
        <w:t>.</w:t>
      </w:r>
      <w:r w:rsidR="006677B7">
        <w:t xml:space="preserve"> </w:t>
      </w:r>
      <w:r w:rsidRPr="00043C33">
        <w:t xml:space="preserve">In 2015, Oregon became one of the first states to have Discovery as a distinct, covered service in its waiver and to receive approval to pay for this service on an outcome basis. </w:t>
      </w:r>
    </w:p>
    <w:p w14:paraId="7DF927AE" w14:textId="77777777" w:rsidR="00031F10" w:rsidRPr="00043C33" w:rsidRDefault="00031F10" w:rsidP="00B1367E">
      <w:r w:rsidRPr="00043C33">
        <w:t xml:space="preserve">ODDS recognized the value of paying for Discovery on an outcome basis to ensure the process of moving people from interest in competitive integrated employment to achieving such employment </w:t>
      </w:r>
      <w:r w:rsidR="00025DEF">
        <w:t xml:space="preserve">that </w:t>
      </w:r>
      <w:r w:rsidRPr="00043C33">
        <w:t xml:space="preserve">would not be delayed for reasons otherwise within the control of ODDS. Unfortunately, using fee-for-service to purchase pre-employment services discourages completion of the service as payment based on service stops when the service stops. By comparison, using an outcome-based payment encourages completion of the service in a timely manner because payment starts, rather than stops, when the service is completed. However, in order for an outcome-based payment for Discovery to be effective, </w:t>
      </w:r>
      <w:r w:rsidRPr="00043C33">
        <w:rPr>
          <w:u w:val="single"/>
        </w:rPr>
        <w:t>regardless of whether Medicaid</w:t>
      </w:r>
      <w:r w:rsidR="00885837">
        <w:rPr>
          <w:u w:val="single"/>
        </w:rPr>
        <w:t xml:space="preserve">, </w:t>
      </w:r>
      <w:r w:rsidRPr="00043C33">
        <w:rPr>
          <w:u w:val="single"/>
        </w:rPr>
        <w:t>VR</w:t>
      </w:r>
      <w:r w:rsidR="00885837">
        <w:rPr>
          <w:u w:val="single"/>
        </w:rPr>
        <w:t>,</w:t>
      </w:r>
      <w:r w:rsidRPr="00043C33">
        <w:rPr>
          <w:u w:val="single"/>
        </w:rPr>
        <w:t xml:space="preserve"> or any other funder may be paying</w:t>
      </w:r>
      <w:r w:rsidRPr="00043C33">
        <w:t>, it is critical that a few things are clearly defined for all service providers, including:</w:t>
      </w:r>
    </w:p>
    <w:p w14:paraId="5A743D4A" w14:textId="77777777" w:rsidR="004D4C63" w:rsidRPr="00043C33" w:rsidRDefault="004D4C63" w:rsidP="00D755C4">
      <w:pPr>
        <w:pStyle w:val="ListBullet"/>
      </w:pPr>
      <w:r w:rsidRPr="00043C33">
        <w:t>The required elements of the service process that are the minimum that must be completed;</w:t>
      </w:r>
    </w:p>
    <w:p w14:paraId="38601C1F" w14:textId="2CC64BE2" w:rsidR="004D4C63" w:rsidRPr="00043C33" w:rsidRDefault="004D4C63" w:rsidP="00D755C4">
      <w:pPr>
        <w:pStyle w:val="ListBullet"/>
      </w:pPr>
      <w:r w:rsidRPr="00043C33">
        <w:t>The results of the service in terms of gathering information and learning that occurs, which at</w:t>
      </w:r>
      <w:r w:rsidR="0001180B">
        <w:t xml:space="preserve"> </w:t>
      </w:r>
      <w:r w:rsidR="009B2549">
        <w:t xml:space="preserve"> </w:t>
      </w:r>
      <w:r w:rsidRPr="00043C33">
        <w:t>minimum, must be addressed in the Discovery Profile Report that is submitted at the end of the service (</w:t>
      </w:r>
      <w:r w:rsidRPr="00E33D7B">
        <w:rPr>
          <w:iCs/>
        </w:rPr>
        <w:t>Note</w:t>
      </w:r>
      <w:r w:rsidR="008C4BED" w:rsidRPr="00E33D7B">
        <w:rPr>
          <w:iCs/>
        </w:rPr>
        <w:t xml:space="preserve">: </w:t>
      </w:r>
      <w:r w:rsidRPr="00E33D7B">
        <w:rPr>
          <w:iCs/>
        </w:rPr>
        <w:t>a required template for the Discovery Profile report helps ensure all essential elements of a complete Discovery Profile are addressed).</w:t>
      </w:r>
    </w:p>
    <w:p w14:paraId="5A239BBD" w14:textId="77777777" w:rsidR="004D4C63" w:rsidRPr="00043C33" w:rsidRDefault="004D4C63" w:rsidP="00B1367E">
      <w:r w:rsidRPr="00043C33">
        <w:t>Additionally, to design an effective outcome-based payment for the Discovery pre-employment service, a number of factors must be factored into the payment, including:</w:t>
      </w:r>
    </w:p>
    <w:p w14:paraId="231A90A2" w14:textId="77777777" w:rsidR="004D4C63" w:rsidRPr="00043C33" w:rsidRDefault="004D4C63" w:rsidP="00D755C4">
      <w:pPr>
        <w:pStyle w:val="ListBullet"/>
      </w:pPr>
      <w:r w:rsidRPr="00043C33">
        <w:t>The average amount of service a provider is expected to need to deliver in order to complete the service, taking account of the pre-established required service process elements and required minimum contents of the Discovery Profile Report as described above;</w:t>
      </w:r>
    </w:p>
    <w:p w14:paraId="4D2B4AB4" w14:textId="77777777" w:rsidR="004D4C63" w:rsidRPr="007F53E4" w:rsidRDefault="004D4C63" w:rsidP="00F7360C">
      <w:pPr>
        <w:pStyle w:val="ListBullet"/>
        <w:rPr>
          <w:sz w:val="24"/>
          <w:szCs w:val="24"/>
        </w:rPr>
      </w:pPr>
      <w:r w:rsidRPr="00043C33">
        <w:t xml:space="preserve">The appropriate cost per hour of service for a qualified staff person to deliver the service, based on </w:t>
      </w:r>
      <w:r w:rsidRPr="007F53E4">
        <w:t>minimum qualifications established by the funding source.</w:t>
      </w:r>
    </w:p>
    <w:p w14:paraId="22BDFE48" w14:textId="200919A6" w:rsidR="00D464C4" w:rsidRDefault="00031F10" w:rsidP="00DA0235">
      <w:pPr>
        <w:spacing w:after="240"/>
      </w:pPr>
      <w:r w:rsidRPr="00043C33">
        <w:t xml:space="preserve">Initially, ODDS determined, based on national experience with </w:t>
      </w:r>
      <w:r w:rsidR="00422A43">
        <w:t xml:space="preserve">the </w:t>
      </w:r>
      <w:r w:rsidRPr="00043C33">
        <w:t>implementation of Discovery services, that 40 hours would be the average number of hours that would be required to complete a quality Discovery process, including all non-face-to-face time as well as the time to write the Discovery Profile Report. Based on</w:t>
      </w:r>
      <w:r w:rsidR="001F2167">
        <w:t xml:space="preserve"> the</w:t>
      </w:r>
      <w:r w:rsidRPr="00043C33">
        <w:t xml:space="preserve"> acuity of the individual served, </w:t>
      </w:r>
      <w:r w:rsidR="00FD2CC2">
        <w:t>time</w:t>
      </w:r>
      <w:r w:rsidR="00FD2CC2" w:rsidRPr="00043C33">
        <w:t xml:space="preserve"> </w:t>
      </w:r>
      <w:r w:rsidRPr="00043C33">
        <w:t>to complete ranged from 35 hours (lowest acuity) to 45 hours (highest acuity) with the average set at 40 hours. ODDS further determined the per-hour, gross cost for a qualified staff person to complete Discovery was $40.00/hour. Thus, the outcome payment for Discovery was initially set at $1,600. In more recent</w:t>
      </w:r>
      <w:r>
        <w:t xml:space="preserve"> </w:t>
      </w:r>
      <w:r w:rsidRPr="00043C33">
        <w:t>re-evaluati</w:t>
      </w:r>
      <w:r>
        <w:t>ons</w:t>
      </w:r>
      <w:r w:rsidRPr="00043C33">
        <w:t xml:space="preserve"> </w:t>
      </w:r>
      <w:r w:rsidR="00FD2CC2">
        <w:t xml:space="preserve">of </w:t>
      </w:r>
      <w:r w:rsidRPr="00043C33">
        <w:t xml:space="preserve">the model, ODDS opted to establish </w:t>
      </w:r>
      <w:r w:rsidR="00D464C4" w:rsidRPr="00C9521E">
        <w:t>three-tiered</w:t>
      </w:r>
      <w:r w:rsidRPr="00043C33">
        <w:t xml:space="preserve"> outcome payments for Discovery, based on acuity and provider cost reporting</w:t>
      </w:r>
      <w:r>
        <w:t>. This</w:t>
      </w:r>
      <w:r w:rsidRPr="00043C33">
        <w:t xml:space="preserve"> also resulted in an increase in the gross cost per hour for a qualified staff person to deliver the service: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050"/>
        <w:gridCol w:w="1710"/>
        <w:gridCol w:w="1890"/>
        <w:gridCol w:w="1620"/>
      </w:tblGrid>
      <w:tr w:rsidR="00874B48" w:rsidRPr="00FE3E47" w14:paraId="1FBB9E61" w14:textId="77777777" w:rsidTr="00C76F2C">
        <w:trPr>
          <w:trHeight w:val="234"/>
          <w:jc w:val="center"/>
        </w:trPr>
        <w:tc>
          <w:tcPr>
            <w:tcW w:w="4050" w:type="dxa"/>
            <w:tcBorders>
              <w:top w:val="single" w:sz="4" w:space="0" w:color="BFBFBF" w:themeColor="background1" w:themeShade="BF"/>
              <w:bottom w:val="single" w:sz="4" w:space="0" w:color="BFBFBF" w:themeColor="background1" w:themeShade="BF"/>
            </w:tcBorders>
            <w:shd w:val="clear" w:color="auto" w:fill="215868" w:themeFill="accent5" w:themeFillShade="80"/>
            <w:vAlign w:val="center"/>
          </w:tcPr>
          <w:p w14:paraId="6DD0E041" w14:textId="77777777" w:rsidR="004D4C63" w:rsidRPr="00FE3E47" w:rsidRDefault="004D4C63" w:rsidP="00FE3E47">
            <w:pPr>
              <w:pStyle w:val="TableLeftColumn"/>
              <w:spacing w:before="60" w:after="60"/>
              <w:rPr>
                <w:b/>
                <w:bCs/>
                <w:color w:val="FFFFFF" w:themeColor="background1"/>
                <w:sz w:val="19"/>
                <w:szCs w:val="19"/>
              </w:rPr>
            </w:pPr>
            <w:r w:rsidRPr="00FE3E47">
              <w:rPr>
                <w:b/>
                <w:bCs/>
                <w:color w:val="FFFFFF" w:themeColor="background1"/>
                <w:sz w:val="19"/>
                <w:szCs w:val="19"/>
              </w:rPr>
              <w:t>D</w:t>
            </w:r>
            <w:r w:rsidR="009921F5">
              <w:rPr>
                <w:b/>
                <w:bCs/>
                <w:color w:val="FFFFFF" w:themeColor="background1"/>
                <w:sz w:val="19"/>
                <w:szCs w:val="19"/>
              </w:rPr>
              <w:t>iscovery Acuity Tier</w:t>
            </w:r>
          </w:p>
        </w:tc>
        <w:tc>
          <w:tcPr>
            <w:tcW w:w="1710" w:type="dxa"/>
            <w:tcBorders>
              <w:top w:val="single" w:sz="4" w:space="0" w:color="BFBFBF" w:themeColor="background1" w:themeShade="BF"/>
              <w:bottom w:val="single" w:sz="4" w:space="0" w:color="BFBFBF" w:themeColor="background1" w:themeShade="BF"/>
            </w:tcBorders>
            <w:shd w:val="clear" w:color="auto" w:fill="215868" w:themeFill="accent5" w:themeFillShade="80"/>
            <w:vAlign w:val="center"/>
          </w:tcPr>
          <w:p w14:paraId="0137FE20" w14:textId="77777777" w:rsidR="004D4C63" w:rsidRPr="00FE3E47" w:rsidRDefault="004D4C63" w:rsidP="006851B2">
            <w:pPr>
              <w:pStyle w:val="TablePercentages"/>
              <w:spacing w:before="60" w:after="60"/>
              <w:jc w:val="center"/>
              <w:rPr>
                <w:b/>
                <w:bCs/>
                <w:color w:val="FFFFFF" w:themeColor="background1"/>
                <w:sz w:val="19"/>
                <w:szCs w:val="19"/>
              </w:rPr>
            </w:pPr>
            <w:r w:rsidRPr="00FE3E47">
              <w:rPr>
                <w:b/>
                <w:bCs/>
                <w:color w:val="FFFFFF" w:themeColor="background1"/>
                <w:sz w:val="19"/>
                <w:szCs w:val="19"/>
              </w:rPr>
              <w:t>T</w:t>
            </w:r>
            <w:r w:rsidR="009921F5">
              <w:rPr>
                <w:b/>
                <w:bCs/>
                <w:color w:val="FFFFFF" w:themeColor="background1"/>
                <w:sz w:val="19"/>
                <w:szCs w:val="19"/>
              </w:rPr>
              <w:t>ier</w:t>
            </w:r>
            <w:r w:rsidRPr="00FE3E47">
              <w:rPr>
                <w:b/>
                <w:bCs/>
                <w:color w:val="FFFFFF" w:themeColor="background1"/>
                <w:sz w:val="19"/>
                <w:szCs w:val="19"/>
              </w:rPr>
              <w:t xml:space="preserve"> 1</w:t>
            </w:r>
            <w:r w:rsidR="002A5EE7">
              <w:rPr>
                <w:b/>
                <w:bCs/>
                <w:color w:val="FFFFFF" w:themeColor="background1"/>
                <w:sz w:val="19"/>
                <w:szCs w:val="19"/>
              </w:rPr>
              <w:br/>
            </w:r>
            <w:r w:rsidRPr="00FE3E47">
              <w:rPr>
                <w:b/>
                <w:bCs/>
                <w:color w:val="FFFFFF" w:themeColor="background1"/>
                <w:sz w:val="19"/>
                <w:szCs w:val="19"/>
              </w:rPr>
              <w:t>(Lowest Acuity)</w:t>
            </w:r>
          </w:p>
        </w:tc>
        <w:tc>
          <w:tcPr>
            <w:tcW w:w="1890" w:type="dxa"/>
            <w:tcBorders>
              <w:top w:val="single" w:sz="4" w:space="0" w:color="BFBFBF" w:themeColor="background1" w:themeShade="BF"/>
              <w:bottom w:val="single" w:sz="4" w:space="0" w:color="BFBFBF" w:themeColor="background1" w:themeShade="BF"/>
            </w:tcBorders>
            <w:shd w:val="clear" w:color="auto" w:fill="215868" w:themeFill="accent5" w:themeFillShade="80"/>
            <w:vAlign w:val="center"/>
          </w:tcPr>
          <w:p w14:paraId="5C1CC34D" w14:textId="77777777" w:rsidR="004D4C63" w:rsidRPr="00FE3E47" w:rsidRDefault="004D4C63" w:rsidP="006851B2">
            <w:pPr>
              <w:pStyle w:val="TablePercentages"/>
              <w:spacing w:before="60" w:after="60"/>
              <w:jc w:val="center"/>
              <w:rPr>
                <w:b/>
                <w:bCs/>
                <w:color w:val="FFFFFF" w:themeColor="background1"/>
                <w:sz w:val="19"/>
                <w:szCs w:val="19"/>
              </w:rPr>
            </w:pPr>
            <w:r w:rsidRPr="00FE3E47">
              <w:rPr>
                <w:b/>
                <w:bCs/>
                <w:color w:val="FFFFFF" w:themeColor="background1"/>
                <w:sz w:val="19"/>
                <w:szCs w:val="19"/>
              </w:rPr>
              <w:t>T</w:t>
            </w:r>
            <w:r w:rsidR="009921F5">
              <w:rPr>
                <w:b/>
                <w:bCs/>
                <w:color w:val="FFFFFF" w:themeColor="background1"/>
                <w:sz w:val="19"/>
                <w:szCs w:val="19"/>
              </w:rPr>
              <w:t>ier</w:t>
            </w:r>
            <w:r w:rsidRPr="00FE3E47">
              <w:rPr>
                <w:b/>
                <w:bCs/>
                <w:color w:val="FFFFFF" w:themeColor="background1"/>
                <w:sz w:val="19"/>
                <w:szCs w:val="19"/>
              </w:rPr>
              <w:t xml:space="preserve"> 2-3</w:t>
            </w:r>
            <w:r w:rsidR="002A5EE7">
              <w:rPr>
                <w:b/>
                <w:bCs/>
                <w:color w:val="FFFFFF" w:themeColor="background1"/>
                <w:sz w:val="19"/>
                <w:szCs w:val="19"/>
              </w:rPr>
              <w:br/>
            </w:r>
            <w:r w:rsidRPr="00FE3E47">
              <w:rPr>
                <w:b/>
                <w:bCs/>
                <w:color w:val="FFFFFF" w:themeColor="background1"/>
                <w:sz w:val="19"/>
                <w:szCs w:val="19"/>
              </w:rPr>
              <w:t>(Medium Acuity)</w:t>
            </w:r>
          </w:p>
        </w:tc>
        <w:tc>
          <w:tcPr>
            <w:tcW w:w="1620" w:type="dxa"/>
            <w:tcBorders>
              <w:top w:val="single" w:sz="4" w:space="0" w:color="BFBFBF" w:themeColor="background1" w:themeShade="BF"/>
              <w:bottom w:val="single" w:sz="4" w:space="0" w:color="BFBFBF" w:themeColor="background1" w:themeShade="BF"/>
            </w:tcBorders>
            <w:shd w:val="clear" w:color="auto" w:fill="215868" w:themeFill="accent5" w:themeFillShade="80"/>
            <w:vAlign w:val="center"/>
          </w:tcPr>
          <w:p w14:paraId="567D4B39" w14:textId="77777777" w:rsidR="004D4C63" w:rsidRPr="00FE3E47" w:rsidRDefault="004D4C63" w:rsidP="006972A3">
            <w:pPr>
              <w:pStyle w:val="TablePercentages"/>
              <w:spacing w:before="60" w:after="60"/>
              <w:jc w:val="center"/>
              <w:rPr>
                <w:b/>
                <w:bCs/>
                <w:color w:val="FFFFFF" w:themeColor="background1"/>
                <w:sz w:val="19"/>
                <w:szCs w:val="19"/>
              </w:rPr>
            </w:pPr>
            <w:r w:rsidRPr="00FE3E47">
              <w:rPr>
                <w:b/>
                <w:bCs/>
                <w:color w:val="FFFFFF" w:themeColor="background1"/>
                <w:sz w:val="19"/>
                <w:szCs w:val="19"/>
              </w:rPr>
              <w:t>T</w:t>
            </w:r>
            <w:r w:rsidR="009921F5">
              <w:rPr>
                <w:b/>
                <w:bCs/>
                <w:color w:val="FFFFFF" w:themeColor="background1"/>
                <w:sz w:val="19"/>
                <w:szCs w:val="19"/>
              </w:rPr>
              <w:t>ier</w:t>
            </w:r>
            <w:r w:rsidRPr="00FE3E47">
              <w:rPr>
                <w:b/>
                <w:bCs/>
                <w:color w:val="FFFFFF" w:themeColor="background1"/>
                <w:sz w:val="19"/>
                <w:szCs w:val="19"/>
              </w:rPr>
              <w:t xml:space="preserve"> 4</w:t>
            </w:r>
            <w:r w:rsidR="002E2F1A">
              <w:rPr>
                <w:b/>
                <w:bCs/>
                <w:color w:val="FFFFFF" w:themeColor="background1"/>
                <w:sz w:val="19"/>
                <w:szCs w:val="19"/>
              </w:rPr>
              <w:t>-</w:t>
            </w:r>
            <w:r w:rsidRPr="00FE3E47">
              <w:rPr>
                <w:b/>
                <w:bCs/>
                <w:color w:val="FFFFFF" w:themeColor="background1"/>
                <w:sz w:val="19"/>
                <w:szCs w:val="19"/>
              </w:rPr>
              <w:t xml:space="preserve">6 </w:t>
            </w:r>
            <w:r w:rsidR="006972A3">
              <w:rPr>
                <w:b/>
                <w:bCs/>
                <w:color w:val="FFFFFF" w:themeColor="background1"/>
                <w:sz w:val="19"/>
                <w:szCs w:val="19"/>
              </w:rPr>
              <w:br/>
            </w:r>
            <w:r w:rsidRPr="00FE3E47">
              <w:rPr>
                <w:b/>
                <w:bCs/>
                <w:color w:val="FFFFFF" w:themeColor="background1"/>
                <w:sz w:val="19"/>
                <w:szCs w:val="19"/>
              </w:rPr>
              <w:t>(Highest Acuity)</w:t>
            </w:r>
          </w:p>
        </w:tc>
      </w:tr>
      <w:tr w:rsidR="00874B48" w:rsidRPr="00A34376" w14:paraId="3BC52512" w14:textId="77777777" w:rsidTr="00C76F2C">
        <w:trPr>
          <w:trHeight w:val="374"/>
          <w:jc w:val="center"/>
        </w:trPr>
        <w:tc>
          <w:tcPr>
            <w:tcW w:w="4050" w:type="dxa"/>
            <w:tcBorders>
              <w:top w:val="single" w:sz="4" w:space="0" w:color="BFBFBF" w:themeColor="background1" w:themeShade="BF"/>
              <w:bottom w:val="single" w:sz="2" w:space="0" w:color="D9D9D9" w:themeColor="background1" w:themeShade="D9"/>
            </w:tcBorders>
          </w:tcPr>
          <w:p w14:paraId="7BB7AC74" w14:textId="77777777" w:rsidR="004D4C63" w:rsidRPr="00A34376" w:rsidRDefault="004D4C63" w:rsidP="00EA250B">
            <w:pPr>
              <w:pStyle w:val="TableLeftColumn"/>
              <w:spacing w:before="60" w:after="60"/>
              <w:rPr>
                <w:color w:val="262626" w:themeColor="text1" w:themeTint="D9"/>
                <w:sz w:val="19"/>
                <w:szCs w:val="19"/>
              </w:rPr>
            </w:pPr>
            <w:r w:rsidRPr="00A34376">
              <w:rPr>
                <w:color w:val="262626" w:themeColor="text1" w:themeTint="D9"/>
                <w:sz w:val="19"/>
                <w:szCs w:val="19"/>
              </w:rPr>
              <w:t>Original Average Hours to Complete Service</w:t>
            </w:r>
          </w:p>
        </w:tc>
        <w:tc>
          <w:tcPr>
            <w:tcW w:w="1710" w:type="dxa"/>
            <w:tcBorders>
              <w:top w:val="single" w:sz="4" w:space="0" w:color="BFBFBF" w:themeColor="background1" w:themeShade="BF"/>
              <w:bottom w:val="single" w:sz="2" w:space="0" w:color="D9D9D9" w:themeColor="background1" w:themeShade="D9"/>
            </w:tcBorders>
          </w:tcPr>
          <w:p w14:paraId="505FC757" w14:textId="77777777" w:rsidR="004D4C63" w:rsidRPr="00A34376" w:rsidRDefault="004D4C63" w:rsidP="001C0EE3">
            <w:pPr>
              <w:pStyle w:val="TablePercentages"/>
              <w:spacing w:before="60" w:after="60"/>
              <w:ind w:right="426"/>
              <w:rPr>
                <w:color w:val="262626" w:themeColor="text1" w:themeTint="D9"/>
                <w:sz w:val="19"/>
                <w:szCs w:val="19"/>
              </w:rPr>
            </w:pPr>
            <w:r w:rsidRPr="00A34376">
              <w:rPr>
                <w:color w:val="262626" w:themeColor="text1" w:themeTint="D9"/>
                <w:sz w:val="19"/>
                <w:szCs w:val="19"/>
              </w:rPr>
              <w:t>40</w:t>
            </w:r>
          </w:p>
        </w:tc>
        <w:tc>
          <w:tcPr>
            <w:tcW w:w="1890" w:type="dxa"/>
            <w:tcBorders>
              <w:top w:val="single" w:sz="4" w:space="0" w:color="BFBFBF" w:themeColor="background1" w:themeShade="BF"/>
              <w:bottom w:val="single" w:sz="2" w:space="0" w:color="D9D9D9" w:themeColor="background1" w:themeShade="D9"/>
            </w:tcBorders>
          </w:tcPr>
          <w:p w14:paraId="056F2F59" w14:textId="77777777" w:rsidR="004D4C63" w:rsidRPr="00A34376" w:rsidRDefault="004D4C63" w:rsidP="001C0EE3">
            <w:pPr>
              <w:pStyle w:val="TablePercentages"/>
              <w:spacing w:before="60" w:after="60"/>
              <w:ind w:right="450"/>
              <w:rPr>
                <w:color w:val="262626" w:themeColor="text1" w:themeTint="D9"/>
                <w:sz w:val="19"/>
                <w:szCs w:val="19"/>
              </w:rPr>
            </w:pPr>
            <w:r w:rsidRPr="00A34376">
              <w:rPr>
                <w:color w:val="262626" w:themeColor="text1" w:themeTint="D9"/>
                <w:sz w:val="19"/>
                <w:szCs w:val="19"/>
              </w:rPr>
              <w:t>40</w:t>
            </w:r>
          </w:p>
        </w:tc>
        <w:tc>
          <w:tcPr>
            <w:tcW w:w="1620" w:type="dxa"/>
            <w:tcBorders>
              <w:top w:val="single" w:sz="4" w:space="0" w:color="BFBFBF" w:themeColor="background1" w:themeShade="BF"/>
              <w:bottom w:val="single" w:sz="2" w:space="0" w:color="D9D9D9" w:themeColor="background1" w:themeShade="D9"/>
            </w:tcBorders>
          </w:tcPr>
          <w:p w14:paraId="15781B89" w14:textId="77777777" w:rsidR="004D4C63" w:rsidRPr="00A34376" w:rsidRDefault="004D4C63" w:rsidP="001C0EE3">
            <w:pPr>
              <w:pStyle w:val="TablePercentages"/>
              <w:spacing w:before="60" w:after="60"/>
              <w:ind w:right="240"/>
              <w:rPr>
                <w:color w:val="262626" w:themeColor="text1" w:themeTint="D9"/>
                <w:sz w:val="19"/>
                <w:szCs w:val="19"/>
              </w:rPr>
            </w:pPr>
            <w:r w:rsidRPr="00A34376">
              <w:rPr>
                <w:color w:val="262626" w:themeColor="text1" w:themeTint="D9"/>
                <w:sz w:val="19"/>
                <w:szCs w:val="19"/>
              </w:rPr>
              <w:t>40</w:t>
            </w:r>
          </w:p>
        </w:tc>
      </w:tr>
      <w:tr w:rsidR="00874B48" w:rsidRPr="00A34376" w14:paraId="1B2045EA" w14:textId="77777777" w:rsidTr="004C603D">
        <w:trPr>
          <w:trHeight w:val="374"/>
          <w:jc w:val="center"/>
        </w:trPr>
        <w:tc>
          <w:tcPr>
            <w:tcW w:w="4050" w:type="dxa"/>
            <w:tcBorders>
              <w:top w:val="single" w:sz="2" w:space="0" w:color="D9D9D9" w:themeColor="background1" w:themeShade="D9"/>
              <w:bottom w:val="single" w:sz="2" w:space="0" w:color="D9D9D9" w:themeColor="background1" w:themeShade="D9"/>
            </w:tcBorders>
          </w:tcPr>
          <w:p w14:paraId="152BF643" w14:textId="77777777" w:rsidR="004D4C63" w:rsidRPr="00A34376" w:rsidRDefault="004D4C63" w:rsidP="00EA250B">
            <w:pPr>
              <w:pStyle w:val="TableLeftColumn"/>
              <w:spacing w:before="60" w:after="60"/>
              <w:rPr>
                <w:color w:val="262626" w:themeColor="text1" w:themeTint="D9"/>
                <w:sz w:val="19"/>
                <w:szCs w:val="19"/>
              </w:rPr>
            </w:pPr>
            <w:r w:rsidRPr="00A34376">
              <w:rPr>
                <w:color w:val="262626" w:themeColor="text1" w:themeTint="D9"/>
                <w:sz w:val="19"/>
                <w:szCs w:val="19"/>
              </w:rPr>
              <w:t>Original Gross Cost Per Staff Hour</w:t>
            </w:r>
          </w:p>
        </w:tc>
        <w:tc>
          <w:tcPr>
            <w:tcW w:w="1710" w:type="dxa"/>
            <w:tcBorders>
              <w:top w:val="single" w:sz="2" w:space="0" w:color="D9D9D9" w:themeColor="background1" w:themeShade="D9"/>
              <w:bottom w:val="single" w:sz="2" w:space="0" w:color="D9D9D9" w:themeColor="background1" w:themeShade="D9"/>
            </w:tcBorders>
          </w:tcPr>
          <w:p w14:paraId="52933032" w14:textId="77777777" w:rsidR="004D4C63" w:rsidRPr="00A34376" w:rsidRDefault="004D4C63" w:rsidP="001C0EE3">
            <w:pPr>
              <w:pStyle w:val="TablePercentages"/>
              <w:spacing w:before="60" w:after="60"/>
              <w:ind w:right="426"/>
              <w:rPr>
                <w:color w:val="262626" w:themeColor="text1" w:themeTint="D9"/>
                <w:sz w:val="19"/>
                <w:szCs w:val="19"/>
              </w:rPr>
            </w:pPr>
            <w:r w:rsidRPr="00A34376">
              <w:rPr>
                <w:color w:val="262626" w:themeColor="text1" w:themeTint="D9"/>
                <w:sz w:val="19"/>
                <w:szCs w:val="19"/>
              </w:rPr>
              <w:t>$40</w:t>
            </w:r>
          </w:p>
        </w:tc>
        <w:tc>
          <w:tcPr>
            <w:tcW w:w="1890" w:type="dxa"/>
            <w:tcBorders>
              <w:top w:val="single" w:sz="2" w:space="0" w:color="D9D9D9" w:themeColor="background1" w:themeShade="D9"/>
              <w:bottom w:val="single" w:sz="2" w:space="0" w:color="D9D9D9" w:themeColor="background1" w:themeShade="D9"/>
            </w:tcBorders>
          </w:tcPr>
          <w:p w14:paraId="73ACCF6B" w14:textId="77777777" w:rsidR="004D4C63" w:rsidRPr="00A34376" w:rsidRDefault="004D4C63" w:rsidP="001C0EE3">
            <w:pPr>
              <w:pStyle w:val="TablePercentages"/>
              <w:spacing w:before="60" w:after="60"/>
              <w:ind w:right="450"/>
              <w:rPr>
                <w:color w:val="262626" w:themeColor="text1" w:themeTint="D9"/>
                <w:sz w:val="19"/>
                <w:szCs w:val="19"/>
              </w:rPr>
            </w:pPr>
            <w:r w:rsidRPr="00A34376">
              <w:rPr>
                <w:color w:val="262626" w:themeColor="text1" w:themeTint="D9"/>
                <w:sz w:val="19"/>
                <w:szCs w:val="19"/>
              </w:rPr>
              <w:t>$40</w:t>
            </w:r>
          </w:p>
        </w:tc>
        <w:tc>
          <w:tcPr>
            <w:tcW w:w="1620" w:type="dxa"/>
            <w:tcBorders>
              <w:top w:val="single" w:sz="2" w:space="0" w:color="D9D9D9" w:themeColor="background1" w:themeShade="D9"/>
              <w:bottom w:val="single" w:sz="2" w:space="0" w:color="D9D9D9" w:themeColor="background1" w:themeShade="D9"/>
            </w:tcBorders>
          </w:tcPr>
          <w:p w14:paraId="479E333B" w14:textId="77777777" w:rsidR="004D4C63" w:rsidRPr="00A34376" w:rsidRDefault="004D4C63" w:rsidP="001C0EE3">
            <w:pPr>
              <w:pStyle w:val="TablePercentages"/>
              <w:spacing w:before="60" w:after="60"/>
              <w:ind w:right="240"/>
              <w:rPr>
                <w:color w:val="262626" w:themeColor="text1" w:themeTint="D9"/>
                <w:sz w:val="19"/>
                <w:szCs w:val="19"/>
              </w:rPr>
            </w:pPr>
            <w:r w:rsidRPr="00A34376">
              <w:rPr>
                <w:color w:val="262626" w:themeColor="text1" w:themeTint="D9"/>
                <w:sz w:val="19"/>
                <w:szCs w:val="19"/>
              </w:rPr>
              <w:t>$40</w:t>
            </w:r>
          </w:p>
        </w:tc>
      </w:tr>
      <w:tr w:rsidR="00874B48" w:rsidRPr="00A34376" w14:paraId="21CB06C9" w14:textId="77777777" w:rsidTr="004C603D">
        <w:trPr>
          <w:trHeight w:val="374"/>
          <w:jc w:val="center"/>
        </w:trPr>
        <w:tc>
          <w:tcPr>
            <w:tcW w:w="4050" w:type="dxa"/>
            <w:tcBorders>
              <w:top w:val="single" w:sz="2" w:space="0" w:color="D9D9D9" w:themeColor="background1" w:themeShade="D9"/>
              <w:bottom w:val="single" w:sz="2" w:space="0" w:color="D9D9D9" w:themeColor="background1" w:themeShade="D9"/>
            </w:tcBorders>
          </w:tcPr>
          <w:p w14:paraId="4026CF91" w14:textId="77777777" w:rsidR="004D4C63" w:rsidRPr="00A34376" w:rsidRDefault="004D4C63" w:rsidP="00EA250B">
            <w:pPr>
              <w:pStyle w:val="TableLeftColumn"/>
              <w:spacing w:before="60" w:after="60"/>
              <w:rPr>
                <w:color w:val="262626" w:themeColor="text1" w:themeTint="D9"/>
                <w:sz w:val="19"/>
                <w:szCs w:val="19"/>
              </w:rPr>
            </w:pPr>
            <w:r w:rsidRPr="00A34376">
              <w:rPr>
                <w:color w:val="262626" w:themeColor="text1" w:themeTint="D9"/>
                <w:sz w:val="19"/>
                <w:szCs w:val="19"/>
              </w:rPr>
              <w:t>Original Outcome Payment</w:t>
            </w:r>
          </w:p>
        </w:tc>
        <w:tc>
          <w:tcPr>
            <w:tcW w:w="1710" w:type="dxa"/>
            <w:tcBorders>
              <w:top w:val="single" w:sz="2" w:space="0" w:color="D9D9D9" w:themeColor="background1" w:themeShade="D9"/>
              <w:bottom w:val="single" w:sz="2" w:space="0" w:color="D9D9D9" w:themeColor="background1" w:themeShade="D9"/>
            </w:tcBorders>
          </w:tcPr>
          <w:p w14:paraId="2BF5B1F0" w14:textId="77777777" w:rsidR="004D4C63" w:rsidRPr="00A34376" w:rsidRDefault="004D4C63" w:rsidP="001C0EE3">
            <w:pPr>
              <w:pStyle w:val="TablePercentages"/>
              <w:spacing w:before="60" w:after="60"/>
              <w:ind w:right="426"/>
              <w:rPr>
                <w:color w:val="262626" w:themeColor="text1" w:themeTint="D9"/>
                <w:sz w:val="19"/>
                <w:szCs w:val="19"/>
              </w:rPr>
            </w:pPr>
            <w:r w:rsidRPr="00A34376">
              <w:rPr>
                <w:color w:val="262626" w:themeColor="text1" w:themeTint="D9"/>
                <w:sz w:val="19"/>
                <w:szCs w:val="19"/>
              </w:rPr>
              <w:t>$1,600</w:t>
            </w:r>
          </w:p>
        </w:tc>
        <w:tc>
          <w:tcPr>
            <w:tcW w:w="1890" w:type="dxa"/>
            <w:tcBorders>
              <w:top w:val="single" w:sz="2" w:space="0" w:color="D9D9D9" w:themeColor="background1" w:themeShade="D9"/>
              <w:bottom w:val="single" w:sz="2" w:space="0" w:color="D9D9D9" w:themeColor="background1" w:themeShade="D9"/>
            </w:tcBorders>
          </w:tcPr>
          <w:p w14:paraId="0BB809E0" w14:textId="77777777" w:rsidR="004D4C63" w:rsidRPr="00A34376" w:rsidRDefault="004D4C63" w:rsidP="001C0EE3">
            <w:pPr>
              <w:pStyle w:val="TablePercentages"/>
              <w:spacing w:before="60" w:after="60"/>
              <w:ind w:right="450"/>
              <w:rPr>
                <w:color w:val="262626" w:themeColor="text1" w:themeTint="D9"/>
                <w:sz w:val="19"/>
                <w:szCs w:val="19"/>
              </w:rPr>
            </w:pPr>
            <w:r w:rsidRPr="00A34376">
              <w:rPr>
                <w:color w:val="262626" w:themeColor="text1" w:themeTint="D9"/>
                <w:sz w:val="19"/>
                <w:szCs w:val="19"/>
              </w:rPr>
              <w:t>$1,600</w:t>
            </w:r>
          </w:p>
        </w:tc>
        <w:tc>
          <w:tcPr>
            <w:tcW w:w="1620" w:type="dxa"/>
            <w:tcBorders>
              <w:top w:val="single" w:sz="2" w:space="0" w:color="D9D9D9" w:themeColor="background1" w:themeShade="D9"/>
              <w:bottom w:val="single" w:sz="2" w:space="0" w:color="D9D9D9" w:themeColor="background1" w:themeShade="D9"/>
            </w:tcBorders>
          </w:tcPr>
          <w:p w14:paraId="2E5F8701" w14:textId="77777777" w:rsidR="004D4C63" w:rsidRPr="00A34376" w:rsidRDefault="004D4C63" w:rsidP="001C0EE3">
            <w:pPr>
              <w:pStyle w:val="TablePercentages"/>
              <w:spacing w:before="60" w:after="60"/>
              <w:ind w:right="240"/>
              <w:rPr>
                <w:color w:val="262626" w:themeColor="text1" w:themeTint="D9"/>
                <w:sz w:val="19"/>
                <w:szCs w:val="19"/>
              </w:rPr>
            </w:pPr>
            <w:r w:rsidRPr="00A34376">
              <w:rPr>
                <w:color w:val="262626" w:themeColor="text1" w:themeTint="D9"/>
                <w:sz w:val="19"/>
                <w:szCs w:val="19"/>
              </w:rPr>
              <w:t>$1,600</w:t>
            </w:r>
          </w:p>
        </w:tc>
      </w:tr>
      <w:tr w:rsidR="00874B48" w:rsidRPr="00A34376" w14:paraId="645618AA" w14:textId="77777777" w:rsidTr="004C603D">
        <w:trPr>
          <w:trHeight w:val="374"/>
          <w:jc w:val="center"/>
        </w:trPr>
        <w:tc>
          <w:tcPr>
            <w:tcW w:w="405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04D00332" w14:textId="77777777" w:rsidR="004D4C63" w:rsidRPr="00A34376" w:rsidRDefault="004D4C63" w:rsidP="00EA250B">
            <w:pPr>
              <w:pStyle w:val="TableLeftColumn"/>
              <w:spacing w:before="60" w:after="60"/>
              <w:rPr>
                <w:color w:val="262626" w:themeColor="text1" w:themeTint="D9"/>
                <w:sz w:val="19"/>
                <w:szCs w:val="19"/>
              </w:rPr>
            </w:pPr>
            <w:r w:rsidRPr="00A34376">
              <w:rPr>
                <w:color w:val="262626" w:themeColor="text1" w:themeTint="D9"/>
                <w:sz w:val="19"/>
                <w:szCs w:val="19"/>
              </w:rPr>
              <w:t>Revised Average Hours to Complete Service</w:t>
            </w:r>
          </w:p>
        </w:tc>
        <w:tc>
          <w:tcPr>
            <w:tcW w:w="171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3B175527" w14:textId="77777777" w:rsidR="004D4C63" w:rsidRPr="00A34376" w:rsidRDefault="004D4C63" w:rsidP="001C0EE3">
            <w:pPr>
              <w:pStyle w:val="TablePercentages"/>
              <w:spacing w:before="60" w:after="60"/>
              <w:ind w:right="426"/>
              <w:rPr>
                <w:color w:val="262626" w:themeColor="text1" w:themeTint="D9"/>
                <w:sz w:val="19"/>
                <w:szCs w:val="19"/>
              </w:rPr>
            </w:pPr>
            <w:r w:rsidRPr="00A34376">
              <w:rPr>
                <w:color w:val="262626" w:themeColor="text1" w:themeTint="D9"/>
                <w:sz w:val="19"/>
                <w:szCs w:val="19"/>
              </w:rPr>
              <w:t>35</w:t>
            </w:r>
          </w:p>
        </w:tc>
        <w:tc>
          <w:tcPr>
            <w:tcW w:w="189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092A97A8" w14:textId="77777777" w:rsidR="004D4C63" w:rsidRPr="00A34376" w:rsidRDefault="004D4C63" w:rsidP="001C0EE3">
            <w:pPr>
              <w:pStyle w:val="TablePercentages"/>
              <w:spacing w:before="60" w:after="60"/>
              <w:ind w:right="450"/>
              <w:rPr>
                <w:color w:val="262626" w:themeColor="text1" w:themeTint="D9"/>
                <w:sz w:val="19"/>
                <w:szCs w:val="19"/>
              </w:rPr>
            </w:pPr>
            <w:r w:rsidRPr="00A34376">
              <w:rPr>
                <w:color w:val="262626" w:themeColor="text1" w:themeTint="D9"/>
                <w:sz w:val="19"/>
                <w:szCs w:val="19"/>
              </w:rPr>
              <w:t>40</w:t>
            </w:r>
          </w:p>
        </w:tc>
        <w:tc>
          <w:tcPr>
            <w:tcW w:w="162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4208BD61" w14:textId="77777777" w:rsidR="004D4C63" w:rsidRPr="00A34376" w:rsidRDefault="004D4C63" w:rsidP="001C0EE3">
            <w:pPr>
              <w:pStyle w:val="TablePercentages"/>
              <w:spacing w:before="60" w:after="60"/>
              <w:ind w:right="240"/>
              <w:rPr>
                <w:color w:val="262626" w:themeColor="text1" w:themeTint="D9"/>
                <w:sz w:val="19"/>
                <w:szCs w:val="19"/>
              </w:rPr>
            </w:pPr>
            <w:r w:rsidRPr="00A34376">
              <w:rPr>
                <w:color w:val="262626" w:themeColor="text1" w:themeTint="D9"/>
                <w:sz w:val="19"/>
                <w:szCs w:val="19"/>
              </w:rPr>
              <w:t>45</w:t>
            </w:r>
          </w:p>
        </w:tc>
      </w:tr>
      <w:tr w:rsidR="00874B48" w:rsidRPr="00A34376" w14:paraId="3E97BBCD" w14:textId="77777777" w:rsidTr="004C603D">
        <w:trPr>
          <w:trHeight w:val="374"/>
          <w:jc w:val="center"/>
        </w:trPr>
        <w:tc>
          <w:tcPr>
            <w:tcW w:w="405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55FD1736" w14:textId="77777777" w:rsidR="004D4C63" w:rsidRPr="00A34376" w:rsidRDefault="004D4C63" w:rsidP="00EA250B">
            <w:pPr>
              <w:pStyle w:val="TableLeftColumn"/>
              <w:spacing w:before="60" w:after="60"/>
              <w:rPr>
                <w:color w:val="262626" w:themeColor="text1" w:themeTint="D9"/>
                <w:sz w:val="19"/>
                <w:szCs w:val="19"/>
              </w:rPr>
            </w:pPr>
            <w:r w:rsidRPr="00A34376">
              <w:rPr>
                <w:color w:val="262626" w:themeColor="text1" w:themeTint="D9"/>
                <w:sz w:val="19"/>
                <w:szCs w:val="19"/>
              </w:rPr>
              <w:t>Revised Gross Cost Per Staff Hour</w:t>
            </w:r>
            <w:r w:rsidRPr="00A34376">
              <w:rPr>
                <w:rStyle w:val="FootnoteReference"/>
                <w:color w:val="262626" w:themeColor="text1" w:themeTint="D9"/>
                <w:sz w:val="19"/>
                <w:szCs w:val="19"/>
              </w:rPr>
              <w:footnoteReference w:id="27"/>
            </w:r>
          </w:p>
        </w:tc>
        <w:tc>
          <w:tcPr>
            <w:tcW w:w="171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69704A35" w14:textId="77777777" w:rsidR="004D4C63" w:rsidRPr="00A34376" w:rsidRDefault="004D4C63" w:rsidP="001C0EE3">
            <w:pPr>
              <w:pStyle w:val="TablePercentages"/>
              <w:spacing w:before="60" w:after="60"/>
              <w:ind w:right="426"/>
              <w:rPr>
                <w:color w:val="262626" w:themeColor="text1" w:themeTint="D9"/>
                <w:sz w:val="19"/>
                <w:szCs w:val="19"/>
              </w:rPr>
            </w:pPr>
            <w:r w:rsidRPr="00A34376">
              <w:rPr>
                <w:color w:val="262626" w:themeColor="text1" w:themeTint="D9"/>
                <w:sz w:val="19"/>
                <w:szCs w:val="19"/>
              </w:rPr>
              <w:t>$49.39</w:t>
            </w:r>
          </w:p>
        </w:tc>
        <w:tc>
          <w:tcPr>
            <w:tcW w:w="189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13DBBA0F" w14:textId="77777777" w:rsidR="004D4C63" w:rsidRPr="00A34376" w:rsidRDefault="004D4C63" w:rsidP="001C0EE3">
            <w:pPr>
              <w:pStyle w:val="TablePercentages"/>
              <w:spacing w:before="60" w:after="60"/>
              <w:ind w:right="450"/>
              <w:rPr>
                <w:color w:val="262626" w:themeColor="text1" w:themeTint="D9"/>
                <w:sz w:val="19"/>
                <w:szCs w:val="19"/>
              </w:rPr>
            </w:pPr>
            <w:r w:rsidRPr="00A34376">
              <w:rPr>
                <w:color w:val="262626" w:themeColor="text1" w:themeTint="D9"/>
                <w:sz w:val="19"/>
                <w:szCs w:val="19"/>
              </w:rPr>
              <w:t>$49.39</w:t>
            </w:r>
          </w:p>
        </w:tc>
        <w:tc>
          <w:tcPr>
            <w:tcW w:w="162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6F7D8D04" w14:textId="77777777" w:rsidR="004D4C63" w:rsidRPr="00A34376" w:rsidRDefault="004D4C63" w:rsidP="001C0EE3">
            <w:pPr>
              <w:pStyle w:val="TablePercentages"/>
              <w:spacing w:before="60" w:after="60"/>
              <w:ind w:right="240"/>
              <w:rPr>
                <w:color w:val="262626" w:themeColor="text1" w:themeTint="D9"/>
                <w:sz w:val="19"/>
                <w:szCs w:val="19"/>
              </w:rPr>
            </w:pPr>
            <w:r w:rsidRPr="00A34376">
              <w:rPr>
                <w:color w:val="262626" w:themeColor="text1" w:themeTint="D9"/>
                <w:sz w:val="19"/>
                <w:szCs w:val="19"/>
              </w:rPr>
              <w:t>$49.39</w:t>
            </w:r>
          </w:p>
        </w:tc>
      </w:tr>
      <w:tr w:rsidR="00874B48" w:rsidRPr="00A34376" w14:paraId="703952CF" w14:textId="77777777" w:rsidTr="004C603D">
        <w:trPr>
          <w:trHeight w:val="374"/>
          <w:jc w:val="center"/>
        </w:trPr>
        <w:tc>
          <w:tcPr>
            <w:tcW w:w="405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5E0C904C" w14:textId="77777777" w:rsidR="004D4C63" w:rsidRPr="00A34376" w:rsidRDefault="004D4C63" w:rsidP="00EA250B">
            <w:pPr>
              <w:pStyle w:val="TableLeftColumn"/>
              <w:spacing w:before="60" w:after="60"/>
              <w:rPr>
                <w:color w:val="262626" w:themeColor="text1" w:themeTint="D9"/>
                <w:sz w:val="19"/>
                <w:szCs w:val="19"/>
              </w:rPr>
            </w:pPr>
            <w:r w:rsidRPr="00A34376">
              <w:rPr>
                <w:color w:val="262626" w:themeColor="text1" w:themeTint="D9"/>
                <w:sz w:val="19"/>
                <w:szCs w:val="19"/>
              </w:rPr>
              <w:t>Revised Outcome Payment</w:t>
            </w:r>
          </w:p>
        </w:tc>
        <w:tc>
          <w:tcPr>
            <w:tcW w:w="171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230891DF" w14:textId="77777777" w:rsidR="004D4C63" w:rsidRPr="00A34376" w:rsidRDefault="004D4C63" w:rsidP="001C0EE3">
            <w:pPr>
              <w:pStyle w:val="TablePercentages"/>
              <w:spacing w:before="60" w:after="60"/>
              <w:ind w:right="426"/>
              <w:rPr>
                <w:color w:val="262626" w:themeColor="text1" w:themeTint="D9"/>
                <w:sz w:val="19"/>
                <w:szCs w:val="19"/>
              </w:rPr>
            </w:pPr>
            <w:r w:rsidRPr="00A34376">
              <w:rPr>
                <w:color w:val="262626" w:themeColor="text1" w:themeTint="D9"/>
                <w:sz w:val="19"/>
                <w:szCs w:val="19"/>
              </w:rPr>
              <w:t>$1,728.65</w:t>
            </w:r>
          </w:p>
        </w:tc>
        <w:tc>
          <w:tcPr>
            <w:tcW w:w="189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1AD0DED2" w14:textId="77777777" w:rsidR="004D4C63" w:rsidRPr="00A34376" w:rsidRDefault="004D4C63" w:rsidP="001C0EE3">
            <w:pPr>
              <w:pStyle w:val="TablePercentages"/>
              <w:spacing w:before="60" w:after="60"/>
              <w:ind w:right="450"/>
              <w:rPr>
                <w:color w:val="262626" w:themeColor="text1" w:themeTint="D9"/>
                <w:sz w:val="19"/>
                <w:szCs w:val="19"/>
              </w:rPr>
            </w:pPr>
            <w:r w:rsidRPr="00A34376">
              <w:rPr>
                <w:color w:val="262626" w:themeColor="text1" w:themeTint="D9"/>
                <w:sz w:val="19"/>
                <w:szCs w:val="19"/>
              </w:rPr>
              <w:t>$1,975.60</w:t>
            </w:r>
          </w:p>
        </w:tc>
        <w:tc>
          <w:tcPr>
            <w:tcW w:w="1620" w:type="dxa"/>
            <w:tcBorders>
              <w:top w:val="single" w:sz="2" w:space="0" w:color="D9D9D9" w:themeColor="background1" w:themeShade="D9"/>
              <w:bottom w:val="single" w:sz="2" w:space="0" w:color="D9D9D9" w:themeColor="background1" w:themeShade="D9"/>
            </w:tcBorders>
            <w:shd w:val="clear" w:color="auto" w:fill="DAEEF3" w:themeFill="accent5" w:themeFillTint="33"/>
          </w:tcPr>
          <w:p w14:paraId="5A00EAB7" w14:textId="77777777" w:rsidR="004D4C63" w:rsidRPr="00A34376" w:rsidRDefault="004D4C63" w:rsidP="001C0EE3">
            <w:pPr>
              <w:pStyle w:val="TablePercentages"/>
              <w:spacing w:before="60" w:after="60"/>
              <w:ind w:right="240"/>
              <w:rPr>
                <w:color w:val="262626" w:themeColor="text1" w:themeTint="D9"/>
                <w:sz w:val="19"/>
                <w:szCs w:val="19"/>
              </w:rPr>
            </w:pPr>
            <w:r w:rsidRPr="00A34376">
              <w:rPr>
                <w:color w:val="262626" w:themeColor="text1" w:themeTint="D9"/>
                <w:sz w:val="19"/>
                <w:szCs w:val="19"/>
              </w:rPr>
              <w:t>$2,222.55</w:t>
            </w:r>
          </w:p>
        </w:tc>
      </w:tr>
    </w:tbl>
    <w:p w14:paraId="622AB15B" w14:textId="77777777" w:rsidR="008C5D4A" w:rsidRPr="00D464C4" w:rsidRDefault="004D4C63" w:rsidP="00B20218">
      <w:pPr>
        <w:pStyle w:val="EndnoteText"/>
        <w:jc w:val="center"/>
      </w:pPr>
      <w:r w:rsidRPr="00D464C4">
        <w:t xml:space="preserve">Revised rates were </w:t>
      </w:r>
      <w:r w:rsidRPr="00D42701">
        <w:t>implemented</w:t>
      </w:r>
      <w:r w:rsidRPr="00D464C4">
        <w:t xml:space="preserve"> </w:t>
      </w:r>
      <w:r w:rsidR="008C5D4A" w:rsidRPr="00D464C4">
        <w:t>in</w:t>
      </w:r>
      <w:r w:rsidR="009C2C65" w:rsidRPr="00D464C4">
        <w:t xml:space="preserve"> </w:t>
      </w:r>
      <w:r w:rsidRPr="00D464C4">
        <w:t>November</w:t>
      </w:r>
      <w:r w:rsidR="008A247C" w:rsidRPr="00D464C4">
        <w:t xml:space="preserve"> </w:t>
      </w:r>
      <w:r w:rsidRPr="00D464C4">
        <w:t>2016.</w:t>
      </w:r>
    </w:p>
    <w:p w14:paraId="1AE2C81A" w14:textId="77777777" w:rsidR="00D464C4" w:rsidRPr="00B3219E" w:rsidRDefault="00D464C4" w:rsidP="00D464C4">
      <w:pPr>
        <w:pStyle w:val="NoSpacing"/>
      </w:pPr>
    </w:p>
    <w:p w14:paraId="09235156" w14:textId="77777777" w:rsidR="004D4C63" w:rsidRPr="00A049B4" w:rsidRDefault="004D4C63" w:rsidP="00B11115">
      <w:pPr>
        <w:pStyle w:val="Heading3"/>
      </w:pPr>
      <w:bookmarkStart w:id="52" w:name="_Toc70944199"/>
      <w:r w:rsidRPr="00A049B4">
        <w:t>Job Development</w:t>
      </w:r>
      <w:bookmarkEnd w:id="52"/>
    </w:p>
    <w:p w14:paraId="2AF3F316" w14:textId="77777777" w:rsidR="001353CF" w:rsidRPr="001353CF" w:rsidRDefault="001353CF" w:rsidP="00B1367E">
      <w:r w:rsidRPr="00FF5366">
        <w:t>While ODDS did enter into a formalized agreement</w:t>
      </w:r>
      <w:r w:rsidRPr="00FF5366">
        <w:rPr>
          <w:vertAlign w:val="superscript"/>
        </w:rPr>
        <w:footnoteReference w:id="28"/>
      </w:r>
      <w:r w:rsidRPr="00FF5366">
        <w:t xml:space="preserve"> with the Oregon Office of Vocational Rehabilitation Services (OVRS) which specified that, for DD waiver participants, ODDS would be the first payer for Discovery and OVRS would be the first payer for Job Development, ODDS opted to include Job Development services in its waiver to allow for waiver funding of Job Development when and if an individual was not able to access these services through OVRS (e.g.</w:t>
      </w:r>
      <w:r w:rsidR="008C5D4A" w:rsidRPr="00FF5366">
        <w:t>,</w:t>
      </w:r>
      <w:r w:rsidRPr="00FF5366">
        <w:t xml:space="preserve"> in an Order of Selection situation).</w:t>
      </w:r>
      <w:r w:rsidRPr="001353CF">
        <w:t xml:space="preserve"> ODDS opted to develop and implement an outcome-based reimbursement for Job Development to incentivize achievement of successful job placement over the ongoing provision of service without such an outcome. Similar to Discovery, use of an outcome-based payment encourages completion of the service in a timely manner because payment starts, rather than stops, when the service is completed</w:t>
      </w:r>
      <w:r w:rsidR="006677B7">
        <w:t xml:space="preserve">. </w:t>
      </w:r>
    </w:p>
    <w:p w14:paraId="6BC15839" w14:textId="052EC8AD" w:rsidR="001353CF" w:rsidRDefault="001353CF" w:rsidP="00756D49">
      <w:r w:rsidRPr="001353CF">
        <w:t>In the ODDS model for Job Development, payment is tiered based on acuity, similar to the Wisconsin model. However, distinct from the Wisconsin model, the total payment is also divided into two partial payments to the provider: (1) when an individual successfully obtains competitive integrated employment; and (2) when an individual successfully completes 90 days on the job. Establishing tiered payments mitigates against “creaming,” helps ensure equal access to Job Development services for individuals at the highest acuity levels, and further ensures that providers are appropriately reimbursed based on the acuity levels of the individuals they serve. Dividing the overall reimbursement for Job Development into two payments puts appropriate emphasis on a person’s initial retention of a job in addition to the importance of securing that job</w:t>
      </w:r>
      <w:r w:rsidR="006677B7">
        <w:t xml:space="preserve">. </w:t>
      </w:r>
    </w:p>
    <w:p w14:paraId="6ED54A32" w14:textId="37A73A2C" w:rsidR="007D3DD0" w:rsidRDefault="007D3DD0">
      <w:pPr>
        <w:spacing w:before="0"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230"/>
        <w:gridCol w:w="1620"/>
        <w:gridCol w:w="1710"/>
        <w:gridCol w:w="1620"/>
      </w:tblGrid>
      <w:tr w:rsidR="006972A3" w:rsidRPr="00DA6BA6" w14:paraId="64D8FD04" w14:textId="77777777" w:rsidTr="00C76F2C">
        <w:trPr>
          <w:trHeight w:val="531"/>
          <w:jc w:val="center"/>
        </w:trPr>
        <w:tc>
          <w:tcPr>
            <w:tcW w:w="4230" w:type="dxa"/>
            <w:tcBorders>
              <w:top w:val="single" w:sz="4" w:space="0" w:color="D9D9D9" w:themeColor="background1" w:themeShade="D9"/>
              <w:bottom w:val="single" w:sz="4" w:space="0" w:color="D9D9D9" w:themeColor="background1" w:themeShade="D9"/>
            </w:tcBorders>
            <w:shd w:val="clear" w:color="auto" w:fill="403152" w:themeFill="accent4" w:themeFillShade="80"/>
            <w:vAlign w:val="center"/>
          </w:tcPr>
          <w:p w14:paraId="73627C9D" w14:textId="77777777" w:rsidR="004D4C63" w:rsidRPr="00DA6BA6" w:rsidRDefault="00E06814" w:rsidP="00DA6BA6">
            <w:pPr>
              <w:pStyle w:val="TableLeftColumn"/>
              <w:spacing w:before="60" w:after="60"/>
              <w:rPr>
                <w:b/>
                <w:bCs/>
                <w:color w:val="FFFFFF" w:themeColor="background1"/>
                <w:sz w:val="19"/>
                <w:szCs w:val="19"/>
              </w:rPr>
            </w:pPr>
            <w:r>
              <w:rPr>
                <w:b/>
                <w:bCs/>
                <w:color w:val="FFFFFF" w:themeColor="background1"/>
                <w:sz w:val="19"/>
                <w:szCs w:val="19"/>
              </w:rPr>
              <w:t>Job Development Acuity Tier</w:t>
            </w:r>
          </w:p>
        </w:tc>
        <w:tc>
          <w:tcPr>
            <w:tcW w:w="1620" w:type="dxa"/>
            <w:tcBorders>
              <w:top w:val="single" w:sz="4" w:space="0" w:color="D9D9D9" w:themeColor="background1" w:themeShade="D9"/>
              <w:bottom w:val="single" w:sz="4" w:space="0" w:color="D9D9D9" w:themeColor="background1" w:themeShade="D9"/>
            </w:tcBorders>
            <w:shd w:val="clear" w:color="auto" w:fill="403152" w:themeFill="accent4" w:themeFillShade="80"/>
            <w:vAlign w:val="center"/>
          </w:tcPr>
          <w:p w14:paraId="24538142" w14:textId="77777777" w:rsidR="004D4C63" w:rsidRPr="00DA6BA6" w:rsidRDefault="004D4C63" w:rsidP="006972A3">
            <w:pPr>
              <w:pStyle w:val="TablePercentages"/>
              <w:spacing w:before="60" w:after="60"/>
              <w:jc w:val="center"/>
              <w:rPr>
                <w:b/>
                <w:bCs/>
                <w:color w:val="FFFFFF" w:themeColor="background1"/>
                <w:sz w:val="19"/>
                <w:szCs w:val="19"/>
              </w:rPr>
            </w:pPr>
            <w:r w:rsidRPr="00DA6BA6">
              <w:rPr>
                <w:b/>
                <w:bCs/>
                <w:color w:val="FFFFFF" w:themeColor="background1"/>
                <w:sz w:val="19"/>
                <w:szCs w:val="19"/>
              </w:rPr>
              <w:t>T</w:t>
            </w:r>
            <w:r w:rsidR="00E06814">
              <w:rPr>
                <w:b/>
                <w:bCs/>
                <w:color w:val="FFFFFF" w:themeColor="background1"/>
                <w:sz w:val="19"/>
                <w:szCs w:val="19"/>
              </w:rPr>
              <w:t>ier</w:t>
            </w:r>
            <w:r w:rsidRPr="00DA6BA6">
              <w:rPr>
                <w:b/>
                <w:bCs/>
                <w:color w:val="FFFFFF" w:themeColor="background1"/>
                <w:sz w:val="19"/>
                <w:szCs w:val="19"/>
              </w:rPr>
              <w:t xml:space="preserve"> 1</w:t>
            </w:r>
            <w:r w:rsidR="006972A3">
              <w:rPr>
                <w:b/>
                <w:bCs/>
                <w:color w:val="FFFFFF" w:themeColor="background1"/>
                <w:sz w:val="19"/>
                <w:szCs w:val="19"/>
              </w:rPr>
              <w:br/>
            </w:r>
            <w:r w:rsidRPr="00DA6BA6">
              <w:rPr>
                <w:b/>
                <w:bCs/>
                <w:color w:val="FFFFFF" w:themeColor="background1"/>
                <w:sz w:val="19"/>
                <w:szCs w:val="19"/>
              </w:rPr>
              <w:t>(Lowest Acuity)</w:t>
            </w:r>
          </w:p>
        </w:tc>
        <w:tc>
          <w:tcPr>
            <w:tcW w:w="1710" w:type="dxa"/>
            <w:tcBorders>
              <w:top w:val="single" w:sz="4" w:space="0" w:color="D9D9D9" w:themeColor="background1" w:themeShade="D9"/>
              <w:bottom w:val="single" w:sz="4" w:space="0" w:color="D9D9D9" w:themeColor="background1" w:themeShade="D9"/>
            </w:tcBorders>
            <w:shd w:val="clear" w:color="auto" w:fill="403152" w:themeFill="accent4" w:themeFillShade="80"/>
            <w:vAlign w:val="center"/>
          </w:tcPr>
          <w:p w14:paraId="32927BF2" w14:textId="77777777" w:rsidR="004D4C63" w:rsidRPr="00DA6BA6" w:rsidRDefault="004D4C63" w:rsidP="006972A3">
            <w:pPr>
              <w:pStyle w:val="TablePercentages"/>
              <w:spacing w:before="60" w:after="60"/>
              <w:jc w:val="center"/>
              <w:rPr>
                <w:b/>
                <w:bCs/>
                <w:color w:val="FFFFFF" w:themeColor="background1"/>
                <w:sz w:val="19"/>
                <w:szCs w:val="19"/>
              </w:rPr>
            </w:pPr>
            <w:r w:rsidRPr="00DA6BA6">
              <w:rPr>
                <w:b/>
                <w:bCs/>
                <w:color w:val="FFFFFF" w:themeColor="background1"/>
                <w:sz w:val="19"/>
                <w:szCs w:val="19"/>
              </w:rPr>
              <w:t>T</w:t>
            </w:r>
            <w:r w:rsidR="00E06814">
              <w:rPr>
                <w:b/>
                <w:bCs/>
                <w:color w:val="FFFFFF" w:themeColor="background1"/>
                <w:sz w:val="19"/>
                <w:szCs w:val="19"/>
              </w:rPr>
              <w:t>ier</w:t>
            </w:r>
            <w:r w:rsidRPr="00DA6BA6">
              <w:rPr>
                <w:b/>
                <w:bCs/>
                <w:color w:val="FFFFFF" w:themeColor="background1"/>
                <w:sz w:val="19"/>
                <w:szCs w:val="19"/>
              </w:rPr>
              <w:t xml:space="preserve"> 2-3</w:t>
            </w:r>
            <w:r w:rsidR="006972A3">
              <w:rPr>
                <w:b/>
                <w:bCs/>
                <w:color w:val="FFFFFF" w:themeColor="background1"/>
                <w:sz w:val="19"/>
                <w:szCs w:val="19"/>
              </w:rPr>
              <w:br/>
            </w:r>
            <w:r w:rsidRPr="00DA6BA6">
              <w:rPr>
                <w:b/>
                <w:bCs/>
                <w:color w:val="FFFFFF" w:themeColor="background1"/>
                <w:sz w:val="19"/>
                <w:szCs w:val="19"/>
              </w:rPr>
              <w:t>(Medium Acuity)</w:t>
            </w:r>
          </w:p>
        </w:tc>
        <w:tc>
          <w:tcPr>
            <w:tcW w:w="1620" w:type="dxa"/>
            <w:tcBorders>
              <w:top w:val="single" w:sz="4" w:space="0" w:color="D9D9D9" w:themeColor="background1" w:themeShade="D9"/>
              <w:bottom w:val="single" w:sz="4" w:space="0" w:color="D9D9D9" w:themeColor="background1" w:themeShade="D9"/>
            </w:tcBorders>
            <w:shd w:val="clear" w:color="auto" w:fill="403152" w:themeFill="accent4" w:themeFillShade="80"/>
            <w:vAlign w:val="center"/>
          </w:tcPr>
          <w:p w14:paraId="38A9CAE1" w14:textId="77777777" w:rsidR="004D4C63" w:rsidRPr="00DA6BA6" w:rsidRDefault="004D4C63" w:rsidP="00D13246">
            <w:pPr>
              <w:pStyle w:val="TablePercentages"/>
              <w:spacing w:before="60" w:after="60"/>
              <w:jc w:val="center"/>
              <w:rPr>
                <w:b/>
                <w:bCs/>
                <w:color w:val="FFFFFF" w:themeColor="background1"/>
                <w:sz w:val="19"/>
                <w:szCs w:val="19"/>
              </w:rPr>
            </w:pPr>
            <w:r w:rsidRPr="00DA6BA6">
              <w:rPr>
                <w:b/>
                <w:bCs/>
                <w:color w:val="FFFFFF" w:themeColor="background1"/>
                <w:sz w:val="19"/>
                <w:szCs w:val="19"/>
              </w:rPr>
              <w:t>T</w:t>
            </w:r>
            <w:r w:rsidR="00E06814">
              <w:rPr>
                <w:b/>
                <w:bCs/>
                <w:color w:val="FFFFFF" w:themeColor="background1"/>
                <w:sz w:val="19"/>
                <w:szCs w:val="19"/>
              </w:rPr>
              <w:t>ier</w:t>
            </w:r>
            <w:r w:rsidRPr="00DA6BA6">
              <w:rPr>
                <w:b/>
                <w:bCs/>
                <w:color w:val="FFFFFF" w:themeColor="background1"/>
                <w:sz w:val="19"/>
                <w:szCs w:val="19"/>
              </w:rPr>
              <w:t xml:space="preserve"> 4</w:t>
            </w:r>
            <w:r w:rsidR="00C52A4B">
              <w:rPr>
                <w:b/>
                <w:bCs/>
                <w:color w:val="FFFFFF" w:themeColor="background1"/>
                <w:sz w:val="19"/>
                <w:szCs w:val="19"/>
              </w:rPr>
              <w:t>-</w:t>
            </w:r>
            <w:r w:rsidRPr="00DA6BA6">
              <w:rPr>
                <w:b/>
                <w:bCs/>
                <w:color w:val="FFFFFF" w:themeColor="background1"/>
                <w:sz w:val="19"/>
                <w:szCs w:val="19"/>
              </w:rPr>
              <w:t>6</w:t>
            </w:r>
            <w:r w:rsidR="006972A3">
              <w:rPr>
                <w:b/>
                <w:bCs/>
                <w:color w:val="FFFFFF" w:themeColor="background1"/>
                <w:sz w:val="19"/>
                <w:szCs w:val="19"/>
              </w:rPr>
              <w:br/>
            </w:r>
            <w:r w:rsidRPr="00DA6BA6">
              <w:rPr>
                <w:b/>
                <w:bCs/>
                <w:color w:val="FFFFFF" w:themeColor="background1"/>
                <w:sz w:val="19"/>
                <w:szCs w:val="19"/>
              </w:rPr>
              <w:t>(Highest Acuity)</w:t>
            </w:r>
          </w:p>
        </w:tc>
      </w:tr>
      <w:tr w:rsidR="006972A3" w:rsidRPr="00A34376" w14:paraId="40497D1F" w14:textId="77777777" w:rsidTr="000C001D">
        <w:trPr>
          <w:trHeight w:val="374"/>
          <w:jc w:val="center"/>
        </w:trPr>
        <w:tc>
          <w:tcPr>
            <w:tcW w:w="4230" w:type="dxa"/>
            <w:tcBorders>
              <w:top w:val="single" w:sz="4" w:space="0" w:color="D9D9D9" w:themeColor="background1" w:themeShade="D9"/>
              <w:bottom w:val="single" w:sz="4" w:space="0" w:color="D9D9D9" w:themeColor="background1" w:themeShade="D9"/>
            </w:tcBorders>
          </w:tcPr>
          <w:p w14:paraId="736F7624" w14:textId="77777777" w:rsidR="004D4C63" w:rsidRPr="00A34376" w:rsidRDefault="004D4C63" w:rsidP="00805F3F">
            <w:pPr>
              <w:pStyle w:val="TableLeftColumn"/>
              <w:spacing w:before="60" w:after="60"/>
              <w:rPr>
                <w:color w:val="262626" w:themeColor="text1" w:themeTint="D9"/>
                <w:sz w:val="19"/>
                <w:szCs w:val="19"/>
              </w:rPr>
            </w:pPr>
            <w:r w:rsidRPr="00A34376">
              <w:rPr>
                <w:color w:val="262626" w:themeColor="text1" w:themeTint="D9"/>
                <w:sz w:val="19"/>
                <w:szCs w:val="19"/>
              </w:rPr>
              <w:t>Average Hours to Complete Initial Placement</w:t>
            </w:r>
          </w:p>
        </w:tc>
        <w:tc>
          <w:tcPr>
            <w:tcW w:w="1620" w:type="dxa"/>
            <w:tcBorders>
              <w:top w:val="single" w:sz="4" w:space="0" w:color="D9D9D9" w:themeColor="background1" w:themeShade="D9"/>
              <w:bottom w:val="single" w:sz="4" w:space="0" w:color="D9D9D9" w:themeColor="background1" w:themeShade="D9"/>
            </w:tcBorders>
          </w:tcPr>
          <w:p w14:paraId="16142E4E" w14:textId="77777777" w:rsidR="004D4C63" w:rsidRPr="00A34376" w:rsidRDefault="004D4C63" w:rsidP="005D74A8">
            <w:pPr>
              <w:pStyle w:val="TablePercentages"/>
              <w:spacing w:before="60" w:after="60"/>
              <w:ind w:right="430"/>
              <w:rPr>
                <w:color w:val="262626" w:themeColor="text1" w:themeTint="D9"/>
                <w:sz w:val="19"/>
                <w:szCs w:val="19"/>
              </w:rPr>
            </w:pPr>
            <w:r w:rsidRPr="00A34376">
              <w:rPr>
                <w:color w:val="262626" w:themeColor="text1" w:themeTint="D9"/>
                <w:sz w:val="19"/>
                <w:szCs w:val="19"/>
              </w:rPr>
              <w:t>40</w:t>
            </w:r>
          </w:p>
        </w:tc>
        <w:tc>
          <w:tcPr>
            <w:tcW w:w="1710" w:type="dxa"/>
            <w:tcBorders>
              <w:top w:val="single" w:sz="4" w:space="0" w:color="D9D9D9" w:themeColor="background1" w:themeShade="D9"/>
              <w:bottom w:val="single" w:sz="4" w:space="0" w:color="D9D9D9" w:themeColor="background1" w:themeShade="D9"/>
            </w:tcBorders>
          </w:tcPr>
          <w:p w14:paraId="1F41171E" w14:textId="77777777" w:rsidR="004D4C63" w:rsidRPr="00A34376" w:rsidRDefault="004D4C63" w:rsidP="005D74A8">
            <w:pPr>
              <w:pStyle w:val="TablePercentages"/>
              <w:spacing w:before="60" w:after="60"/>
              <w:ind w:right="286"/>
              <w:rPr>
                <w:color w:val="262626" w:themeColor="text1" w:themeTint="D9"/>
                <w:sz w:val="19"/>
                <w:szCs w:val="19"/>
              </w:rPr>
            </w:pPr>
            <w:r w:rsidRPr="00A34376">
              <w:rPr>
                <w:color w:val="262626" w:themeColor="text1" w:themeTint="D9"/>
                <w:sz w:val="19"/>
                <w:szCs w:val="19"/>
              </w:rPr>
              <w:t>50</w:t>
            </w:r>
          </w:p>
        </w:tc>
        <w:tc>
          <w:tcPr>
            <w:tcW w:w="1620" w:type="dxa"/>
            <w:tcBorders>
              <w:top w:val="single" w:sz="4" w:space="0" w:color="D9D9D9" w:themeColor="background1" w:themeShade="D9"/>
              <w:bottom w:val="single" w:sz="4" w:space="0" w:color="D9D9D9" w:themeColor="background1" w:themeShade="D9"/>
            </w:tcBorders>
          </w:tcPr>
          <w:p w14:paraId="1F2096E4" w14:textId="77777777" w:rsidR="004D4C63" w:rsidRPr="00A34376" w:rsidRDefault="004D4C63" w:rsidP="005D74A8">
            <w:pPr>
              <w:pStyle w:val="TablePercentages"/>
              <w:spacing w:before="60" w:after="60"/>
              <w:ind w:right="240"/>
              <w:rPr>
                <w:color w:val="262626" w:themeColor="text1" w:themeTint="D9"/>
                <w:sz w:val="19"/>
                <w:szCs w:val="19"/>
              </w:rPr>
            </w:pPr>
            <w:r w:rsidRPr="00A34376">
              <w:rPr>
                <w:color w:val="262626" w:themeColor="text1" w:themeTint="D9"/>
                <w:sz w:val="19"/>
                <w:szCs w:val="19"/>
              </w:rPr>
              <w:t>60</w:t>
            </w:r>
          </w:p>
        </w:tc>
      </w:tr>
      <w:tr w:rsidR="006972A3" w:rsidRPr="00A34376" w14:paraId="2B0A2A3D" w14:textId="77777777" w:rsidTr="004C603D">
        <w:trPr>
          <w:trHeight w:val="374"/>
          <w:jc w:val="center"/>
        </w:trPr>
        <w:tc>
          <w:tcPr>
            <w:tcW w:w="4230" w:type="dxa"/>
            <w:tcBorders>
              <w:top w:val="single" w:sz="4" w:space="0" w:color="D9D9D9" w:themeColor="background1" w:themeShade="D9"/>
              <w:bottom w:val="single" w:sz="2" w:space="0" w:color="D9D9D9" w:themeColor="background1" w:themeShade="D9"/>
            </w:tcBorders>
          </w:tcPr>
          <w:p w14:paraId="5E51F55D" w14:textId="77777777" w:rsidR="004D4C63" w:rsidRPr="00A34376" w:rsidRDefault="004D4C63" w:rsidP="00DA6BA6">
            <w:pPr>
              <w:pStyle w:val="TableLeftColumn"/>
              <w:spacing w:before="60" w:after="60"/>
              <w:rPr>
                <w:color w:val="262626" w:themeColor="text1" w:themeTint="D9"/>
                <w:sz w:val="19"/>
                <w:szCs w:val="19"/>
              </w:rPr>
            </w:pPr>
            <w:r w:rsidRPr="00A34376">
              <w:rPr>
                <w:color w:val="262626" w:themeColor="text1" w:themeTint="D9"/>
                <w:sz w:val="19"/>
                <w:szCs w:val="19"/>
              </w:rPr>
              <w:t>Gross Cost Per Staff Hour</w:t>
            </w:r>
          </w:p>
        </w:tc>
        <w:tc>
          <w:tcPr>
            <w:tcW w:w="1620" w:type="dxa"/>
            <w:tcBorders>
              <w:top w:val="single" w:sz="4" w:space="0" w:color="D9D9D9" w:themeColor="background1" w:themeShade="D9"/>
              <w:bottom w:val="single" w:sz="2" w:space="0" w:color="D9D9D9" w:themeColor="background1" w:themeShade="D9"/>
            </w:tcBorders>
          </w:tcPr>
          <w:p w14:paraId="093EC83B" w14:textId="77777777" w:rsidR="004D4C63" w:rsidRPr="00A34376" w:rsidRDefault="004D4C63" w:rsidP="00D13246">
            <w:pPr>
              <w:pStyle w:val="TablePercentages"/>
              <w:spacing w:before="60" w:after="60"/>
              <w:ind w:right="430"/>
              <w:rPr>
                <w:color w:val="262626" w:themeColor="text1" w:themeTint="D9"/>
                <w:sz w:val="19"/>
                <w:szCs w:val="19"/>
              </w:rPr>
            </w:pPr>
            <w:r w:rsidRPr="00A34376">
              <w:rPr>
                <w:color w:val="262626" w:themeColor="text1" w:themeTint="D9"/>
                <w:sz w:val="19"/>
                <w:szCs w:val="19"/>
              </w:rPr>
              <w:t>$49.43</w:t>
            </w:r>
          </w:p>
        </w:tc>
        <w:tc>
          <w:tcPr>
            <w:tcW w:w="1710" w:type="dxa"/>
            <w:tcBorders>
              <w:top w:val="single" w:sz="4" w:space="0" w:color="D9D9D9" w:themeColor="background1" w:themeShade="D9"/>
              <w:bottom w:val="single" w:sz="2" w:space="0" w:color="D9D9D9" w:themeColor="background1" w:themeShade="D9"/>
            </w:tcBorders>
          </w:tcPr>
          <w:p w14:paraId="489431EF" w14:textId="77777777" w:rsidR="004D4C63" w:rsidRPr="00A34376" w:rsidRDefault="004D4C63" w:rsidP="00D13246">
            <w:pPr>
              <w:pStyle w:val="TablePercentages"/>
              <w:spacing w:before="60" w:after="60"/>
              <w:ind w:right="286"/>
              <w:rPr>
                <w:color w:val="262626" w:themeColor="text1" w:themeTint="D9"/>
                <w:sz w:val="19"/>
                <w:szCs w:val="19"/>
              </w:rPr>
            </w:pPr>
            <w:r w:rsidRPr="00A34376">
              <w:rPr>
                <w:color w:val="262626" w:themeColor="text1" w:themeTint="D9"/>
                <w:sz w:val="19"/>
                <w:szCs w:val="19"/>
              </w:rPr>
              <w:t>$49.43</w:t>
            </w:r>
          </w:p>
        </w:tc>
        <w:tc>
          <w:tcPr>
            <w:tcW w:w="1620" w:type="dxa"/>
            <w:tcBorders>
              <w:top w:val="single" w:sz="4" w:space="0" w:color="D9D9D9" w:themeColor="background1" w:themeShade="D9"/>
              <w:bottom w:val="single" w:sz="2" w:space="0" w:color="D9D9D9" w:themeColor="background1" w:themeShade="D9"/>
            </w:tcBorders>
          </w:tcPr>
          <w:p w14:paraId="784C87FF" w14:textId="77777777" w:rsidR="004D4C63" w:rsidRPr="00A34376" w:rsidRDefault="004D4C63" w:rsidP="00D13246">
            <w:pPr>
              <w:pStyle w:val="TablePercentages"/>
              <w:spacing w:before="60" w:after="60"/>
              <w:ind w:right="240"/>
              <w:rPr>
                <w:color w:val="262626" w:themeColor="text1" w:themeTint="D9"/>
                <w:sz w:val="19"/>
                <w:szCs w:val="19"/>
              </w:rPr>
            </w:pPr>
            <w:r w:rsidRPr="00A34376">
              <w:rPr>
                <w:color w:val="262626" w:themeColor="text1" w:themeTint="D9"/>
                <w:sz w:val="19"/>
                <w:szCs w:val="19"/>
              </w:rPr>
              <w:t>$49.43</w:t>
            </w:r>
          </w:p>
        </w:tc>
      </w:tr>
      <w:tr w:rsidR="006972A3" w:rsidRPr="00A34376" w14:paraId="7F827984" w14:textId="77777777" w:rsidTr="004C603D">
        <w:trPr>
          <w:trHeight w:val="374"/>
          <w:jc w:val="center"/>
        </w:trPr>
        <w:tc>
          <w:tcPr>
            <w:tcW w:w="4230" w:type="dxa"/>
            <w:tcBorders>
              <w:top w:val="single" w:sz="2" w:space="0" w:color="D9D9D9" w:themeColor="background1" w:themeShade="D9"/>
              <w:bottom w:val="single" w:sz="2" w:space="0" w:color="D9D9D9" w:themeColor="background1" w:themeShade="D9"/>
            </w:tcBorders>
          </w:tcPr>
          <w:p w14:paraId="40032F84" w14:textId="77777777" w:rsidR="004D4C63" w:rsidRPr="00A34376" w:rsidRDefault="004D4C63" w:rsidP="00DA6BA6">
            <w:pPr>
              <w:pStyle w:val="TableLeftColumn"/>
              <w:spacing w:before="60" w:after="60"/>
              <w:rPr>
                <w:color w:val="262626" w:themeColor="text1" w:themeTint="D9"/>
                <w:sz w:val="19"/>
                <w:szCs w:val="19"/>
              </w:rPr>
            </w:pPr>
            <w:r w:rsidRPr="00A34376">
              <w:rPr>
                <w:color w:val="262626" w:themeColor="text1" w:themeTint="D9"/>
                <w:sz w:val="19"/>
                <w:szCs w:val="19"/>
              </w:rPr>
              <w:t>Outcome Payment for Initial Placement</w:t>
            </w:r>
          </w:p>
        </w:tc>
        <w:tc>
          <w:tcPr>
            <w:tcW w:w="1620" w:type="dxa"/>
            <w:tcBorders>
              <w:top w:val="single" w:sz="2" w:space="0" w:color="D9D9D9" w:themeColor="background1" w:themeShade="D9"/>
              <w:bottom w:val="single" w:sz="2" w:space="0" w:color="D9D9D9" w:themeColor="background1" w:themeShade="D9"/>
            </w:tcBorders>
          </w:tcPr>
          <w:p w14:paraId="5542AE1F" w14:textId="77777777" w:rsidR="004D4C63" w:rsidRPr="00A34376" w:rsidRDefault="004D4C63" w:rsidP="00D13246">
            <w:pPr>
              <w:pStyle w:val="TablePercentages"/>
              <w:spacing w:before="60" w:after="60"/>
              <w:ind w:right="430"/>
              <w:rPr>
                <w:color w:val="262626" w:themeColor="text1" w:themeTint="D9"/>
                <w:sz w:val="19"/>
                <w:szCs w:val="19"/>
              </w:rPr>
            </w:pPr>
            <w:r w:rsidRPr="00A34376">
              <w:rPr>
                <w:color w:val="262626" w:themeColor="text1" w:themeTint="D9"/>
                <w:sz w:val="19"/>
                <w:szCs w:val="19"/>
              </w:rPr>
              <w:t>$1,977.20</w:t>
            </w:r>
          </w:p>
        </w:tc>
        <w:tc>
          <w:tcPr>
            <w:tcW w:w="1710" w:type="dxa"/>
            <w:tcBorders>
              <w:top w:val="single" w:sz="2" w:space="0" w:color="D9D9D9" w:themeColor="background1" w:themeShade="D9"/>
              <w:bottom w:val="single" w:sz="2" w:space="0" w:color="D9D9D9" w:themeColor="background1" w:themeShade="D9"/>
            </w:tcBorders>
          </w:tcPr>
          <w:p w14:paraId="7A1ECCED" w14:textId="77777777" w:rsidR="004D4C63" w:rsidRPr="00A34376" w:rsidRDefault="004D4C63" w:rsidP="00D13246">
            <w:pPr>
              <w:pStyle w:val="TablePercentages"/>
              <w:spacing w:before="60" w:after="60"/>
              <w:ind w:right="286"/>
              <w:rPr>
                <w:color w:val="262626" w:themeColor="text1" w:themeTint="D9"/>
                <w:sz w:val="19"/>
                <w:szCs w:val="19"/>
              </w:rPr>
            </w:pPr>
            <w:r w:rsidRPr="00A34376">
              <w:rPr>
                <w:color w:val="262626" w:themeColor="text1" w:themeTint="D9"/>
                <w:sz w:val="19"/>
                <w:szCs w:val="19"/>
              </w:rPr>
              <w:t>$2,471.50</w:t>
            </w:r>
          </w:p>
        </w:tc>
        <w:tc>
          <w:tcPr>
            <w:tcW w:w="1620" w:type="dxa"/>
            <w:tcBorders>
              <w:top w:val="single" w:sz="2" w:space="0" w:color="D9D9D9" w:themeColor="background1" w:themeShade="D9"/>
              <w:bottom w:val="single" w:sz="2" w:space="0" w:color="D9D9D9" w:themeColor="background1" w:themeShade="D9"/>
            </w:tcBorders>
          </w:tcPr>
          <w:p w14:paraId="0AA88EFF" w14:textId="77777777" w:rsidR="004D4C63" w:rsidRPr="00A34376" w:rsidRDefault="004D4C63" w:rsidP="00D13246">
            <w:pPr>
              <w:pStyle w:val="TablePercentages"/>
              <w:spacing w:before="60" w:after="60"/>
              <w:ind w:right="240"/>
              <w:rPr>
                <w:color w:val="262626" w:themeColor="text1" w:themeTint="D9"/>
                <w:sz w:val="19"/>
                <w:szCs w:val="19"/>
              </w:rPr>
            </w:pPr>
            <w:r w:rsidRPr="00A34376">
              <w:rPr>
                <w:color w:val="262626" w:themeColor="text1" w:themeTint="D9"/>
                <w:sz w:val="19"/>
                <w:szCs w:val="19"/>
              </w:rPr>
              <w:t>$2,965.80</w:t>
            </w:r>
          </w:p>
        </w:tc>
      </w:tr>
      <w:tr w:rsidR="006972A3" w:rsidRPr="00A34376" w14:paraId="53697C7D" w14:textId="77777777" w:rsidTr="004C603D">
        <w:trPr>
          <w:trHeight w:val="391"/>
          <w:jc w:val="center"/>
        </w:trPr>
        <w:tc>
          <w:tcPr>
            <w:tcW w:w="4230" w:type="dxa"/>
            <w:tcBorders>
              <w:top w:val="single" w:sz="2" w:space="0" w:color="D9D9D9" w:themeColor="background1" w:themeShade="D9"/>
              <w:bottom w:val="single" w:sz="2" w:space="0" w:color="BFBFBF" w:themeColor="background1" w:themeShade="BF"/>
            </w:tcBorders>
            <w:shd w:val="clear" w:color="auto" w:fill="E5DFEC" w:themeFill="accent4" w:themeFillTint="33"/>
          </w:tcPr>
          <w:p w14:paraId="4B7CB596" w14:textId="77777777" w:rsidR="004D4C63" w:rsidRPr="00A34376" w:rsidRDefault="004D4C63" w:rsidP="00DA6BA6">
            <w:pPr>
              <w:pStyle w:val="TableLeftColumn"/>
              <w:spacing w:before="60" w:after="60"/>
              <w:rPr>
                <w:color w:val="262626" w:themeColor="text1" w:themeTint="D9"/>
                <w:sz w:val="19"/>
                <w:szCs w:val="19"/>
              </w:rPr>
            </w:pPr>
            <w:r w:rsidRPr="00A34376">
              <w:rPr>
                <w:color w:val="262626" w:themeColor="text1" w:themeTint="D9"/>
                <w:sz w:val="19"/>
                <w:szCs w:val="19"/>
              </w:rPr>
              <w:t>Average Hours to Ensure 90 Days Retention</w:t>
            </w:r>
          </w:p>
        </w:tc>
        <w:tc>
          <w:tcPr>
            <w:tcW w:w="1620" w:type="dxa"/>
            <w:tcBorders>
              <w:top w:val="single" w:sz="2" w:space="0" w:color="D9D9D9" w:themeColor="background1" w:themeShade="D9"/>
              <w:bottom w:val="single" w:sz="2" w:space="0" w:color="BFBFBF" w:themeColor="background1" w:themeShade="BF"/>
            </w:tcBorders>
            <w:shd w:val="clear" w:color="auto" w:fill="E5DFEC" w:themeFill="accent4" w:themeFillTint="33"/>
          </w:tcPr>
          <w:p w14:paraId="0A4F266B" w14:textId="77777777" w:rsidR="004D4C63" w:rsidRPr="00A34376" w:rsidRDefault="004D4C63" w:rsidP="00D13246">
            <w:pPr>
              <w:pStyle w:val="TablePercentages"/>
              <w:spacing w:before="60" w:after="60"/>
              <w:ind w:right="430"/>
              <w:rPr>
                <w:color w:val="262626" w:themeColor="text1" w:themeTint="D9"/>
                <w:sz w:val="19"/>
                <w:szCs w:val="19"/>
              </w:rPr>
            </w:pPr>
            <w:r w:rsidRPr="00A34376">
              <w:rPr>
                <w:color w:val="262626" w:themeColor="text1" w:themeTint="D9"/>
                <w:sz w:val="19"/>
                <w:szCs w:val="19"/>
              </w:rPr>
              <w:t>25</w:t>
            </w:r>
          </w:p>
        </w:tc>
        <w:tc>
          <w:tcPr>
            <w:tcW w:w="1710" w:type="dxa"/>
            <w:tcBorders>
              <w:top w:val="single" w:sz="2" w:space="0" w:color="D9D9D9" w:themeColor="background1" w:themeShade="D9"/>
              <w:bottom w:val="single" w:sz="2" w:space="0" w:color="BFBFBF" w:themeColor="background1" w:themeShade="BF"/>
            </w:tcBorders>
            <w:shd w:val="clear" w:color="auto" w:fill="E5DFEC" w:themeFill="accent4" w:themeFillTint="33"/>
          </w:tcPr>
          <w:p w14:paraId="19819211" w14:textId="77777777" w:rsidR="004D4C63" w:rsidRPr="00A34376" w:rsidRDefault="004D4C63" w:rsidP="00D13246">
            <w:pPr>
              <w:pStyle w:val="TablePercentages"/>
              <w:spacing w:before="60" w:after="60"/>
              <w:ind w:right="286"/>
              <w:rPr>
                <w:color w:val="262626" w:themeColor="text1" w:themeTint="D9"/>
                <w:sz w:val="19"/>
                <w:szCs w:val="19"/>
              </w:rPr>
            </w:pPr>
            <w:r w:rsidRPr="00A34376">
              <w:rPr>
                <w:color w:val="262626" w:themeColor="text1" w:themeTint="D9"/>
                <w:sz w:val="19"/>
                <w:szCs w:val="19"/>
              </w:rPr>
              <w:t>30</w:t>
            </w:r>
          </w:p>
        </w:tc>
        <w:tc>
          <w:tcPr>
            <w:tcW w:w="1620" w:type="dxa"/>
            <w:tcBorders>
              <w:top w:val="single" w:sz="2" w:space="0" w:color="D9D9D9" w:themeColor="background1" w:themeShade="D9"/>
              <w:bottom w:val="single" w:sz="2" w:space="0" w:color="BFBFBF" w:themeColor="background1" w:themeShade="BF"/>
            </w:tcBorders>
            <w:shd w:val="clear" w:color="auto" w:fill="E5DFEC" w:themeFill="accent4" w:themeFillTint="33"/>
          </w:tcPr>
          <w:p w14:paraId="1ACD5CB0" w14:textId="77777777" w:rsidR="004D4C63" w:rsidRPr="00A34376" w:rsidRDefault="004D4C63" w:rsidP="00D13246">
            <w:pPr>
              <w:pStyle w:val="TablePercentages"/>
              <w:spacing w:before="60" w:after="60"/>
              <w:ind w:right="240"/>
              <w:rPr>
                <w:color w:val="262626" w:themeColor="text1" w:themeTint="D9"/>
                <w:sz w:val="19"/>
                <w:szCs w:val="19"/>
              </w:rPr>
            </w:pPr>
            <w:r w:rsidRPr="00A34376">
              <w:rPr>
                <w:color w:val="262626" w:themeColor="text1" w:themeTint="D9"/>
                <w:sz w:val="19"/>
                <w:szCs w:val="19"/>
              </w:rPr>
              <w:t>40</w:t>
            </w:r>
          </w:p>
        </w:tc>
      </w:tr>
      <w:tr w:rsidR="006972A3" w:rsidRPr="00A34376" w14:paraId="0C1090CA" w14:textId="77777777" w:rsidTr="004C603D">
        <w:trPr>
          <w:trHeight w:val="368"/>
          <w:jc w:val="center"/>
        </w:trPr>
        <w:tc>
          <w:tcPr>
            <w:tcW w:w="423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10D9BC3A" w14:textId="77777777" w:rsidR="004D4C63" w:rsidRPr="00A34376" w:rsidRDefault="004D4C63" w:rsidP="00DA6BA6">
            <w:pPr>
              <w:pStyle w:val="TableLeftColumn"/>
              <w:spacing w:before="60" w:after="60"/>
              <w:rPr>
                <w:color w:val="262626" w:themeColor="text1" w:themeTint="D9"/>
                <w:sz w:val="19"/>
                <w:szCs w:val="19"/>
              </w:rPr>
            </w:pPr>
            <w:r w:rsidRPr="00A34376">
              <w:rPr>
                <w:color w:val="262626" w:themeColor="text1" w:themeTint="D9"/>
                <w:sz w:val="19"/>
                <w:szCs w:val="19"/>
              </w:rPr>
              <w:t>Gross Cost Per Staff Hour</w:t>
            </w:r>
            <w:r w:rsidRPr="00A34376">
              <w:rPr>
                <w:rStyle w:val="FootnoteReference"/>
                <w:color w:val="262626" w:themeColor="text1" w:themeTint="D9"/>
                <w:sz w:val="19"/>
                <w:szCs w:val="19"/>
              </w:rPr>
              <w:footnoteReference w:id="29"/>
            </w:r>
          </w:p>
        </w:tc>
        <w:tc>
          <w:tcPr>
            <w:tcW w:w="162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0C16B75E" w14:textId="77777777" w:rsidR="004D4C63" w:rsidRPr="00A34376" w:rsidRDefault="004D4C63" w:rsidP="00D13246">
            <w:pPr>
              <w:pStyle w:val="TablePercentages"/>
              <w:spacing w:before="60" w:after="60"/>
              <w:ind w:right="430"/>
              <w:rPr>
                <w:color w:val="262626" w:themeColor="text1" w:themeTint="D9"/>
                <w:sz w:val="19"/>
                <w:szCs w:val="19"/>
              </w:rPr>
            </w:pPr>
            <w:r w:rsidRPr="00A34376">
              <w:rPr>
                <w:color w:val="262626" w:themeColor="text1" w:themeTint="D9"/>
                <w:sz w:val="19"/>
                <w:szCs w:val="19"/>
              </w:rPr>
              <w:t>$49.39</w:t>
            </w:r>
          </w:p>
        </w:tc>
        <w:tc>
          <w:tcPr>
            <w:tcW w:w="171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5E8550C3" w14:textId="77777777" w:rsidR="004D4C63" w:rsidRPr="00A34376" w:rsidRDefault="004D4C63" w:rsidP="00D13246">
            <w:pPr>
              <w:pStyle w:val="TablePercentages"/>
              <w:spacing w:before="60" w:after="60"/>
              <w:ind w:right="286"/>
              <w:rPr>
                <w:color w:val="262626" w:themeColor="text1" w:themeTint="D9"/>
                <w:sz w:val="19"/>
                <w:szCs w:val="19"/>
              </w:rPr>
            </w:pPr>
            <w:r w:rsidRPr="00A34376">
              <w:rPr>
                <w:color w:val="262626" w:themeColor="text1" w:themeTint="D9"/>
                <w:sz w:val="19"/>
                <w:szCs w:val="19"/>
              </w:rPr>
              <w:t>$49.39</w:t>
            </w:r>
          </w:p>
        </w:tc>
        <w:tc>
          <w:tcPr>
            <w:tcW w:w="162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3B782AD9" w14:textId="77777777" w:rsidR="004D4C63" w:rsidRPr="00A34376" w:rsidRDefault="004D4C63" w:rsidP="00D13246">
            <w:pPr>
              <w:pStyle w:val="TablePercentages"/>
              <w:spacing w:before="60" w:after="60"/>
              <w:ind w:right="240"/>
              <w:rPr>
                <w:color w:val="262626" w:themeColor="text1" w:themeTint="D9"/>
                <w:sz w:val="19"/>
                <w:szCs w:val="19"/>
              </w:rPr>
            </w:pPr>
            <w:r w:rsidRPr="00A34376">
              <w:rPr>
                <w:color w:val="262626" w:themeColor="text1" w:themeTint="D9"/>
                <w:sz w:val="19"/>
                <w:szCs w:val="19"/>
              </w:rPr>
              <w:t>$49.39</w:t>
            </w:r>
          </w:p>
        </w:tc>
      </w:tr>
      <w:tr w:rsidR="006972A3" w:rsidRPr="00A34376" w14:paraId="1940E5D6" w14:textId="77777777" w:rsidTr="004C603D">
        <w:trPr>
          <w:trHeight w:val="256"/>
          <w:jc w:val="center"/>
        </w:trPr>
        <w:tc>
          <w:tcPr>
            <w:tcW w:w="4230" w:type="dxa"/>
            <w:tcBorders>
              <w:top w:val="single" w:sz="2" w:space="0" w:color="BFBFBF" w:themeColor="background1" w:themeShade="BF"/>
              <w:bottom w:val="single" w:sz="2" w:space="0" w:color="D9D9D9" w:themeColor="background1" w:themeShade="D9"/>
            </w:tcBorders>
            <w:shd w:val="clear" w:color="auto" w:fill="E5DFEC" w:themeFill="accent4" w:themeFillTint="33"/>
          </w:tcPr>
          <w:p w14:paraId="728F5392" w14:textId="77777777" w:rsidR="004D4C63" w:rsidRPr="00A34376" w:rsidRDefault="004D4C63" w:rsidP="00DA6BA6">
            <w:pPr>
              <w:pStyle w:val="TableLeftColumn"/>
              <w:spacing w:before="60" w:after="60"/>
              <w:rPr>
                <w:color w:val="262626" w:themeColor="text1" w:themeTint="D9"/>
                <w:sz w:val="19"/>
                <w:szCs w:val="19"/>
              </w:rPr>
            </w:pPr>
            <w:r w:rsidRPr="00A34376">
              <w:rPr>
                <w:color w:val="262626" w:themeColor="text1" w:themeTint="D9"/>
                <w:sz w:val="19"/>
                <w:szCs w:val="19"/>
              </w:rPr>
              <w:t>Outcome Payment for 90 Days Retention</w:t>
            </w:r>
          </w:p>
        </w:tc>
        <w:tc>
          <w:tcPr>
            <w:tcW w:w="1620" w:type="dxa"/>
            <w:tcBorders>
              <w:top w:val="single" w:sz="2" w:space="0" w:color="BFBFBF" w:themeColor="background1" w:themeShade="BF"/>
              <w:bottom w:val="single" w:sz="2" w:space="0" w:color="D9D9D9" w:themeColor="background1" w:themeShade="D9"/>
            </w:tcBorders>
            <w:shd w:val="clear" w:color="auto" w:fill="E5DFEC" w:themeFill="accent4" w:themeFillTint="33"/>
          </w:tcPr>
          <w:p w14:paraId="7F85FF19" w14:textId="77777777" w:rsidR="004D4C63" w:rsidRPr="00A34376" w:rsidRDefault="004D4C63" w:rsidP="00D13246">
            <w:pPr>
              <w:pStyle w:val="TablePercentages"/>
              <w:spacing w:before="60" w:after="60"/>
              <w:ind w:right="430"/>
              <w:rPr>
                <w:color w:val="262626" w:themeColor="text1" w:themeTint="D9"/>
                <w:sz w:val="19"/>
                <w:szCs w:val="19"/>
              </w:rPr>
            </w:pPr>
            <w:r w:rsidRPr="00A34376">
              <w:rPr>
                <w:color w:val="262626" w:themeColor="text1" w:themeTint="D9"/>
                <w:sz w:val="19"/>
                <w:szCs w:val="19"/>
              </w:rPr>
              <w:t>$1,235.75</w:t>
            </w:r>
          </w:p>
        </w:tc>
        <w:tc>
          <w:tcPr>
            <w:tcW w:w="1710" w:type="dxa"/>
            <w:tcBorders>
              <w:top w:val="single" w:sz="2" w:space="0" w:color="BFBFBF" w:themeColor="background1" w:themeShade="BF"/>
              <w:bottom w:val="single" w:sz="2" w:space="0" w:color="D9D9D9" w:themeColor="background1" w:themeShade="D9"/>
            </w:tcBorders>
            <w:shd w:val="clear" w:color="auto" w:fill="E5DFEC" w:themeFill="accent4" w:themeFillTint="33"/>
          </w:tcPr>
          <w:p w14:paraId="5298540C" w14:textId="77777777" w:rsidR="004D4C63" w:rsidRPr="00A34376" w:rsidRDefault="004D4C63" w:rsidP="00D13246">
            <w:pPr>
              <w:pStyle w:val="TablePercentages"/>
              <w:spacing w:before="60" w:after="60"/>
              <w:ind w:right="286"/>
              <w:rPr>
                <w:color w:val="262626" w:themeColor="text1" w:themeTint="D9"/>
                <w:sz w:val="19"/>
                <w:szCs w:val="19"/>
              </w:rPr>
            </w:pPr>
            <w:r w:rsidRPr="00A34376">
              <w:rPr>
                <w:color w:val="262626" w:themeColor="text1" w:themeTint="D9"/>
                <w:sz w:val="19"/>
                <w:szCs w:val="19"/>
              </w:rPr>
              <w:t>$1,482.90</w:t>
            </w:r>
          </w:p>
        </w:tc>
        <w:tc>
          <w:tcPr>
            <w:tcW w:w="1620" w:type="dxa"/>
            <w:tcBorders>
              <w:top w:val="single" w:sz="2" w:space="0" w:color="BFBFBF" w:themeColor="background1" w:themeShade="BF"/>
              <w:bottom w:val="single" w:sz="2" w:space="0" w:color="D9D9D9" w:themeColor="background1" w:themeShade="D9"/>
            </w:tcBorders>
            <w:shd w:val="clear" w:color="auto" w:fill="E5DFEC" w:themeFill="accent4" w:themeFillTint="33"/>
          </w:tcPr>
          <w:p w14:paraId="38DD34D7" w14:textId="77777777" w:rsidR="004D4C63" w:rsidRPr="00A34376" w:rsidRDefault="004D4C63" w:rsidP="00D13246">
            <w:pPr>
              <w:pStyle w:val="TablePercentages"/>
              <w:spacing w:before="60" w:after="60"/>
              <w:ind w:right="240"/>
              <w:rPr>
                <w:color w:val="262626" w:themeColor="text1" w:themeTint="D9"/>
                <w:sz w:val="19"/>
                <w:szCs w:val="19"/>
              </w:rPr>
            </w:pPr>
            <w:r w:rsidRPr="00A34376">
              <w:rPr>
                <w:color w:val="262626" w:themeColor="text1" w:themeTint="D9"/>
                <w:sz w:val="19"/>
                <w:szCs w:val="19"/>
              </w:rPr>
              <w:t>$1,977.20</w:t>
            </w:r>
          </w:p>
        </w:tc>
      </w:tr>
      <w:tr w:rsidR="006972A3" w:rsidRPr="00DA6BA6" w14:paraId="41B72D29" w14:textId="77777777" w:rsidTr="004C603D">
        <w:trPr>
          <w:trHeight w:val="374"/>
          <w:jc w:val="center"/>
        </w:trPr>
        <w:tc>
          <w:tcPr>
            <w:tcW w:w="4230" w:type="dxa"/>
            <w:tcBorders>
              <w:top w:val="single" w:sz="2" w:space="0" w:color="D9D9D9" w:themeColor="background1" w:themeShade="D9"/>
              <w:bottom w:val="single" w:sz="4" w:space="0" w:color="D9D9D9" w:themeColor="background1" w:themeShade="D9"/>
            </w:tcBorders>
            <w:shd w:val="clear" w:color="auto" w:fill="FFFFFF" w:themeFill="background1"/>
          </w:tcPr>
          <w:p w14:paraId="69BE1264" w14:textId="77777777" w:rsidR="004D4C63" w:rsidRPr="00DA6BA6" w:rsidRDefault="004D4C63" w:rsidP="00805F3F">
            <w:pPr>
              <w:pStyle w:val="TableLeftColumn"/>
              <w:spacing w:before="60" w:after="60"/>
              <w:rPr>
                <w:b/>
                <w:bCs/>
                <w:i/>
                <w:sz w:val="19"/>
                <w:szCs w:val="19"/>
              </w:rPr>
            </w:pPr>
            <w:r w:rsidRPr="00DA6BA6">
              <w:rPr>
                <w:b/>
                <w:bCs/>
                <w:sz w:val="19"/>
                <w:szCs w:val="19"/>
              </w:rPr>
              <w:t>T</w:t>
            </w:r>
            <w:r w:rsidR="000616EE">
              <w:rPr>
                <w:b/>
                <w:bCs/>
                <w:sz w:val="19"/>
                <w:szCs w:val="19"/>
              </w:rPr>
              <w:t>otal Outcome Payment</w:t>
            </w:r>
          </w:p>
        </w:tc>
        <w:tc>
          <w:tcPr>
            <w:tcW w:w="1620" w:type="dxa"/>
            <w:tcBorders>
              <w:top w:val="single" w:sz="2" w:space="0" w:color="D9D9D9" w:themeColor="background1" w:themeShade="D9"/>
              <w:bottom w:val="single" w:sz="4" w:space="0" w:color="D9D9D9" w:themeColor="background1" w:themeShade="D9"/>
            </w:tcBorders>
            <w:shd w:val="clear" w:color="auto" w:fill="FFFFFF" w:themeFill="background1"/>
          </w:tcPr>
          <w:p w14:paraId="3BD46364" w14:textId="77777777" w:rsidR="004D4C63" w:rsidRPr="00DA6BA6" w:rsidRDefault="004D4C63" w:rsidP="00805F3F">
            <w:pPr>
              <w:pStyle w:val="TablePercentages"/>
              <w:spacing w:before="60" w:after="60"/>
              <w:ind w:right="430"/>
              <w:rPr>
                <w:b/>
                <w:bCs/>
                <w:sz w:val="19"/>
                <w:szCs w:val="19"/>
              </w:rPr>
            </w:pPr>
            <w:r w:rsidRPr="00DA6BA6">
              <w:rPr>
                <w:b/>
                <w:bCs/>
                <w:sz w:val="19"/>
                <w:szCs w:val="19"/>
              </w:rPr>
              <w:t>$3,212.95</w:t>
            </w:r>
          </w:p>
        </w:tc>
        <w:tc>
          <w:tcPr>
            <w:tcW w:w="1710" w:type="dxa"/>
            <w:tcBorders>
              <w:top w:val="single" w:sz="2" w:space="0" w:color="D9D9D9" w:themeColor="background1" w:themeShade="D9"/>
              <w:bottom w:val="single" w:sz="4" w:space="0" w:color="D9D9D9" w:themeColor="background1" w:themeShade="D9"/>
            </w:tcBorders>
            <w:shd w:val="clear" w:color="auto" w:fill="FFFFFF" w:themeFill="background1"/>
          </w:tcPr>
          <w:p w14:paraId="5DF5BDBB" w14:textId="77777777" w:rsidR="004D4C63" w:rsidRPr="00DA6BA6" w:rsidRDefault="004D4C63" w:rsidP="00805F3F">
            <w:pPr>
              <w:pStyle w:val="TablePercentages"/>
              <w:spacing w:before="60" w:after="60"/>
              <w:ind w:right="286"/>
              <w:rPr>
                <w:b/>
                <w:bCs/>
                <w:sz w:val="19"/>
                <w:szCs w:val="19"/>
              </w:rPr>
            </w:pPr>
            <w:r w:rsidRPr="00DA6BA6">
              <w:rPr>
                <w:b/>
                <w:bCs/>
                <w:sz w:val="19"/>
                <w:szCs w:val="19"/>
              </w:rPr>
              <w:t>$3,954.40</w:t>
            </w:r>
          </w:p>
        </w:tc>
        <w:tc>
          <w:tcPr>
            <w:tcW w:w="1620" w:type="dxa"/>
            <w:tcBorders>
              <w:top w:val="single" w:sz="2" w:space="0" w:color="D9D9D9" w:themeColor="background1" w:themeShade="D9"/>
              <w:bottom w:val="single" w:sz="4" w:space="0" w:color="D9D9D9" w:themeColor="background1" w:themeShade="D9"/>
            </w:tcBorders>
            <w:shd w:val="clear" w:color="auto" w:fill="FFFFFF" w:themeFill="background1"/>
          </w:tcPr>
          <w:p w14:paraId="377C96EF" w14:textId="77777777" w:rsidR="004D4C63" w:rsidRPr="00DA6BA6" w:rsidRDefault="004D4C63" w:rsidP="00805F3F">
            <w:pPr>
              <w:pStyle w:val="TablePercentages"/>
              <w:spacing w:before="60" w:after="60"/>
              <w:ind w:right="240"/>
              <w:rPr>
                <w:b/>
                <w:bCs/>
                <w:sz w:val="19"/>
                <w:szCs w:val="19"/>
              </w:rPr>
            </w:pPr>
            <w:r w:rsidRPr="00DA6BA6">
              <w:rPr>
                <w:b/>
                <w:bCs/>
                <w:sz w:val="19"/>
                <w:szCs w:val="19"/>
              </w:rPr>
              <w:t>$4,943.00</w:t>
            </w:r>
          </w:p>
        </w:tc>
      </w:tr>
    </w:tbl>
    <w:p w14:paraId="2B4C4BAC" w14:textId="77777777" w:rsidR="00D464C4" w:rsidRPr="00D464C4" w:rsidRDefault="00D464C4" w:rsidP="008916F9">
      <w:pPr>
        <w:pStyle w:val="EndnoteText"/>
        <w:jc w:val="center"/>
      </w:pPr>
      <w:r w:rsidRPr="00D464C4">
        <w:t>Revised rates were implemented in November 2016.</w:t>
      </w:r>
    </w:p>
    <w:p w14:paraId="28FFCDCB" w14:textId="77777777" w:rsidR="00D464C4" w:rsidRPr="00D464C4" w:rsidRDefault="00D464C4" w:rsidP="00D464C4">
      <w:pPr>
        <w:pStyle w:val="NoSpacing"/>
      </w:pPr>
    </w:p>
    <w:p w14:paraId="7886A315" w14:textId="77777777" w:rsidR="004D4C63" w:rsidRPr="00A049B4" w:rsidRDefault="004D4C63" w:rsidP="00B11115">
      <w:pPr>
        <w:pStyle w:val="Heading3"/>
      </w:pPr>
      <w:bookmarkStart w:id="53" w:name="_Toc70944200"/>
      <w:r w:rsidRPr="00A049B4">
        <w:t>Job Coaching</w:t>
      </w:r>
      <w:bookmarkEnd w:id="53"/>
    </w:p>
    <w:p w14:paraId="602B61A0" w14:textId="77777777" w:rsidR="0006131D" w:rsidRPr="0006131D" w:rsidRDefault="0006131D" w:rsidP="00B1367E">
      <w:r w:rsidRPr="0006131D">
        <w:t>With regard to job coaching, ODDS used the Wisconsin (Inclusa) model described above as a starting point for considering its approach to outcome-based reimbursement for job coaching. Similarly, they established both tiered and phased reimbursement rates per hour worked by the supported employee. As mentioned previously, reimbursement based on supported employee hours worked creates a financial incentive for providers to assist people to increase their hours worked over time. It also creates an incentive for providers to prevent job loss.</w:t>
      </w:r>
    </w:p>
    <w:p w14:paraId="7B4D20D8" w14:textId="77777777" w:rsidR="0006131D" w:rsidRPr="0006131D" w:rsidRDefault="0006131D" w:rsidP="00B1367E">
      <w:r w:rsidRPr="0006131D">
        <w:t>The tiered and phased reimbursement per hour worked represents a more sophisticated model than the flat-rate model originally developed by Oklahoma, which allows for the following:</w:t>
      </w:r>
    </w:p>
    <w:p w14:paraId="58F209FC" w14:textId="77777777" w:rsidR="0006131D" w:rsidRPr="0006131D" w:rsidRDefault="0006131D" w:rsidP="009C2C65">
      <w:pPr>
        <w:pStyle w:val="ListBullet"/>
      </w:pPr>
      <w:r w:rsidRPr="0006131D">
        <w:t>Tiered rates based on acuity prevented “creaming” to help ensure equal access to Job Coaching services for individuals at the highest acuity levels.</w:t>
      </w:r>
    </w:p>
    <w:p w14:paraId="5875EAC7" w14:textId="77777777" w:rsidR="0006131D" w:rsidRPr="0006131D" w:rsidRDefault="0006131D" w:rsidP="009C2C65">
      <w:pPr>
        <w:pStyle w:val="ListBullet"/>
      </w:pPr>
      <w:r w:rsidRPr="0006131D">
        <w:t xml:space="preserve">Phase rates based on </w:t>
      </w:r>
      <w:r w:rsidR="008B678E">
        <w:t xml:space="preserve">the </w:t>
      </w:r>
      <w:r w:rsidRPr="0006131D">
        <w:t>length of time a person holds a job ensured overall, long-term cost</w:t>
      </w:r>
      <w:r w:rsidR="008B678E">
        <w:t>-</w:t>
      </w:r>
      <w:r w:rsidRPr="0006131D">
        <w:t>effectiveness by basing rates on expectation of fading occurring over time.</w:t>
      </w:r>
    </w:p>
    <w:p w14:paraId="3EBCB327" w14:textId="77777777" w:rsidR="0006131D" w:rsidRPr="0006131D" w:rsidRDefault="0006131D" w:rsidP="00B1367E">
      <w:r w:rsidRPr="0006131D">
        <w:t>ODDS initially established two phases in its outcome-based job coaching reimbursement model: Initial (Months 1-6 on Job) and Ongoing (Months 7+ on Job). In updating the approach in late 2016, ODDS time-limited the “Ongoing” phase and added a third “Maintenance” phase: Initial (Months 1-6 on Job); Ongoing (Months 7-24 on Job), and Maintenance (Months 25+ on Job)</w:t>
      </w:r>
      <w:r w:rsidR="006677B7">
        <w:t xml:space="preserve">. </w:t>
      </w:r>
    </w:p>
    <w:p w14:paraId="6831B75B" w14:textId="16C833D2" w:rsidR="0006131D" w:rsidRDefault="0006131D" w:rsidP="00756D49">
      <w:r w:rsidRPr="0006131D">
        <w:t>ODDS used its six acuity tiers and initially established a separate payment per hour for each tier. In updating the model in late 2016, they combined Tiers 2 and 3 and combined Tiers 4, 5, and 6</w:t>
      </w:r>
      <w:r w:rsidR="006677B7">
        <w:t xml:space="preserve">. </w:t>
      </w:r>
      <w:r w:rsidRPr="0006131D">
        <w:t>Using provider cost reporting, they determined the cost of an hour of job coaching based on the acuity of the person being supported.</w:t>
      </w:r>
    </w:p>
    <w:p w14:paraId="1978B996" w14:textId="5D4FBB79" w:rsidR="007D3DD0" w:rsidRDefault="007D3DD0">
      <w:pPr>
        <w:spacing w:before="0"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320"/>
        <w:gridCol w:w="1530"/>
        <w:gridCol w:w="1710"/>
        <w:gridCol w:w="1620"/>
      </w:tblGrid>
      <w:tr w:rsidR="006972A3" w:rsidRPr="00245C48" w14:paraId="5FD9B3A7" w14:textId="77777777" w:rsidTr="00C76F2C">
        <w:trPr>
          <w:trHeight w:val="720"/>
          <w:jc w:val="center"/>
        </w:trPr>
        <w:tc>
          <w:tcPr>
            <w:tcW w:w="4320" w:type="dxa"/>
            <w:tcBorders>
              <w:top w:val="single" w:sz="2" w:space="0" w:color="D9D9D9" w:themeColor="background1" w:themeShade="D9"/>
              <w:bottom w:val="single" w:sz="2" w:space="0" w:color="D9D9D9" w:themeColor="background1" w:themeShade="D9"/>
            </w:tcBorders>
            <w:shd w:val="clear" w:color="auto" w:fill="215868" w:themeFill="accent5" w:themeFillShade="80"/>
            <w:vAlign w:val="center"/>
          </w:tcPr>
          <w:p w14:paraId="5654163E" w14:textId="77777777" w:rsidR="004D4C63" w:rsidRPr="00245C48" w:rsidRDefault="00706B6A" w:rsidP="00055BD2">
            <w:pPr>
              <w:pStyle w:val="TableLeftColumn"/>
              <w:spacing w:before="60" w:after="60"/>
              <w:rPr>
                <w:b/>
                <w:bCs/>
                <w:color w:val="FFFFFF" w:themeColor="background1"/>
                <w:sz w:val="19"/>
                <w:szCs w:val="19"/>
              </w:rPr>
            </w:pPr>
            <w:r>
              <w:rPr>
                <w:b/>
                <w:bCs/>
                <w:color w:val="FFFFFF" w:themeColor="background1"/>
                <w:sz w:val="19"/>
                <w:szCs w:val="19"/>
              </w:rPr>
              <w:t>Job Coaching Payment Per Hour Worked</w:t>
            </w:r>
          </w:p>
        </w:tc>
        <w:tc>
          <w:tcPr>
            <w:tcW w:w="1530" w:type="dxa"/>
            <w:tcBorders>
              <w:top w:val="single" w:sz="2" w:space="0" w:color="D9D9D9" w:themeColor="background1" w:themeShade="D9"/>
              <w:bottom w:val="single" w:sz="2" w:space="0" w:color="D9D9D9" w:themeColor="background1" w:themeShade="D9"/>
            </w:tcBorders>
            <w:shd w:val="clear" w:color="auto" w:fill="215868" w:themeFill="accent5" w:themeFillShade="80"/>
            <w:vAlign w:val="center"/>
          </w:tcPr>
          <w:p w14:paraId="72E62FD9" w14:textId="77777777" w:rsidR="004D4C63" w:rsidRPr="00245C48" w:rsidRDefault="00706B6A" w:rsidP="006972A3">
            <w:pPr>
              <w:pStyle w:val="TableLeftColumn"/>
              <w:spacing w:before="60" w:after="60"/>
              <w:jc w:val="center"/>
              <w:rPr>
                <w:b/>
                <w:bCs/>
                <w:color w:val="FFFFFF" w:themeColor="background1"/>
                <w:sz w:val="19"/>
                <w:szCs w:val="19"/>
              </w:rPr>
            </w:pPr>
            <w:r>
              <w:rPr>
                <w:b/>
                <w:bCs/>
                <w:color w:val="FFFFFF" w:themeColor="background1"/>
                <w:sz w:val="19"/>
                <w:szCs w:val="19"/>
              </w:rPr>
              <w:t>Tier</w:t>
            </w:r>
            <w:r w:rsidR="004D4C63" w:rsidRPr="00245C48">
              <w:rPr>
                <w:b/>
                <w:bCs/>
                <w:color w:val="FFFFFF" w:themeColor="background1"/>
                <w:sz w:val="19"/>
                <w:szCs w:val="19"/>
              </w:rPr>
              <w:t xml:space="preserve"> 1</w:t>
            </w:r>
            <w:r w:rsidR="006972A3">
              <w:rPr>
                <w:b/>
                <w:bCs/>
                <w:color w:val="FFFFFF" w:themeColor="background1"/>
                <w:sz w:val="19"/>
                <w:szCs w:val="19"/>
              </w:rPr>
              <w:br/>
            </w:r>
            <w:r w:rsidR="004D4C63" w:rsidRPr="00245C48">
              <w:rPr>
                <w:b/>
                <w:bCs/>
                <w:color w:val="FFFFFF" w:themeColor="background1"/>
                <w:sz w:val="19"/>
                <w:szCs w:val="19"/>
              </w:rPr>
              <w:t>(Lowest Acuity)</w:t>
            </w:r>
          </w:p>
        </w:tc>
        <w:tc>
          <w:tcPr>
            <w:tcW w:w="1710" w:type="dxa"/>
            <w:tcBorders>
              <w:top w:val="single" w:sz="2" w:space="0" w:color="D9D9D9" w:themeColor="background1" w:themeShade="D9"/>
              <w:bottom w:val="single" w:sz="2" w:space="0" w:color="D9D9D9" w:themeColor="background1" w:themeShade="D9"/>
            </w:tcBorders>
            <w:shd w:val="clear" w:color="auto" w:fill="215868" w:themeFill="accent5" w:themeFillShade="80"/>
            <w:vAlign w:val="center"/>
          </w:tcPr>
          <w:p w14:paraId="03C6842F" w14:textId="77777777" w:rsidR="004D4C63" w:rsidRPr="00245C48" w:rsidRDefault="00706B6A" w:rsidP="00055BD2">
            <w:pPr>
              <w:pStyle w:val="TableLeftColumn"/>
              <w:spacing w:before="60" w:after="60"/>
              <w:jc w:val="center"/>
              <w:rPr>
                <w:b/>
                <w:bCs/>
                <w:color w:val="FFFFFF" w:themeColor="background1"/>
                <w:sz w:val="19"/>
                <w:szCs w:val="19"/>
              </w:rPr>
            </w:pPr>
            <w:r>
              <w:rPr>
                <w:b/>
                <w:bCs/>
                <w:color w:val="FFFFFF" w:themeColor="background1"/>
                <w:sz w:val="19"/>
                <w:szCs w:val="19"/>
              </w:rPr>
              <w:t>Tier</w:t>
            </w:r>
            <w:r w:rsidR="004D4C63" w:rsidRPr="00245C48">
              <w:rPr>
                <w:b/>
                <w:bCs/>
                <w:color w:val="FFFFFF" w:themeColor="background1"/>
                <w:sz w:val="19"/>
                <w:szCs w:val="19"/>
              </w:rPr>
              <w:t xml:space="preserve"> 2-3</w:t>
            </w:r>
            <w:r w:rsidR="006972A3">
              <w:rPr>
                <w:b/>
                <w:bCs/>
                <w:color w:val="FFFFFF" w:themeColor="background1"/>
                <w:sz w:val="19"/>
                <w:szCs w:val="19"/>
              </w:rPr>
              <w:br/>
            </w:r>
            <w:r w:rsidR="00C52A4B" w:rsidRPr="00C52A4B">
              <w:rPr>
                <w:b/>
                <w:bCs/>
                <w:color w:val="FFFFFF" w:themeColor="background1"/>
                <w:sz w:val="19"/>
                <w:szCs w:val="19"/>
              </w:rPr>
              <w:t>(Medium Acuity)</w:t>
            </w:r>
          </w:p>
        </w:tc>
        <w:tc>
          <w:tcPr>
            <w:tcW w:w="1620" w:type="dxa"/>
            <w:tcBorders>
              <w:top w:val="single" w:sz="2" w:space="0" w:color="D9D9D9" w:themeColor="background1" w:themeShade="D9"/>
              <w:bottom w:val="single" w:sz="2" w:space="0" w:color="D9D9D9" w:themeColor="background1" w:themeShade="D9"/>
            </w:tcBorders>
            <w:shd w:val="clear" w:color="auto" w:fill="215868" w:themeFill="accent5" w:themeFillShade="80"/>
            <w:vAlign w:val="center"/>
          </w:tcPr>
          <w:p w14:paraId="71C9A55C" w14:textId="77777777" w:rsidR="004D4C63" w:rsidRPr="00245C48" w:rsidRDefault="00706B6A" w:rsidP="00055BD2">
            <w:pPr>
              <w:pStyle w:val="TableLeftColumn"/>
              <w:spacing w:before="60" w:after="60"/>
              <w:jc w:val="center"/>
              <w:rPr>
                <w:b/>
                <w:bCs/>
                <w:color w:val="FFFFFF" w:themeColor="background1"/>
                <w:sz w:val="19"/>
                <w:szCs w:val="19"/>
              </w:rPr>
            </w:pPr>
            <w:r>
              <w:rPr>
                <w:b/>
                <w:bCs/>
                <w:color w:val="FFFFFF" w:themeColor="background1"/>
                <w:sz w:val="19"/>
                <w:szCs w:val="19"/>
              </w:rPr>
              <w:t>Tier</w:t>
            </w:r>
            <w:r w:rsidR="004D4C63" w:rsidRPr="00245C48">
              <w:rPr>
                <w:b/>
                <w:bCs/>
                <w:color w:val="FFFFFF" w:themeColor="background1"/>
                <w:sz w:val="19"/>
                <w:szCs w:val="19"/>
              </w:rPr>
              <w:t xml:space="preserve"> 4-6</w:t>
            </w:r>
            <w:r w:rsidR="006972A3">
              <w:rPr>
                <w:b/>
                <w:bCs/>
                <w:color w:val="FFFFFF" w:themeColor="background1"/>
                <w:sz w:val="19"/>
                <w:szCs w:val="19"/>
              </w:rPr>
              <w:br/>
            </w:r>
            <w:r w:rsidR="00DE5823" w:rsidRPr="00DE5823">
              <w:rPr>
                <w:b/>
                <w:bCs/>
                <w:color w:val="FFFFFF" w:themeColor="background1"/>
                <w:sz w:val="19"/>
                <w:szCs w:val="19"/>
              </w:rPr>
              <w:t>(</w:t>
            </w:r>
            <w:r w:rsidR="00DE5823">
              <w:rPr>
                <w:b/>
                <w:bCs/>
                <w:color w:val="FFFFFF" w:themeColor="background1"/>
                <w:sz w:val="19"/>
                <w:szCs w:val="19"/>
              </w:rPr>
              <w:t>Highest</w:t>
            </w:r>
            <w:r w:rsidR="00DE5823" w:rsidRPr="00DE5823">
              <w:rPr>
                <w:b/>
                <w:bCs/>
                <w:color w:val="FFFFFF" w:themeColor="background1"/>
                <w:sz w:val="19"/>
                <w:szCs w:val="19"/>
              </w:rPr>
              <w:t xml:space="preserve"> Acuity)</w:t>
            </w:r>
          </w:p>
        </w:tc>
      </w:tr>
      <w:tr w:rsidR="006972A3" w:rsidRPr="00A34376" w14:paraId="37D69B92" w14:textId="77777777" w:rsidTr="00C76F2C">
        <w:trPr>
          <w:trHeight w:val="374"/>
          <w:jc w:val="center"/>
        </w:trPr>
        <w:tc>
          <w:tcPr>
            <w:tcW w:w="4320" w:type="dxa"/>
            <w:tcBorders>
              <w:top w:val="single" w:sz="2" w:space="0" w:color="D9D9D9" w:themeColor="background1" w:themeShade="D9"/>
              <w:bottom w:val="single" w:sz="4" w:space="0" w:color="D9D9D9" w:themeColor="background1" w:themeShade="D9"/>
            </w:tcBorders>
            <w:shd w:val="clear" w:color="auto" w:fill="DAEEF3" w:themeFill="accent5" w:themeFillTint="33"/>
            <w:vAlign w:val="center"/>
          </w:tcPr>
          <w:p w14:paraId="3DCE09F9" w14:textId="77777777" w:rsidR="004D4C63" w:rsidRPr="00A34376" w:rsidRDefault="004D4C63" w:rsidP="001A5EFA">
            <w:pPr>
              <w:pStyle w:val="TableLeftColumn"/>
              <w:spacing w:before="60" w:after="60"/>
              <w:rPr>
                <w:color w:val="262626" w:themeColor="text1" w:themeTint="D9"/>
                <w:sz w:val="19"/>
                <w:szCs w:val="19"/>
              </w:rPr>
            </w:pPr>
            <w:r w:rsidRPr="00A34376">
              <w:rPr>
                <w:color w:val="262626" w:themeColor="text1" w:themeTint="D9"/>
                <w:sz w:val="19"/>
                <w:szCs w:val="19"/>
              </w:rPr>
              <w:t>Job Coach Hourly Wage Rate Assumed</w:t>
            </w:r>
          </w:p>
        </w:tc>
        <w:tc>
          <w:tcPr>
            <w:tcW w:w="1530" w:type="dxa"/>
            <w:tcBorders>
              <w:top w:val="single" w:sz="2" w:space="0" w:color="D9D9D9" w:themeColor="background1" w:themeShade="D9"/>
              <w:bottom w:val="single" w:sz="4" w:space="0" w:color="D9D9D9" w:themeColor="background1" w:themeShade="D9"/>
            </w:tcBorders>
            <w:shd w:val="clear" w:color="auto" w:fill="DAEEF3" w:themeFill="accent5" w:themeFillTint="33"/>
            <w:vAlign w:val="center"/>
          </w:tcPr>
          <w:p w14:paraId="24617C69" w14:textId="77777777" w:rsidR="004D4C63" w:rsidRPr="00A34376" w:rsidRDefault="004D4C63" w:rsidP="001A5EFA">
            <w:pPr>
              <w:pStyle w:val="TablePercentages"/>
              <w:spacing w:before="60" w:after="60"/>
              <w:ind w:left="-200" w:right="394"/>
              <w:rPr>
                <w:color w:val="262626" w:themeColor="text1" w:themeTint="D9"/>
                <w:sz w:val="19"/>
                <w:szCs w:val="19"/>
              </w:rPr>
            </w:pPr>
            <w:r w:rsidRPr="00A34376">
              <w:rPr>
                <w:color w:val="262626" w:themeColor="text1" w:themeTint="D9"/>
                <w:sz w:val="19"/>
                <w:szCs w:val="19"/>
              </w:rPr>
              <w:t>$17.85</w:t>
            </w:r>
          </w:p>
        </w:tc>
        <w:tc>
          <w:tcPr>
            <w:tcW w:w="1710" w:type="dxa"/>
            <w:tcBorders>
              <w:top w:val="single" w:sz="2" w:space="0" w:color="D9D9D9" w:themeColor="background1" w:themeShade="D9"/>
              <w:bottom w:val="single" w:sz="4" w:space="0" w:color="D9D9D9" w:themeColor="background1" w:themeShade="D9"/>
            </w:tcBorders>
            <w:shd w:val="clear" w:color="auto" w:fill="DAEEF3" w:themeFill="accent5" w:themeFillTint="33"/>
            <w:vAlign w:val="center"/>
          </w:tcPr>
          <w:p w14:paraId="4AEE91A6" w14:textId="77777777" w:rsidR="004D4C63" w:rsidRPr="00A34376" w:rsidRDefault="004D4C63" w:rsidP="001A5EFA">
            <w:pPr>
              <w:pStyle w:val="TablePercentages"/>
              <w:spacing w:before="60" w:after="60"/>
              <w:ind w:left="-200" w:right="394"/>
              <w:rPr>
                <w:color w:val="262626" w:themeColor="text1" w:themeTint="D9"/>
                <w:sz w:val="19"/>
                <w:szCs w:val="19"/>
              </w:rPr>
            </w:pPr>
            <w:r w:rsidRPr="00A34376">
              <w:rPr>
                <w:color w:val="262626" w:themeColor="text1" w:themeTint="D9"/>
                <w:sz w:val="19"/>
                <w:szCs w:val="19"/>
              </w:rPr>
              <w:t>$17.85</w:t>
            </w:r>
          </w:p>
        </w:tc>
        <w:tc>
          <w:tcPr>
            <w:tcW w:w="1620" w:type="dxa"/>
            <w:tcBorders>
              <w:top w:val="single" w:sz="2" w:space="0" w:color="D9D9D9" w:themeColor="background1" w:themeShade="D9"/>
              <w:bottom w:val="single" w:sz="4" w:space="0" w:color="D9D9D9" w:themeColor="background1" w:themeShade="D9"/>
            </w:tcBorders>
            <w:shd w:val="clear" w:color="auto" w:fill="DAEEF3" w:themeFill="accent5" w:themeFillTint="33"/>
            <w:vAlign w:val="center"/>
          </w:tcPr>
          <w:p w14:paraId="3D566E6A" w14:textId="77777777" w:rsidR="004D4C63" w:rsidRPr="00A34376" w:rsidRDefault="004D4C63" w:rsidP="001A5EFA">
            <w:pPr>
              <w:pStyle w:val="TablePercentages"/>
              <w:spacing w:before="60" w:after="60"/>
              <w:ind w:left="-200" w:right="394"/>
              <w:rPr>
                <w:color w:val="262626" w:themeColor="text1" w:themeTint="D9"/>
                <w:sz w:val="19"/>
                <w:szCs w:val="19"/>
              </w:rPr>
            </w:pPr>
            <w:r w:rsidRPr="00A34376">
              <w:rPr>
                <w:color w:val="262626" w:themeColor="text1" w:themeTint="D9"/>
                <w:sz w:val="19"/>
                <w:szCs w:val="19"/>
              </w:rPr>
              <w:t>$17.85</w:t>
            </w:r>
          </w:p>
        </w:tc>
      </w:tr>
      <w:tr w:rsidR="006972A3" w:rsidRPr="00A34376" w14:paraId="1226F9D8" w14:textId="77777777" w:rsidTr="000C001D">
        <w:trPr>
          <w:trHeight w:val="374"/>
          <w:jc w:val="center"/>
        </w:trPr>
        <w:tc>
          <w:tcPr>
            <w:tcW w:w="4320" w:type="dxa"/>
            <w:tcBorders>
              <w:top w:val="single" w:sz="4" w:space="0" w:color="D9D9D9" w:themeColor="background1" w:themeShade="D9"/>
              <w:bottom w:val="single" w:sz="4" w:space="0" w:color="D9D9D9" w:themeColor="background1" w:themeShade="D9"/>
            </w:tcBorders>
            <w:shd w:val="clear" w:color="auto" w:fill="DAEEF3" w:themeFill="accent5" w:themeFillTint="33"/>
            <w:vAlign w:val="center"/>
          </w:tcPr>
          <w:p w14:paraId="3F1AF952" w14:textId="77777777" w:rsidR="004D4C63" w:rsidRPr="00A34376" w:rsidRDefault="004D4C63" w:rsidP="001A5EFA">
            <w:pPr>
              <w:pStyle w:val="TableLeftColumn"/>
              <w:spacing w:before="60" w:after="60"/>
              <w:rPr>
                <w:color w:val="262626" w:themeColor="text1" w:themeTint="D9"/>
                <w:sz w:val="19"/>
                <w:szCs w:val="19"/>
              </w:rPr>
            </w:pPr>
            <w:r w:rsidRPr="00A34376">
              <w:rPr>
                <w:color w:val="262626" w:themeColor="text1" w:themeTint="D9"/>
                <w:sz w:val="19"/>
                <w:szCs w:val="19"/>
              </w:rPr>
              <w:t>Cost Per Job Coach Hour of Service</w:t>
            </w:r>
            <w:r w:rsidRPr="00A34376">
              <w:rPr>
                <w:rStyle w:val="FootnoteReference"/>
                <w:color w:val="262626" w:themeColor="text1" w:themeTint="D9"/>
                <w:sz w:val="19"/>
                <w:szCs w:val="19"/>
              </w:rPr>
              <w:footnoteReference w:id="30"/>
            </w:r>
          </w:p>
        </w:tc>
        <w:tc>
          <w:tcPr>
            <w:tcW w:w="1530" w:type="dxa"/>
            <w:tcBorders>
              <w:top w:val="single" w:sz="4" w:space="0" w:color="D9D9D9" w:themeColor="background1" w:themeShade="D9"/>
              <w:bottom w:val="single" w:sz="4" w:space="0" w:color="D9D9D9" w:themeColor="background1" w:themeShade="D9"/>
            </w:tcBorders>
            <w:shd w:val="clear" w:color="auto" w:fill="DAEEF3" w:themeFill="accent5" w:themeFillTint="33"/>
            <w:vAlign w:val="center"/>
          </w:tcPr>
          <w:p w14:paraId="08DB8AFF" w14:textId="77777777" w:rsidR="004D4C63" w:rsidRPr="00A34376" w:rsidRDefault="004D4C63" w:rsidP="001A5EFA">
            <w:pPr>
              <w:pStyle w:val="TablePercentages"/>
              <w:spacing w:before="60" w:after="60"/>
              <w:ind w:left="-200" w:right="394"/>
              <w:rPr>
                <w:color w:val="262626" w:themeColor="text1" w:themeTint="D9"/>
                <w:sz w:val="19"/>
                <w:szCs w:val="19"/>
              </w:rPr>
            </w:pPr>
            <w:r w:rsidRPr="00A34376">
              <w:rPr>
                <w:color w:val="262626" w:themeColor="text1" w:themeTint="D9"/>
                <w:sz w:val="19"/>
                <w:szCs w:val="19"/>
              </w:rPr>
              <w:t>$51.70</w:t>
            </w:r>
          </w:p>
        </w:tc>
        <w:tc>
          <w:tcPr>
            <w:tcW w:w="1710" w:type="dxa"/>
            <w:tcBorders>
              <w:top w:val="single" w:sz="4" w:space="0" w:color="D9D9D9" w:themeColor="background1" w:themeShade="D9"/>
              <w:bottom w:val="single" w:sz="4" w:space="0" w:color="D9D9D9" w:themeColor="background1" w:themeShade="D9"/>
            </w:tcBorders>
            <w:shd w:val="clear" w:color="auto" w:fill="DAEEF3" w:themeFill="accent5" w:themeFillTint="33"/>
            <w:vAlign w:val="center"/>
          </w:tcPr>
          <w:p w14:paraId="697001B2" w14:textId="77777777" w:rsidR="004D4C63" w:rsidRPr="00A34376" w:rsidRDefault="004D4C63" w:rsidP="001A5EFA">
            <w:pPr>
              <w:pStyle w:val="TablePercentages"/>
              <w:spacing w:before="60" w:after="60"/>
              <w:ind w:left="-200" w:right="394"/>
              <w:rPr>
                <w:color w:val="262626" w:themeColor="text1" w:themeTint="D9"/>
                <w:sz w:val="19"/>
                <w:szCs w:val="19"/>
              </w:rPr>
            </w:pPr>
            <w:r w:rsidRPr="00A34376">
              <w:rPr>
                <w:color w:val="262626" w:themeColor="text1" w:themeTint="D9"/>
                <w:sz w:val="19"/>
                <w:szCs w:val="19"/>
              </w:rPr>
              <w:t>$57.35</w:t>
            </w:r>
          </w:p>
        </w:tc>
        <w:tc>
          <w:tcPr>
            <w:tcW w:w="1620" w:type="dxa"/>
            <w:tcBorders>
              <w:top w:val="single" w:sz="4" w:space="0" w:color="D9D9D9" w:themeColor="background1" w:themeShade="D9"/>
              <w:bottom w:val="single" w:sz="4" w:space="0" w:color="D9D9D9" w:themeColor="background1" w:themeShade="D9"/>
            </w:tcBorders>
            <w:shd w:val="clear" w:color="auto" w:fill="DAEEF3" w:themeFill="accent5" w:themeFillTint="33"/>
            <w:vAlign w:val="center"/>
          </w:tcPr>
          <w:p w14:paraId="08FDF830" w14:textId="77777777" w:rsidR="004D4C63" w:rsidRPr="00A34376" w:rsidRDefault="004D4C63" w:rsidP="001A5EFA">
            <w:pPr>
              <w:pStyle w:val="TablePercentages"/>
              <w:spacing w:before="60" w:after="60"/>
              <w:ind w:left="-200" w:right="394"/>
              <w:rPr>
                <w:color w:val="262626" w:themeColor="text1" w:themeTint="D9"/>
                <w:sz w:val="19"/>
                <w:szCs w:val="19"/>
              </w:rPr>
            </w:pPr>
            <w:r w:rsidRPr="00A34376">
              <w:rPr>
                <w:color w:val="262626" w:themeColor="text1" w:themeTint="D9"/>
                <w:sz w:val="19"/>
                <w:szCs w:val="19"/>
              </w:rPr>
              <w:t>$64.41</w:t>
            </w:r>
          </w:p>
        </w:tc>
      </w:tr>
      <w:tr w:rsidR="006972A3" w:rsidRPr="00A34376" w14:paraId="34A57EA8" w14:textId="77777777" w:rsidTr="000C001D">
        <w:trPr>
          <w:trHeight w:val="720"/>
          <w:jc w:val="center"/>
        </w:trPr>
        <w:tc>
          <w:tcPr>
            <w:tcW w:w="4320" w:type="dxa"/>
            <w:tcBorders>
              <w:top w:val="single" w:sz="4" w:space="0" w:color="D9D9D9" w:themeColor="background1" w:themeShade="D9"/>
              <w:bottom w:val="single" w:sz="4" w:space="0" w:color="D9D9D9" w:themeColor="background1" w:themeShade="D9"/>
            </w:tcBorders>
          </w:tcPr>
          <w:p w14:paraId="7C4B93FB"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 xml:space="preserve">Fading Target for </w:t>
            </w:r>
            <w:r w:rsidRPr="00A34376">
              <w:rPr>
                <w:b/>
                <w:color w:val="262626" w:themeColor="text1" w:themeTint="D9"/>
                <w:sz w:val="19"/>
                <w:szCs w:val="19"/>
              </w:rPr>
              <w:t>Initial Phase</w:t>
            </w:r>
          </w:p>
          <w:p w14:paraId="7A78ED14"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(1-6 Months on Job)</w:t>
            </w:r>
          </w:p>
        </w:tc>
        <w:tc>
          <w:tcPr>
            <w:tcW w:w="1530" w:type="dxa"/>
            <w:tcBorders>
              <w:top w:val="single" w:sz="4" w:space="0" w:color="D9D9D9" w:themeColor="background1" w:themeShade="D9"/>
              <w:bottom w:val="single" w:sz="4" w:space="0" w:color="D9D9D9" w:themeColor="background1" w:themeShade="D9"/>
            </w:tcBorders>
          </w:tcPr>
          <w:p w14:paraId="0C2C23DC"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60%</w:t>
            </w:r>
          </w:p>
        </w:tc>
        <w:tc>
          <w:tcPr>
            <w:tcW w:w="1710" w:type="dxa"/>
            <w:tcBorders>
              <w:top w:val="single" w:sz="4" w:space="0" w:color="D9D9D9" w:themeColor="background1" w:themeShade="D9"/>
              <w:bottom w:val="single" w:sz="4" w:space="0" w:color="D9D9D9" w:themeColor="background1" w:themeShade="D9"/>
            </w:tcBorders>
          </w:tcPr>
          <w:p w14:paraId="146871B0"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80%</w:t>
            </w:r>
          </w:p>
        </w:tc>
        <w:tc>
          <w:tcPr>
            <w:tcW w:w="1620" w:type="dxa"/>
            <w:tcBorders>
              <w:top w:val="single" w:sz="4" w:space="0" w:color="D9D9D9" w:themeColor="background1" w:themeShade="D9"/>
              <w:bottom w:val="single" w:sz="4" w:space="0" w:color="D9D9D9" w:themeColor="background1" w:themeShade="D9"/>
            </w:tcBorders>
          </w:tcPr>
          <w:p w14:paraId="05DE1A59"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100%</w:t>
            </w:r>
          </w:p>
        </w:tc>
      </w:tr>
      <w:tr w:rsidR="006972A3" w:rsidRPr="00A34376" w14:paraId="5033D554" w14:textId="77777777" w:rsidTr="000C001D">
        <w:trPr>
          <w:trHeight w:val="720"/>
          <w:jc w:val="center"/>
        </w:trPr>
        <w:tc>
          <w:tcPr>
            <w:tcW w:w="4320" w:type="dxa"/>
            <w:tcBorders>
              <w:top w:val="single" w:sz="4" w:space="0" w:color="D9D9D9" w:themeColor="background1" w:themeShade="D9"/>
              <w:bottom w:val="single" w:sz="4" w:space="0" w:color="D9D9D9" w:themeColor="background1" w:themeShade="D9"/>
            </w:tcBorders>
          </w:tcPr>
          <w:p w14:paraId="4BF8C0F5"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 xml:space="preserve">Payment Per Hour Worked - </w:t>
            </w:r>
            <w:r w:rsidRPr="00A34376">
              <w:rPr>
                <w:b/>
                <w:color w:val="262626" w:themeColor="text1" w:themeTint="D9"/>
                <w:sz w:val="19"/>
                <w:szCs w:val="19"/>
              </w:rPr>
              <w:t>Initial Phase</w:t>
            </w:r>
          </w:p>
          <w:p w14:paraId="210F4D40"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(1-6 Months on Job)</w:t>
            </w:r>
          </w:p>
        </w:tc>
        <w:tc>
          <w:tcPr>
            <w:tcW w:w="1530" w:type="dxa"/>
            <w:tcBorders>
              <w:top w:val="single" w:sz="4" w:space="0" w:color="D9D9D9" w:themeColor="background1" w:themeShade="D9"/>
              <w:bottom w:val="single" w:sz="4" w:space="0" w:color="D9D9D9" w:themeColor="background1" w:themeShade="D9"/>
            </w:tcBorders>
          </w:tcPr>
          <w:p w14:paraId="63134659"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$31.02</w:t>
            </w:r>
          </w:p>
        </w:tc>
        <w:tc>
          <w:tcPr>
            <w:tcW w:w="1710" w:type="dxa"/>
            <w:tcBorders>
              <w:top w:val="single" w:sz="4" w:space="0" w:color="D9D9D9" w:themeColor="background1" w:themeShade="D9"/>
              <w:bottom w:val="single" w:sz="4" w:space="0" w:color="D9D9D9" w:themeColor="background1" w:themeShade="D9"/>
            </w:tcBorders>
          </w:tcPr>
          <w:p w14:paraId="757EA3B6"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$45.88</w:t>
            </w:r>
          </w:p>
        </w:tc>
        <w:tc>
          <w:tcPr>
            <w:tcW w:w="1620" w:type="dxa"/>
            <w:tcBorders>
              <w:top w:val="single" w:sz="4" w:space="0" w:color="D9D9D9" w:themeColor="background1" w:themeShade="D9"/>
              <w:bottom w:val="single" w:sz="4" w:space="0" w:color="D9D9D9" w:themeColor="background1" w:themeShade="D9"/>
            </w:tcBorders>
          </w:tcPr>
          <w:p w14:paraId="165B8617"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$64.41</w:t>
            </w:r>
          </w:p>
        </w:tc>
      </w:tr>
      <w:tr w:rsidR="006972A3" w:rsidRPr="00A34376" w14:paraId="07941B58" w14:textId="77777777" w:rsidTr="000C001D">
        <w:trPr>
          <w:trHeight w:val="720"/>
          <w:jc w:val="center"/>
        </w:trPr>
        <w:tc>
          <w:tcPr>
            <w:tcW w:w="432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6F8BE176"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 xml:space="preserve">Fading Target for </w:t>
            </w:r>
            <w:r w:rsidRPr="00A34376">
              <w:rPr>
                <w:b/>
                <w:color w:val="262626" w:themeColor="text1" w:themeTint="D9"/>
                <w:sz w:val="19"/>
                <w:szCs w:val="19"/>
              </w:rPr>
              <w:t>Ongoing Phase</w:t>
            </w:r>
          </w:p>
          <w:p w14:paraId="645565EC"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(7-24 Months on Job)</w:t>
            </w:r>
          </w:p>
        </w:tc>
        <w:tc>
          <w:tcPr>
            <w:tcW w:w="153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3B340AE4"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50%</w:t>
            </w:r>
          </w:p>
        </w:tc>
        <w:tc>
          <w:tcPr>
            <w:tcW w:w="171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5692A5D8"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70%</w:t>
            </w:r>
          </w:p>
        </w:tc>
        <w:tc>
          <w:tcPr>
            <w:tcW w:w="162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52F12137"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90%</w:t>
            </w:r>
          </w:p>
        </w:tc>
      </w:tr>
      <w:tr w:rsidR="006972A3" w:rsidRPr="00A34376" w14:paraId="375AFE31" w14:textId="77777777" w:rsidTr="000C001D">
        <w:trPr>
          <w:trHeight w:val="720"/>
          <w:jc w:val="center"/>
        </w:trPr>
        <w:tc>
          <w:tcPr>
            <w:tcW w:w="432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57E9A2B5"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 xml:space="preserve">Payment Per Hour Worked - </w:t>
            </w:r>
            <w:r w:rsidRPr="00A34376">
              <w:rPr>
                <w:b/>
                <w:color w:val="262626" w:themeColor="text1" w:themeTint="D9"/>
                <w:sz w:val="19"/>
                <w:szCs w:val="19"/>
              </w:rPr>
              <w:t>Ongoing Phase</w:t>
            </w:r>
            <w:r w:rsidRPr="00A34376">
              <w:rPr>
                <w:color w:val="262626" w:themeColor="text1" w:themeTint="D9"/>
                <w:sz w:val="19"/>
                <w:szCs w:val="19"/>
              </w:rPr>
              <w:t xml:space="preserve"> </w:t>
            </w:r>
          </w:p>
          <w:p w14:paraId="3913EC3F"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(7-24 Months on Job)</w:t>
            </w:r>
          </w:p>
        </w:tc>
        <w:tc>
          <w:tcPr>
            <w:tcW w:w="153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4C5AF558"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$25.85</w:t>
            </w:r>
          </w:p>
        </w:tc>
        <w:tc>
          <w:tcPr>
            <w:tcW w:w="171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5882FD3F"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$40.15</w:t>
            </w:r>
          </w:p>
        </w:tc>
        <w:tc>
          <w:tcPr>
            <w:tcW w:w="1620" w:type="dxa"/>
            <w:tcBorders>
              <w:top w:val="single" w:sz="4" w:space="0" w:color="D9D9D9" w:themeColor="background1" w:themeShade="D9"/>
              <w:bottom w:val="single" w:sz="4" w:space="0" w:color="D9D9D9" w:themeColor="background1" w:themeShade="D9"/>
            </w:tcBorders>
            <w:shd w:val="clear" w:color="auto" w:fill="DAEEF3" w:themeFill="accent5" w:themeFillTint="33"/>
          </w:tcPr>
          <w:p w14:paraId="343A3048"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$57.97</w:t>
            </w:r>
          </w:p>
        </w:tc>
      </w:tr>
      <w:tr w:rsidR="006972A3" w:rsidRPr="00A34376" w14:paraId="42DBBF33" w14:textId="77777777" w:rsidTr="000C001D">
        <w:trPr>
          <w:trHeight w:val="720"/>
          <w:jc w:val="center"/>
        </w:trPr>
        <w:tc>
          <w:tcPr>
            <w:tcW w:w="4320" w:type="dxa"/>
            <w:tcBorders>
              <w:top w:val="single" w:sz="4" w:space="0" w:color="D9D9D9" w:themeColor="background1" w:themeShade="D9"/>
              <w:bottom w:val="single" w:sz="4" w:space="0" w:color="D9D9D9" w:themeColor="background1" w:themeShade="D9"/>
            </w:tcBorders>
            <w:shd w:val="clear" w:color="auto" w:fill="FFFFFF" w:themeFill="background1"/>
          </w:tcPr>
          <w:p w14:paraId="38D674F1"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 xml:space="preserve">Fading Target for </w:t>
            </w:r>
            <w:r w:rsidRPr="00A34376">
              <w:rPr>
                <w:b/>
                <w:color w:val="262626" w:themeColor="text1" w:themeTint="D9"/>
                <w:sz w:val="19"/>
                <w:szCs w:val="19"/>
              </w:rPr>
              <w:t>Maintenance Phase</w:t>
            </w:r>
            <w:r w:rsidRPr="00A34376">
              <w:rPr>
                <w:color w:val="262626" w:themeColor="text1" w:themeTint="D9"/>
                <w:sz w:val="19"/>
                <w:szCs w:val="19"/>
              </w:rPr>
              <w:t xml:space="preserve"> </w:t>
            </w:r>
          </w:p>
          <w:p w14:paraId="165124E9"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(25+ Months on Job)</w:t>
            </w:r>
          </w:p>
        </w:tc>
        <w:tc>
          <w:tcPr>
            <w:tcW w:w="1530" w:type="dxa"/>
            <w:tcBorders>
              <w:top w:val="single" w:sz="4" w:space="0" w:color="D9D9D9" w:themeColor="background1" w:themeShade="D9"/>
              <w:bottom w:val="single" w:sz="4" w:space="0" w:color="D9D9D9" w:themeColor="background1" w:themeShade="D9"/>
            </w:tcBorders>
            <w:shd w:val="clear" w:color="auto" w:fill="FFFFFF" w:themeFill="background1"/>
          </w:tcPr>
          <w:p w14:paraId="4201AC93"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40%</w:t>
            </w:r>
          </w:p>
        </w:tc>
        <w:tc>
          <w:tcPr>
            <w:tcW w:w="1710" w:type="dxa"/>
            <w:tcBorders>
              <w:top w:val="single" w:sz="4" w:space="0" w:color="D9D9D9" w:themeColor="background1" w:themeShade="D9"/>
              <w:bottom w:val="single" w:sz="4" w:space="0" w:color="D9D9D9" w:themeColor="background1" w:themeShade="D9"/>
            </w:tcBorders>
            <w:shd w:val="clear" w:color="auto" w:fill="FFFFFF" w:themeFill="background1"/>
          </w:tcPr>
          <w:p w14:paraId="55466A81"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50%</w:t>
            </w:r>
          </w:p>
        </w:tc>
        <w:tc>
          <w:tcPr>
            <w:tcW w:w="1620" w:type="dxa"/>
            <w:tcBorders>
              <w:top w:val="single" w:sz="4" w:space="0" w:color="D9D9D9" w:themeColor="background1" w:themeShade="D9"/>
              <w:bottom w:val="single" w:sz="4" w:space="0" w:color="D9D9D9" w:themeColor="background1" w:themeShade="D9"/>
            </w:tcBorders>
            <w:shd w:val="clear" w:color="auto" w:fill="FFFFFF" w:themeFill="background1"/>
          </w:tcPr>
          <w:p w14:paraId="0970AE4F"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80%</w:t>
            </w:r>
          </w:p>
        </w:tc>
      </w:tr>
      <w:tr w:rsidR="006972A3" w:rsidRPr="00A34376" w14:paraId="71319710" w14:textId="77777777" w:rsidTr="000C001D">
        <w:trPr>
          <w:trHeight w:val="720"/>
          <w:jc w:val="center"/>
        </w:trPr>
        <w:tc>
          <w:tcPr>
            <w:tcW w:w="4320" w:type="dxa"/>
            <w:tcBorders>
              <w:top w:val="single" w:sz="4" w:space="0" w:color="D9D9D9" w:themeColor="background1" w:themeShade="D9"/>
              <w:bottom w:val="single" w:sz="4" w:space="0" w:color="D9D9D9" w:themeColor="background1" w:themeShade="D9"/>
            </w:tcBorders>
            <w:shd w:val="clear" w:color="auto" w:fill="FFFFFF" w:themeFill="background1"/>
          </w:tcPr>
          <w:p w14:paraId="0342F1B4"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Payment Per Hour Worked -</w:t>
            </w:r>
            <w:r w:rsidR="00496521" w:rsidRPr="00A34376">
              <w:rPr>
                <w:color w:val="262626" w:themeColor="text1" w:themeTint="D9"/>
                <w:sz w:val="19"/>
                <w:szCs w:val="19"/>
              </w:rPr>
              <w:t xml:space="preserve"> </w:t>
            </w:r>
            <w:r w:rsidRPr="00A34376">
              <w:rPr>
                <w:b/>
                <w:color w:val="262626" w:themeColor="text1" w:themeTint="D9"/>
                <w:sz w:val="19"/>
                <w:szCs w:val="19"/>
              </w:rPr>
              <w:t>Maintenance Phase</w:t>
            </w:r>
            <w:r w:rsidRPr="00A34376">
              <w:rPr>
                <w:color w:val="262626" w:themeColor="text1" w:themeTint="D9"/>
                <w:sz w:val="19"/>
                <w:szCs w:val="19"/>
              </w:rPr>
              <w:t xml:space="preserve"> </w:t>
            </w:r>
          </w:p>
          <w:p w14:paraId="3A3F48A1" w14:textId="77777777" w:rsidR="004D4C63" w:rsidRPr="00A34376" w:rsidRDefault="004D4C63" w:rsidP="00055BD2">
            <w:pPr>
              <w:pStyle w:val="TableLeftColumn"/>
              <w:spacing w:before="60" w:after="60"/>
              <w:rPr>
                <w:color w:val="262626" w:themeColor="text1" w:themeTint="D9"/>
                <w:sz w:val="19"/>
                <w:szCs w:val="19"/>
              </w:rPr>
            </w:pPr>
            <w:r w:rsidRPr="00A34376">
              <w:rPr>
                <w:color w:val="262626" w:themeColor="text1" w:themeTint="D9"/>
                <w:sz w:val="19"/>
                <w:szCs w:val="19"/>
              </w:rPr>
              <w:t>(25+ Months on Job)</w:t>
            </w:r>
          </w:p>
        </w:tc>
        <w:tc>
          <w:tcPr>
            <w:tcW w:w="1530" w:type="dxa"/>
            <w:tcBorders>
              <w:top w:val="single" w:sz="4" w:space="0" w:color="D9D9D9" w:themeColor="background1" w:themeShade="D9"/>
              <w:bottom w:val="single" w:sz="4" w:space="0" w:color="D9D9D9" w:themeColor="background1" w:themeShade="D9"/>
            </w:tcBorders>
            <w:shd w:val="clear" w:color="auto" w:fill="FFFFFF" w:themeFill="background1"/>
          </w:tcPr>
          <w:p w14:paraId="28D211D9"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$20.68</w:t>
            </w:r>
          </w:p>
        </w:tc>
        <w:tc>
          <w:tcPr>
            <w:tcW w:w="1710" w:type="dxa"/>
            <w:tcBorders>
              <w:top w:val="single" w:sz="4" w:space="0" w:color="D9D9D9" w:themeColor="background1" w:themeShade="D9"/>
              <w:bottom w:val="single" w:sz="4" w:space="0" w:color="D9D9D9" w:themeColor="background1" w:themeShade="D9"/>
            </w:tcBorders>
            <w:shd w:val="clear" w:color="auto" w:fill="FFFFFF" w:themeFill="background1"/>
          </w:tcPr>
          <w:p w14:paraId="1E0375A5"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$28.68</w:t>
            </w:r>
          </w:p>
        </w:tc>
        <w:tc>
          <w:tcPr>
            <w:tcW w:w="1620" w:type="dxa"/>
            <w:tcBorders>
              <w:top w:val="single" w:sz="4" w:space="0" w:color="D9D9D9" w:themeColor="background1" w:themeShade="D9"/>
              <w:bottom w:val="single" w:sz="4" w:space="0" w:color="D9D9D9" w:themeColor="background1" w:themeShade="D9"/>
            </w:tcBorders>
            <w:shd w:val="clear" w:color="auto" w:fill="FFFFFF" w:themeFill="background1"/>
          </w:tcPr>
          <w:p w14:paraId="05C4FD2F" w14:textId="77777777" w:rsidR="004D4C63" w:rsidRPr="00A34376" w:rsidRDefault="004D4C63" w:rsidP="00055BD2">
            <w:pPr>
              <w:pStyle w:val="TablePercentages"/>
              <w:spacing w:before="60" w:after="60"/>
              <w:ind w:left="-200" w:right="394"/>
              <w:rPr>
                <w:color w:val="262626" w:themeColor="text1" w:themeTint="D9"/>
                <w:sz w:val="19"/>
                <w:szCs w:val="19"/>
              </w:rPr>
            </w:pPr>
            <w:r w:rsidRPr="00A34376">
              <w:rPr>
                <w:color w:val="262626" w:themeColor="text1" w:themeTint="D9"/>
                <w:sz w:val="19"/>
                <w:szCs w:val="19"/>
              </w:rPr>
              <w:t>$51.53</w:t>
            </w:r>
          </w:p>
        </w:tc>
      </w:tr>
    </w:tbl>
    <w:p w14:paraId="167D3A59" w14:textId="77777777" w:rsidR="004D4C63" w:rsidRPr="00496521" w:rsidRDefault="00E8159B" w:rsidP="008916F9">
      <w:pPr>
        <w:pStyle w:val="EndnoteText"/>
        <w:jc w:val="center"/>
      </w:pPr>
      <w:r w:rsidRPr="00496521">
        <w:t xml:space="preserve">Rates were implemented </w:t>
      </w:r>
      <w:r w:rsidR="008C5D4A" w:rsidRPr="00496521">
        <w:t xml:space="preserve">in </w:t>
      </w:r>
      <w:r w:rsidRPr="00496521">
        <w:t>November</w:t>
      </w:r>
      <w:r w:rsidR="004D4C63" w:rsidRPr="00496521">
        <w:t xml:space="preserve"> 2016.</w:t>
      </w:r>
    </w:p>
    <w:p w14:paraId="5D3433C9" w14:textId="77777777" w:rsidR="00D464C4" w:rsidRPr="001F6FF2" w:rsidRDefault="00D464C4" w:rsidP="00D464C4">
      <w:pPr>
        <w:pStyle w:val="NoSpacing"/>
      </w:pPr>
    </w:p>
    <w:p w14:paraId="7D47CD09" w14:textId="77777777" w:rsidR="002238F2" w:rsidRDefault="002238F2">
      <w:pPr>
        <w:spacing w:before="0" w:after="0" w:line="240" w:lineRule="auto"/>
      </w:pPr>
      <w:r>
        <w:br w:type="page"/>
      </w:r>
    </w:p>
    <w:p w14:paraId="36B37C7D" w14:textId="4A0A03FD" w:rsidR="004D4C63" w:rsidRPr="00043C33" w:rsidRDefault="004D4C63" w:rsidP="00B1367E">
      <w:r w:rsidRPr="009E5223">
        <w:t>In the table above, it’s very important to note that the calculated average cost per hour of job coaching service</w:t>
      </w:r>
      <w:r w:rsidR="009E5223" w:rsidRPr="000147DE">
        <w:t>s</w:t>
      </w:r>
      <w:r w:rsidRPr="009E5223">
        <w:t xml:space="preserve"> is based on </w:t>
      </w:r>
      <w:r w:rsidR="00E046EB" w:rsidRPr="009E5223">
        <w:t>the</w:t>
      </w:r>
      <w:r w:rsidRPr="009E5223">
        <w:t xml:space="preserve"> assumption </w:t>
      </w:r>
      <w:r w:rsidR="00D1086C" w:rsidRPr="009E5223">
        <w:t xml:space="preserve">that </w:t>
      </w:r>
      <w:r w:rsidRPr="009E5223">
        <w:t xml:space="preserve">the </w:t>
      </w:r>
      <w:r w:rsidRPr="009E5223">
        <w:rPr>
          <w:b/>
        </w:rPr>
        <w:t>average hourly wage paid is $17.85</w:t>
      </w:r>
      <w:r w:rsidRPr="009E5223">
        <w:t>.</w:t>
      </w:r>
      <w:r w:rsidRPr="00043C33">
        <w:t xml:space="preserve"> It is also important to note that ODDS had earmarked funding added to their budget that could only be used for Supported Employment-Individual services. This allowed them to build a rate model with generous assumptions related to pay and benefits, as well as </w:t>
      </w:r>
      <w:r w:rsidRPr="00043C33">
        <w:rPr>
          <w:b/>
        </w:rPr>
        <w:t xml:space="preserve">more conservative assumptions for fading </w:t>
      </w:r>
      <w:r w:rsidRPr="00043C33">
        <w:t xml:space="preserve">than should otherwise be possible with best practice implementation of Supported Employment services. Further, the assumptions for fading were based on actual experience with individuals that were working in </w:t>
      </w:r>
      <w:r w:rsidR="005C0C61">
        <w:t>I</w:t>
      </w:r>
      <w:r w:rsidRPr="00043C33">
        <w:t xml:space="preserve">ndividual Supported Employment situations when the model was developed. While using actual data in this way </w:t>
      </w:r>
      <w:r w:rsidRPr="00043C33">
        <w:rPr>
          <w:b/>
        </w:rPr>
        <w:t>is encouraged</w:t>
      </w:r>
      <w:r w:rsidRPr="00043C33">
        <w:t xml:space="preserve"> when building a valid outcome-based reimbursement model for job coaching, </w:t>
      </w:r>
      <w:r w:rsidRPr="00043C33">
        <w:rPr>
          <w:i/>
        </w:rPr>
        <w:t xml:space="preserve">the reader is </w:t>
      </w:r>
      <w:r w:rsidRPr="00043C33">
        <w:rPr>
          <w:b/>
          <w:i/>
        </w:rPr>
        <w:t>strongly cautioned</w:t>
      </w:r>
      <w:r w:rsidRPr="00043C33">
        <w:rPr>
          <w:i/>
        </w:rPr>
        <w:t xml:space="preserve"> against setting fading targets solely based on actual experience if there is evidence that best practices for fading have not traditionally been used</w:t>
      </w:r>
      <w:r w:rsidR="00282BAA">
        <w:rPr>
          <w:i/>
        </w:rPr>
        <w:t>.</w:t>
      </w:r>
      <w:r w:rsidRPr="00043C33">
        <w:rPr>
          <w:i/>
        </w:rPr>
        <w:t xml:space="preserve"> </w:t>
      </w:r>
      <w:r w:rsidR="00282BAA">
        <w:rPr>
          <w:i/>
        </w:rPr>
        <w:t>T</w:t>
      </w:r>
      <w:r w:rsidRPr="00043C33">
        <w:rPr>
          <w:i/>
        </w:rPr>
        <w:t>hus</w:t>
      </w:r>
      <w:r w:rsidR="00282BAA">
        <w:rPr>
          <w:i/>
        </w:rPr>
        <w:t>,</w:t>
      </w:r>
      <w:r w:rsidRPr="00043C33">
        <w:rPr>
          <w:i/>
        </w:rPr>
        <w:t xml:space="preserve"> greater fading should be expected with the introduction of a reimbursement model that rewards fading</w:t>
      </w:r>
      <w:r w:rsidR="005043F4">
        <w:t xml:space="preserve">. </w:t>
      </w:r>
      <w:r w:rsidRPr="00043C33">
        <w:t>The danger</w:t>
      </w:r>
      <w:r w:rsidR="000E0575">
        <w:t xml:space="preserve"> </w:t>
      </w:r>
      <w:r w:rsidRPr="00043C33">
        <w:t xml:space="preserve">of setting fading targets higher than what best practices should otherwise allow is that the ability to achieve strong cost-effectiveness and cost-efficiency in the reimbursement model is likely compromised. Thus, it will take more dollars to serve the same number of people than in a model where the fading targets are set more appropriately. However, it is still the case that any outcome-based reimbursement model for job coaching is more likely to produce more fading and achieve far greater overall cost-effectiveness than any fee-for-service reimbursement model that ensures equal access to all individuals with disabilities, regardless of acuity. </w:t>
      </w:r>
    </w:p>
    <w:p w14:paraId="1EBB926A" w14:textId="4338AB2F" w:rsidR="004D4C63" w:rsidRPr="00837BFC" w:rsidRDefault="00D97355" w:rsidP="00B11115">
      <w:pPr>
        <w:pStyle w:val="Heading2"/>
      </w:pPr>
      <w:bookmarkStart w:id="54" w:name="_Toc70944201"/>
      <w:r w:rsidRPr="00837BFC">
        <w:t>Case Example</w:t>
      </w:r>
      <w:r w:rsidR="008C4BED" w:rsidRPr="00837BFC">
        <w:t xml:space="preserve">: </w:t>
      </w:r>
      <w:r w:rsidR="00461DCC" w:rsidRPr="00837BFC">
        <w:t>Tennessee</w:t>
      </w:r>
      <w:r w:rsidR="004D4C63" w:rsidRPr="00837BFC">
        <w:t xml:space="preserve"> </w:t>
      </w:r>
      <w:r w:rsidR="00461DCC" w:rsidRPr="00837BFC">
        <w:t>Employment and Community First Choices</w:t>
      </w:r>
      <w:bookmarkEnd w:id="54"/>
    </w:p>
    <w:p w14:paraId="1CECBF88" w14:textId="77777777" w:rsidR="004D4C63" w:rsidRPr="00DD7D1D" w:rsidRDefault="004D4C63" w:rsidP="00B1367E">
      <w:r w:rsidRPr="00DD7D1D">
        <w:t>In July 2016, Tennessee’s Medicaid agency (Tenn</w:t>
      </w:r>
      <w:r w:rsidR="006C4711">
        <w:t>C</w:t>
      </w:r>
      <w:r w:rsidRPr="00DD7D1D">
        <w:t>are) launched the first HCBS program for people with IDD that was</w:t>
      </w:r>
      <w:r w:rsidR="00773104">
        <w:t xml:space="preserve"> </w:t>
      </w:r>
      <w:r w:rsidRPr="00DD7D1D">
        <w:t>designed specifically to advance Employment First and full community inclusion. The program, “Employment and Community First CHOICES</w:t>
      </w:r>
      <w:r w:rsidR="00E52AD4">
        <w:t>,</w:t>
      </w:r>
      <w:r w:rsidRPr="00DD7D1D">
        <w:t>”</w:t>
      </w:r>
      <w:r w:rsidR="00E52AD4">
        <w:t xml:space="preserve"> </w:t>
      </w:r>
      <w:r w:rsidRPr="00DD7D1D">
        <w:t>is established under the Medicaid 1115 demonstration authority and is an extension of the state’s managed care system for administering Medicaid programs</w:t>
      </w:r>
      <w:r w:rsidR="005043F4">
        <w:t xml:space="preserve">. </w:t>
      </w:r>
      <w:r w:rsidRPr="00DD7D1D">
        <w:t>Tenn</w:t>
      </w:r>
      <w:r w:rsidR="006C4711">
        <w:t>C</w:t>
      </w:r>
      <w:r w:rsidRPr="00DD7D1D">
        <w:t>are also has a strong commitment to value-based purchasing</w:t>
      </w:r>
      <w:r w:rsidR="00773104">
        <w:t>,</w:t>
      </w:r>
      <w:r w:rsidRPr="00DD7D1D">
        <w:t xml:space="preserve"> which created the opportunity to embed </w:t>
      </w:r>
      <w:r w:rsidR="001C4B24" w:rsidRPr="003F37FC">
        <w:t>outcome-based reimbursement for pre-employment services into the program</w:t>
      </w:r>
    </w:p>
    <w:p w14:paraId="417C81C6" w14:textId="77777777" w:rsidR="00D85E0C" w:rsidRPr="00A049B4" w:rsidRDefault="004D4C63" w:rsidP="00B11115">
      <w:pPr>
        <w:pStyle w:val="Heading3"/>
      </w:pPr>
      <w:bookmarkStart w:id="55" w:name="_Toc70944202"/>
      <w:r w:rsidRPr="00A049B4">
        <w:t>Employment Exploration</w:t>
      </w:r>
      <w:bookmarkEnd w:id="55"/>
    </w:p>
    <w:p w14:paraId="608B59B3" w14:textId="77777777" w:rsidR="008B2471" w:rsidRPr="008B2471" w:rsidRDefault="008B2471" w:rsidP="003B3E89">
      <w:r w:rsidRPr="008B2471">
        <w:t>This is a time-limited 30</w:t>
      </w:r>
      <w:r w:rsidR="003B3E89">
        <w:t>-</w:t>
      </w:r>
      <w:r w:rsidRPr="008B2471">
        <w:t xml:space="preserve">day service designed to facilitate increased opportunities for Employment and Community First CHOICES participants and their families/guardians to make a genuine </w:t>
      </w:r>
      <w:r w:rsidRPr="008B2471">
        <w:rPr>
          <w:b/>
          <w:i/>
        </w:rPr>
        <w:t>Employment Informed Choice</w:t>
      </w:r>
      <w:r w:rsidRPr="008B2471">
        <w:t xml:space="preserve"> about competitive integrated employment. This service ensures the participant (and his/her guardian/family if involved) fully understand</w:t>
      </w:r>
      <w:r w:rsidR="009A2548">
        <w:t>s</w:t>
      </w:r>
      <w:r w:rsidRPr="008B2471">
        <w:t xml:space="preserve">: </w:t>
      </w:r>
    </w:p>
    <w:p w14:paraId="5CFD20E3" w14:textId="77777777" w:rsidR="008B2471" w:rsidRPr="008B2471" w:rsidRDefault="008B2471" w:rsidP="003B3E89">
      <w:pPr>
        <w:pStyle w:val="ListBullet"/>
      </w:pPr>
      <w:r w:rsidRPr="008B2471">
        <w:t>The opportunities, services, and supports for competitive integrated employment that exist locally</w:t>
      </w:r>
    </w:p>
    <w:p w14:paraId="75E37DC7" w14:textId="77777777" w:rsidR="008B2471" w:rsidRPr="008B2471" w:rsidRDefault="008B2471" w:rsidP="003B3E89">
      <w:pPr>
        <w:pStyle w:val="ListBullet"/>
      </w:pPr>
      <w:r w:rsidRPr="008B2471">
        <w:t>The availability of work incentives and dispelling of common myths associated with the interplay between disability benefits and working for competitive wages</w:t>
      </w:r>
    </w:p>
    <w:p w14:paraId="335D28EA" w14:textId="77777777" w:rsidR="008B2471" w:rsidRPr="008B2471" w:rsidRDefault="008B2471" w:rsidP="003B3E89">
      <w:pPr>
        <w:pStyle w:val="ListBullet"/>
      </w:pPr>
      <w:r w:rsidRPr="008B2471">
        <w:t>Preliminary identification of a person’s interests and abilities that are transferable to competitive integrated employment</w:t>
      </w:r>
    </w:p>
    <w:p w14:paraId="17F768F6" w14:textId="77777777" w:rsidR="008B2471" w:rsidRPr="008B2471" w:rsidRDefault="008B2471" w:rsidP="00B1367E">
      <w:r w:rsidRPr="008B2471">
        <w:t>While this service is not appropriate for someone who knows they want to work in competitive integrated employment, it does address many people who are not sure or believe, based on limited information, that they do not want to work in competitive integrated employment. This service fills a great need that HCBS programs for people with IDD have typically been unable to address through traditional Supported Employment service offerings.</w:t>
      </w:r>
    </w:p>
    <w:p w14:paraId="09825194" w14:textId="4E439C67" w:rsidR="008B2471" w:rsidRDefault="008B2471" w:rsidP="00A36201">
      <w:pPr>
        <w:spacing w:after="0"/>
      </w:pPr>
      <w:r w:rsidRPr="008B2471">
        <w:t>An outcome payment was established based on the assumption that a qualified job coach would perform the service and 40 hours would be the average length of time necessary to perform the service, including all hours – not only face-to-face hours. A rate model was built to determine an appropriate total cost for a Job Coach hour of service</w:t>
      </w:r>
      <w:r w:rsidR="006E785F">
        <w:t>,</w:t>
      </w:r>
      <w:r w:rsidRPr="008B2471">
        <w:t xml:space="preserve"> and this was multiplied by 40 hours to arrive at the outcome payment. </w:t>
      </w:r>
    </w:p>
    <w:p w14:paraId="678054AF" w14:textId="77777777" w:rsidR="00A36201" w:rsidRDefault="00A36201" w:rsidP="00A36201">
      <w:pPr>
        <w:pStyle w:val="NoSpacing"/>
      </w:pPr>
    </w:p>
    <w:tbl>
      <w:tblPr>
        <w:tblW w:w="6660" w:type="dxa"/>
        <w:jc w:val="center"/>
        <w:tblLook w:val="0420" w:firstRow="1" w:lastRow="0" w:firstColumn="0" w:lastColumn="0" w:noHBand="0" w:noVBand="1"/>
        <w:tblCaption w:val="Appropriate total cost for a Job Coach hour of service"/>
        <w:tblDescription w:val="Employment exploration and performed by qualified job coach with hour of service cost, average hours, and outcome payment for service."/>
      </w:tblPr>
      <w:tblGrid>
        <w:gridCol w:w="3330"/>
        <w:gridCol w:w="3330"/>
      </w:tblGrid>
      <w:tr w:rsidR="00C9395A" w:rsidRPr="005158DB" w14:paraId="198C2440" w14:textId="77777777" w:rsidTr="00106C86">
        <w:trPr>
          <w:trHeight w:val="374"/>
          <w:tblHeader/>
          <w:jc w:val="center"/>
        </w:trPr>
        <w:tc>
          <w:tcPr>
            <w:tcW w:w="3330" w:type="dxa"/>
            <w:tcBorders>
              <w:top w:val="nil"/>
              <w:left w:val="nil"/>
              <w:bottom w:val="single" w:sz="4" w:space="0" w:color="BFBFBF" w:themeColor="background1" w:themeShade="BF"/>
              <w:right w:val="nil"/>
            </w:tcBorders>
            <w:shd w:val="clear" w:color="auto" w:fill="215868" w:themeFill="accent5" w:themeFillShade="80"/>
            <w:vAlign w:val="center"/>
            <w:hideMark/>
          </w:tcPr>
          <w:p w14:paraId="413DA713" w14:textId="77777777" w:rsidR="005158DB" w:rsidRPr="005158DB" w:rsidRDefault="005158DB" w:rsidP="008F25B5">
            <w:pPr>
              <w:spacing w:before="60" w:after="60" w:line="240" w:lineRule="auto"/>
              <w:rPr>
                <w:rFonts w:ascii="Optima" w:eastAsia="Times New Roman" w:hAnsi="Optima" w:cs="Calibri"/>
                <w:b/>
                <w:bCs/>
                <w:color w:val="FFFFFF"/>
                <w:sz w:val="19"/>
                <w:szCs w:val="19"/>
              </w:rPr>
            </w:pPr>
            <w:r w:rsidRPr="005158DB">
              <w:rPr>
                <w:rFonts w:ascii="Optima" w:eastAsia="Times New Roman" w:hAnsi="Optima" w:cs="Calibri"/>
                <w:b/>
                <w:bCs/>
                <w:color w:val="FFFFFF" w:themeColor="background1"/>
                <w:sz w:val="19"/>
                <w:szCs w:val="19"/>
              </w:rPr>
              <w:t>Employment Exploration</w:t>
            </w:r>
          </w:p>
        </w:tc>
        <w:tc>
          <w:tcPr>
            <w:tcW w:w="3330" w:type="dxa"/>
            <w:tcBorders>
              <w:top w:val="nil"/>
              <w:left w:val="nil"/>
              <w:bottom w:val="single" w:sz="4" w:space="0" w:color="BFBFBF" w:themeColor="background1" w:themeShade="BF"/>
              <w:right w:val="nil"/>
            </w:tcBorders>
            <w:shd w:val="clear" w:color="auto" w:fill="215868" w:themeFill="accent5" w:themeFillShade="80"/>
            <w:vAlign w:val="center"/>
            <w:hideMark/>
          </w:tcPr>
          <w:p w14:paraId="753F5426" w14:textId="77777777" w:rsidR="005158DB" w:rsidRPr="005158DB" w:rsidRDefault="005158DB" w:rsidP="008F25B5">
            <w:pPr>
              <w:spacing w:before="60" w:after="60" w:line="240" w:lineRule="auto"/>
              <w:jc w:val="center"/>
              <w:rPr>
                <w:rFonts w:ascii="Optima" w:eastAsia="Times New Roman" w:hAnsi="Optima" w:cs="Calibri"/>
                <w:b/>
                <w:bCs/>
                <w:color w:val="FFFFFF"/>
                <w:sz w:val="19"/>
                <w:szCs w:val="19"/>
              </w:rPr>
            </w:pPr>
            <w:r w:rsidRPr="005158DB">
              <w:rPr>
                <w:rFonts w:ascii="Optima" w:eastAsia="Times New Roman" w:hAnsi="Optima" w:cs="Calibri"/>
                <w:b/>
                <w:bCs/>
                <w:color w:val="FFFFFF" w:themeColor="background1"/>
                <w:sz w:val="19"/>
                <w:szCs w:val="19"/>
              </w:rPr>
              <w:t>Performed by Qualified Job Coach</w:t>
            </w:r>
          </w:p>
        </w:tc>
      </w:tr>
      <w:tr w:rsidR="00C9395A" w:rsidRPr="00A34376" w14:paraId="4AA86D5D" w14:textId="77777777" w:rsidTr="00106C86">
        <w:trPr>
          <w:trHeight w:val="374"/>
          <w:tblHeader/>
          <w:jc w:val="center"/>
        </w:trPr>
        <w:tc>
          <w:tcPr>
            <w:tcW w:w="3330" w:type="dxa"/>
            <w:tcBorders>
              <w:top w:val="single" w:sz="4" w:space="0" w:color="BFBFBF" w:themeColor="background1" w:themeShade="BF"/>
              <w:left w:val="nil"/>
              <w:bottom w:val="single" w:sz="4" w:space="0" w:color="D9D9D9" w:themeColor="background1" w:themeShade="D9"/>
              <w:right w:val="nil"/>
            </w:tcBorders>
            <w:shd w:val="clear" w:color="000000" w:fill="DAEEF3"/>
            <w:vAlign w:val="center"/>
            <w:hideMark/>
          </w:tcPr>
          <w:p w14:paraId="30577B33" w14:textId="77777777" w:rsidR="005158DB" w:rsidRPr="00A34376" w:rsidRDefault="005158DB" w:rsidP="008F25B5">
            <w:pPr>
              <w:spacing w:before="60" w:after="60" w:line="240" w:lineRule="auto"/>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Cost of Job Coach Hour of Service</w:t>
            </w:r>
          </w:p>
        </w:tc>
        <w:tc>
          <w:tcPr>
            <w:tcW w:w="3330" w:type="dxa"/>
            <w:tcBorders>
              <w:top w:val="single" w:sz="4" w:space="0" w:color="BFBFBF" w:themeColor="background1" w:themeShade="BF"/>
              <w:left w:val="nil"/>
              <w:bottom w:val="single" w:sz="4" w:space="0" w:color="D9D9D9" w:themeColor="background1" w:themeShade="D9"/>
              <w:right w:val="nil"/>
            </w:tcBorders>
            <w:shd w:val="clear" w:color="000000" w:fill="DAEEF3"/>
            <w:vAlign w:val="center"/>
            <w:hideMark/>
          </w:tcPr>
          <w:p w14:paraId="271E261A" w14:textId="73004151" w:rsidR="005158DB" w:rsidRPr="00A34376" w:rsidRDefault="005158DB" w:rsidP="00A823AF">
            <w:pPr>
              <w:spacing w:before="60" w:after="60" w:line="240" w:lineRule="auto"/>
              <w:jc w:val="center"/>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$27.27</w:t>
            </w:r>
          </w:p>
        </w:tc>
      </w:tr>
      <w:tr w:rsidR="00C9395A" w:rsidRPr="00A34376" w14:paraId="5C068FA5" w14:textId="77777777" w:rsidTr="00106C86">
        <w:trPr>
          <w:trHeight w:val="374"/>
          <w:tblHeader/>
          <w:jc w:val="center"/>
        </w:trPr>
        <w:tc>
          <w:tcPr>
            <w:tcW w:w="33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14:paraId="3A787249" w14:textId="77777777" w:rsidR="005158DB" w:rsidRPr="00A34376" w:rsidRDefault="005158DB" w:rsidP="008F25B5">
            <w:pPr>
              <w:spacing w:before="60" w:after="60" w:line="240" w:lineRule="auto"/>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Average Hours to Complete Service</w:t>
            </w:r>
          </w:p>
        </w:tc>
        <w:tc>
          <w:tcPr>
            <w:tcW w:w="33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14:paraId="39C52AC5" w14:textId="77777777" w:rsidR="005158DB" w:rsidRPr="00A34376" w:rsidRDefault="005158DB" w:rsidP="00A823AF">
            <w:pPr>
              <w:spacing w:before="60" w:after="60" w:line="240" w:lineRule="auto"/>
              <w:jc w:val="center"/>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40</w:t>
            </w:r>
          </w:p>
        </w:tc>
      </w:tr>
      <w:tr w:rsidR="00C9395A" w:rsidRPr="00A34376" w14:paraId="2B796294" w14:textId="77777777" w:rsidTr="00106C86">
        <w:trPr>
          <w:trHeight w:val="374"/>
          <w:tblHeader/>
          <w:jc w:val="center"/>
        </w:trPr>
        <w:tc>
          <w:tcPr>
            <w:tcW w:w="3330" w:type="dxa"/>
            <w:tcBorders>
              <w:top w:val="single" w:sz="4" w:space="0" w:color="D9D9D9" w:themeColor="background1" w:themeShade="D9"/>
              <w:left w:val="nil"/>
              <w:bottom w:val="single" w:sz="4" w:space="0" w:color="D9D9D9" w:themeColor="background1" w:themeShade="D9"/>
              <w:right w:val="nil"/>
            </w:tcBorders>
            <w:shd w:val="clear" w:color="000000" w:fill="DAEEF3"/>
            <w:vAlign w:val="center"/>
            <w:hideMark/>
          </w:tcPr>
          <w:p w14:paraId="02C1A31B" w14:textId="77777777" w:rsidR="005158DB" w:rsidRPr="00A34376" w:rsidRDefault="005158DB" w:rsidP="008F25B5">
            <w:pPr>
              <w:spacing w:before="60" w:after="60" w:line="240" w:lineRule="auto"/>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Outcome Payment for Service</w:t>
            </w:r>
          </w:p>
        </w:tc>
        <w:tc>
          <w:tcPr>
            <w:tcW w:w="3330" w:type="dxa"/>
            <w:tcBorders>
              <w:top w:val="single" w:sz="4" w:space="0" w:color="D9D9D9" w:themeColor="background1" w:themeShade="D9"/>
              <w:left w:val="nil"/>
              <w:bottom w:val="single" w:sz="4" w:space="0" w:color="D9D9D9" w:themeColor="background1" w:themeShade="D9"/>
              <w:right w:val="nil"/>
            </w:tcBorders>
            <w:shd w:val="clear" w:color="000000" w:fill="DAEEF3"/>
            <w:vAlign w:val="center"/>
            <w:hideMark/>
          </w:tcPr>
          <w:p w14:paraId="599B0771" w14:textId="6BD6C7F8" w:rsidR="005158DB" w:rsidRPr="00A34376" w:rsidRDefault="005158DB" w:rsidP="00A823AF">
            <w:pPr>
              <w:spacing w:before="60" w:after="60" w:line="240" w:lineRule="auto"/>
              <w:jc w:val="center"/>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$1,091</w:t>
            </w:r>
          </w:p>
        </w:tc>
      </w:tr>
    </w:tbl>
    <w:p w14:paraId="6AC7A127" w14:textId="77777777" w:rsidR="004F4B2E" w:rsidRPr="008B2471" w:rsidRDefault="004F4B2E" w:rsidP="002476FD">
      <w:pPr>
        <w:pStyle w:val="NoSpacing"/>
      </w:pPr>
    </w:p>
    <w:p w14:paraId="077E49C3" w14:textId="77777777" w:rsidR="00564BD2" w:rsidRPr="00564BD2" w:rsidRDefault="00564BD2" w:rsidP="004A2608">
      <w:r w:rsidRPr="00564BD2">
        <w:t>To ensure that any outcome-based payment made for completion of the Employment Exploration service results in a minimum standard for the service process and outcomes, TennCare developed an Employment Exploration report template. Its use is required with the outcome payment payable upon submission of a complete and acceptable Employment Exploration report. The report template requires Job Coaches to record their actual time delivering the service so the state can check and verify its assumptions</w:t>
      </w:r>
      <w:r w:rsidR="0035039D">
        <w:t xml:space="preserve"> </w:t>
      </w:r>
      <w:r w:rsidRPr="00564BD2">
        <w:t>about the average number of hours required to deliver the service</w:t>
      </w:r>
      <w:r w:rsidR="0035039D">
        <w:t xml:space="preserve"> over time</w:t>
      </w:r>
      <w:r w:rsidRPr="00564BD2">
        <w:t>. Mileage involved in delivering the service is also tracked to validate assumptions over time.</w:t>
      </w:r>
    </w:p>
    <w:p w14:paraId="12E0633B" w14:textId="77777777" w:rsidR="00D85E0C" w:rsidRPr="00A049B4" w:rsidRDefault="004D4C63" w:rsidP="00B11115">
      <w:pPr>
        <w:pStyle w:val="Heading3"/>
      </w:pPr>
      <w:bookmarkStart w:id="56" w:name="_Toc70944203"/>
      <w:r w:rsidRPr="00A049B4">
        <w:t>Discovery</w:t>
      </w:r>
      <w:bookmarkEnd w:id="56"/>
    </w:p>
    <w:p w14:paraId="454B9A69" w14:textId="77777777" w:rsidR="004D4C63" w:rsidRPr="00043C33" w:rsidRDefault="004D4C63" w:rsidP="00B1367E">
      <w:r w:rsidRPr="00043C33">
        <w:t>This is a time-limited 90</w:t>
      </w:r>
      <w:r w:rsidR="00305A83">
        <w:t>-</w:t>
      </w:r>
      <w:r w:rsidRPr="00043C33">
        <w:t xml:space="preserve">day service designed to ensure an Employment and Community First CHOICES participant (and his/her guardian/family if involved) </w:t>
      </w:r>
      <w:r w:rsidRPr="00043C33">
        <w:rPr>
          <w:i/>
        </w:rPr>
        <w:t xml:space="preserve">and anyone doing job development/placement for the individual </w:t>
      </w:r>
      <w:r w:rsidRPr="00043C33">
        <w:t xml:space="preserve">fully understands, </w:t>
      </w:r>
      <w:r w:rsidRPr="00043C33">
        <w:rPr>
          <w:i/>
        </w:rPr>
        <w:t>prior to any efforts to secure employment</w:t>
      </w:r>
      <w:r w:rsidRPr="00043C33">
        <w:t>, the individual’s interests, strengths, abilities</w:t>
      </w:r>
      <w:r w:rsidR="00593C7A">
        <w:t>,</w:t>
      </w:r>
      <w:r w:rsidRPr="00043C33">
        <w:t xml:space="preserve"> and conditions for success related to competitive integrated employment. </w:t>
      </w:r>
    </w:p>
    <w:p w14:paraId="006F8F08" w14:textId="38027612" w:rsidR="004D4C63" w:rsidRPr="00043C33" w:rsidRDefault="004D4C63" w:rsidP="00B1367E">
      <w:r w:rsidRPr="00043C33">
        <w:t>This service is appropriate for a person who knows they would like competitive integrated employment</w:t>
      </w:r>
      <w:r w:rsidR="005D74A8">
        <w:t xml:space="preserve"> </w:t>
      </w:r>
      <w:r w:rsidRPr="00043C33">
        <w:t>but is unsure as to what type of employment and what type of employer/workplace would be the best fit</w:t>
      </w:r>
      <w:r w:rsidR="00074A06">
        <w:t xml:space="preserve"> </w:t>
      </w:r>
      <w:r w:rsidRPr="00043C33">
        <w:t>where they would be most likely to succeed</w:t>
      </w:r>
      <w:r w:rsidR="00074A06">
        <w:t>.</w:t>
      </w:r>
    </w:p>
    <w:p w14:paraId="52CED410" w14:textId="6B5A5548" w:rsidR="00496521" w:rsidRDefault="004D4C63" w:rsidP="00A36201">
      <w:pPr>
        <w:spacing w:after="0"/>
      </w:pPr>
      <w:r w:rsidRPr="00043C33">
        <w:t xml:space="preserve">An outcome payment was established based on the assumption that a qualified job developer would perform the service and 50 hours would be the average length of time necessary to perform the service, including all hours – not only face-to-face hours. A rate model was built to determine an appropriate total cost for a Job Developer hour of service, and this was multiplied by 50 hours to arrive at the outcome payment. </w:t>
      </w:r>
    </w:p>
    <w:p w14:paraId="63AA3F74" w14:textId="77777777" w:rsidR="00A36201" w:rsidRPr="00043C33" w:rsidRDefault="00A36201" w:rsidP="00A36201">
      <w:pPr>
        <w:pStyle w:val="NoSpacing"/>
      </w:pPr>
    </w:p>
    <w:tbl>
      <w:tblPr>
        <w:tblW w:w="6789" w:type="dxa"/>
        <w:jc w:val="center"/>
        <w:tblLook w:val="0420" w:firstRow="1" w:lastRow="0" w:firstColumn="0" w:lastColumn="0" w:noHBand="0" w:noVBand="1"/>
        <w:tblCaption w:val="Appropriate total cost for a Job Coach hour of service"/>
        <w:tblDescription w:val="Employment exploration and performed by qualified job coach with hour of service cost, average hours, and outcome payment for service."/>
      </w:tblPr>
      <w:tblGrid>
        <w:gridCol w:w="3369"/>
        <w:gridCol w:w="3420"/>
      </w:tblGrid>
      <w:tr w:rsidR="000F27FD" w:rsidRPr="00CA582A" w14:paraId="1363C3C8" w14:textId="77777777" w:rsidTr="00106C86">
        <w:trPr>
          <w:trHeight w:val="374"/>
          <w:tblHeader/>
          <w:jc w:val="center"/>
        </w:trPr>
        <w:tc>
          <w:tcPr>
            <w:tcW w:w="3369" w:type="dxa"/>
            <w:tcBorders>
              <w:top w:val="nil"/>
              <w:left w:val="nil"/>
              <w:bottom w:val="single" w:sz="4" w:space="0" w:color="BFBFBF" w:themeColor="background1" w:themeShade="BF"/>
              <w:right w:val="nil"/>
            </w:tcBorders>
            <w:shd w:val="clear" w:color="auto" w:fill="215868" w:themeFill="accent5" w:themeFillShade="80"/>
            <w:vAlign w:val="center"/>
            <w:hideMark/>
          </w:tcPr>
          <w:p w14:paraId="1551420D" w14:textId="77777777" w:rsidR="00CA582A" w:rsidRPr="00CA582A" w:rsidRDefault="00CA582A" w:rsidP="00CA582A">
            <w:pPr>
              <w:spacing w:before="60" w:after="60" w:line="240" w:lineRule="auto"/>
              <w:rPr>
                <w:rFonts w:ascii="Optima" w:eastAsia="Times New Roman" w:hAnsi="Optima" w:cs="Calibri"/>
                <w:b/>
                <w:bCs/>
                <w:color w:val="FFFFFF" w:themeColor="background1"/>
                <w:sz w:val="19"/>
                <w:szCs w:val="19"/>
              </w:rPr>
            </w:pPr>
            <w:r w:rsidRPr="00CA582A">
              <w:rPr>
                <w:rFonts w:ascii="Optima" w:eastAsia="Times New Roman" w:hAnsi="Optima" w:cs="Calibri"/>
                <w:b/>
                <w:bCs/>
                <w:color w:val="FFFFFF" w:themeColor="background1"/>
                <w:sz w:val="19"/>
                <w:szCs w:val="19"/>
              </w:rPr>
              <w:t>Discovery</w:t>
            </w:r>
          </w:p>
        </w:tc>
        <w:tc>
          <w:tcPr>
            <w:tcW w:w="3420" w:type="dxa"/>
            <w:tcBorders>
              <w:top w:val="nil"/>
              <w:left w:val="nil"/>
              <w:bottom w:val="single" w:sz="4" w:space="0" w:color="BFBFBF" w:themeColor="background1" w:themeShade="BF"/>
              <w:right w:val="nil"/>
            </w:tcBorders>
            <w:shd w:val="clear" w:color="auto" w:fill="215868" w:themeFill="accent5" w:themeFillShade="80"/>
            <w:vAlign w:val="center"/>
            <w:hideMark/>
          </w:tcPr>
          <w:p w14:paraId="695F9854" w14:textId="77777777" w:rsidR="00CA582A" w:rsidRPr="00CA582A" w:rsidRDefault="00CA582A" w:rsidP="00CA582A">
            <w:pPr>
              <w:spacing w:before="60" w:after="60" w:line="240" w:lineRule="auto"/>
              <w:jc w:val="center"/>
              <w:rPr>
                <w:rFonts w:ascii="Optima" w:eastAsia="Times New Roman" w:hAnsi="Optima" w:cs="Calibri"/>
                <w:b/>
                <w:bCs/>
                <w:color w:val="FFFFFF" w:themeColor="background1"/>
                <w:sz w:val="19"/>
                <w:szCs w:val="19"/>
              </w:rPr>
            </w:pPr>
            <w:r w:rsidRPr="00CA582A">
              <w:rPr>
                <w:rFonts w:ascii="Optima" w:eastAsia="Times New Roman" w:hAnsi="Optima" w:cs="Calibri"/>
                <w:b/>
                <w:bCs/>
                <w:color w:val="FFFFFF" w:themeColor="background1"/>
                <w:sz w:val="19"/>
                <w:szCs w:val="19"/>
              </w:rPr>
              <w:t>Performed by Qualified Job Developer</w:t>
            </w:r>
          </w:p>
        </w:tc>
      </w:tr>
      <w:tr w:rsidR="000F27FD" w:rsidRPr="00A34376" w14:paraId="50C247AA" w14:textId="77777777" w:rsidTr="00106C86">
        <w:trPr>
          <w:trHeight w:val="374"/>
          <w:tblHeader/>
          <w:jc w:val="center"/>
        </w:trPr>
        <w:tc>
          <w:tcPr>
            <w:tcW w:w="3369" w:type="dxa"/>
            <w:tcBorders>
              <w:top w:val="single" w:sz="4" w:space="0" w:color="BFBFBF" w:themeColor="background1" w:themeShade="BF"/>
              <w:left w:val="nil"/>
              <w:bottom w:val="single" w:sz="4" w:space="0" w:color="D9D9D9" w:themeColor="background1" w:themeShade="D9"/>
              <w:right w:val="nil"/>
            </w:tcBorders>
            <w:shd w:val="clear" w:color="000000" w:fill="DAEEF3"/>
            <w:vAlign w:val="center"/>
            <w:hideMark/>
          </w:tcPr>
          <w:p w14:paraId="755A8D65" w14:textId="77777777" w:rsidR="00CA582A" w:rsidRPr="00A34376" w:rsidRDefault="00CA582A" w:rsidP="00CA582A">
            <w:pPr>
              <w:spacing w:before="60" w:after="60" w:line="240" w:lineRule="auto"/>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Cost of Job Developer Hour of Service</w:t>
            </w:r>
          </w:p>
        </w:tc>
        <w:tc>
          <w:tcPr>
            <w:tcW w:w="3420" w:type="dxa"/>
            <w:tcBorders>
              <w:top w:val="single" w:sz="4" w:space="0" w:color="BFBFBF" w:themeColor="background1" w:themeShade="BF"/>
              <w:left w:val="nil"/>
              <w:bottom w:val="single" w:sz="4" w:space="0" w:color="D9D9D9" w:themeColor="background1" w:themeShade="D9"/>
              <w:right w:val="nil"/>
            </w:tcBorders>
            <w:shd w:val="clear" w:color="000000" w:fill="DAEEF3"/>
            <w:vAlign w:val="center"/>
            <w:hideMark/>
          </w:tcPr>
          <w:p w14:paraId="2DEF4F4F" w14:textId="77777777" w:rsidR="00CA582A" w:rsidRPr="00A34376" w:rsidRDefault="00CA582A" w:rsidP="00650B6F">
            <w:pPr>
              <w:spacing w:before="60" w:after="60" w:line="240" w:lineRule="auto"/>
              <w:ind w:right="1462"/>
              <w:jc w:val="right"/>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 xml:space="preserve">$30.00 </w:t>
            </w:r>
          </w:p>
        </w:tc>
      </w:tr>
      <w:tr w:rsidR="000F27FD" w:rsidRPr="00A34376" w14:paraId="7F9671DD" w14:textId="77777777" w:rsidTr="00106C86">
        <w:trPr>
          <w:trHeight w:val="374"/>
          <w:tblHeader/>
          <w:jc w:val="center"/>
        </w:trPr>
        <w:tc>
          <w:tcPr>
            <w:tcW w:w="336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14:paraId="484426EA" w14:textId="77777777" w:rsidR="00CA582A" w:rsidRPr="00A34376" w:rsidRDefault="00CA582A" w:rsidP="00CA582A">
            <w:pPr>
              <w:spacing w:before="60" w:after="60" w:line="240" w:lineRule="auto"/>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Average Hours to Complete Service</w:t>
            </w:r>
          </w:p>
        </w:tc>
        <w:tc>
          <w:tcPr>
            <w:tcW w:w="34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14:paraId="7995B6E5" w14:textId="77777777" w:rsidR="00CA582A" w:rsidRPr="00A34376" w:rsidRDefault="00CA582A" w:rsidP="00650B6F">
            <w:pPr>
              <w:spacing w:before="60" w:after="60" w:line="240" w:lineRule="auto"/>
              <w:ind w:right="1462"/>
              <w:jc w:val="right"/>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50</w:t>
            </w:r>
          </w:p>
        </w:tc>
      </w:tr>
      <w:tr w:rsidR="000F27FD" w:rsidRPr="00A34376" w14:paraId="543C8722" w14:textId="77777777" w:rsidTr="00106C86">
        <w:trPr>
          <w:trHeight w:val="374"/>
          <w:tblHeader/>
          <w:jc w:val="center"/>
        </w:trPr>
        <w:tc>
          <w:tcPr>
            <w:tcW w:w="3369" w:type="dxa"/>
            <w:tcBorders>
              <w:top w:val="single" w:sz="4" w:space="0" w:color="D9D9D9" w:themeColor="background1" w:themeShade="D9"/>
              <w:left w:val="nil"/>
              <w:bottom w:val="single" w:sz="4" w:space="0" w:color="D9D9D9" w:themeColor="background1" w:themeShade="D9"/>
              <w:right w:val="nil"/>
            </w:tcBorders>
            <w:shd w:val="clear" w:color="000000" w:fill="DAEEF3"/>
            <w:vAlign w:val="center"/>
            <w:hideMark/>
          </w:tcPr>
          <w:p w14:paraId="499B2318" w14:textId="77777777" w:rsidR="00CA582A" w:rsidRPr="00A34376" w:rsidRDefault="00CA582A" w:rsidP="00CA582A">
            <w:pPr>
              <w:spacing w:before="60" w:after="60" w:line="240" w:lineRule="auto"/>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Outcome Payment for Service</w:t>
            </w:r>
          </w:p>
        </w:tc>
        <w:tc>
          <w:tcPr>
            <w:tcW w:w="3420" w:type="dxa"/>
            <w:tcBorders>
              <w:top w:val="single" w:sz="4" w:space="0" w:color="D9D9D9" w:themeColor="background1" w:themeShade="D9"/>
              <w:left w:val="nil"/>
              <w:bottom w:val="single" w:sz="4" w:space="0" w:color="D9D9D9" w:themeColor="background1" w:themeShade="D9"/>
              <w:right w:val="nil"/>
            </w:tcBorders>
            <w:shd w:val="clear" w:color="000000" w:fill="DAEEF3"/>
            <w:vAlign w:val="center"/>
            <w:hideMark/>
          </w:tcPr>
          <w:p w14:paraId="5F9E3AA4" w14:textId="77777777" w:rsidR="00CA582A" w:rsidRPr="00A34376" w:rsidRDefault="00CA582A" w:rsidP="00650B6F">
            <w:pPr>
              <w:spacing w:before="60" w:after="60" w:line="240" w:lineRule="auto"/>
              <w:ind w:right="1462"/>
              <w:jc w:val="right"/>
              <w:rPr>
                <w:rFonts w:ascii="Optima" w:eastAsia="Times New Roman" w:hAnsi="Optima" w:cs="Calibri"/>
                <w:color w:val="262626" w:themeColor="text1" w:themeTint="D9"/>
                <w:sz w:val="19"/>
                <w:szCs w:val="19"/>
              </w:rPr>
            </w:pPr>
            <w:r w:rsidRPr="00A34376">
              <w:rPr>
                <w:rFonts w:ascii="Optima" w:eastAsia="Times New Roman" w:hAnsi="Optima" w:cs="Calibri"/>
                <w:color w:val="262626" w:themeColor="text1" w:themeTint="D9"/>
                <w:sz w:val="19"/>
                <w:szCs w:val="19"/>
              </w:rPr>
              <w:t xml:space="preserve">$1,500 </w:t>
            </w:r>
          </w:p>
        </w:tc>
      </w:tr>
    </w:tbl>
    <w:p w14:paraId="31191039" w14:textId="77777777" w:rsidR="004D4C63" w:rsidRPr="00043C33" w:rsidRDefault="004D4C63" w:rsidP="002476FD">
      <w:pPr>
        <w:pStyle w:val="NoSpacing"/>
      </w:pPr>
    </w:p>
    <w:p w14:paraId="60A95BB5" w14:textId="77777777" w:rsidR="002238F2" w:rsidRDefault="002238F2">
      <w:pPr>
        <w:spacing w:before="0" w:after="0" w:line="240" w:lineRule="auto"/>
      </w:pPr>
      <w:r>
        <w:br w:type="page"/>
      </w:r>
    </w:p>
    <w:p w14:paraId="299031A0" w14:textId="4691C117" w:rsidR="004D4C63" w:rsidRPr="00043C33" w:rsidRDefault="004D4C63" w:rsidP="00B1367E">
      <w:r w:rsidRPr="00043C33">
        <w:t xml:space="preserve">To ensure any outcome-based payment made for completion of the Discovery service results in a minimum standard for the service process and outcomes, </w:t>
      </w:r>
      <w:r w:rsidR="00911B2D" w:rsidRPr="00043C33">
        <w:t>Tenn</w:t>
      </w:r>
      <w:r w:rsidR="006C4711">
        <w:t>C</w:t>
      </w:r>
      <w:r w:rsidR="00911B2D" w:rsidRPr="00043C33">
        <w:t xml:space="preserve">are developed </w:t>
      </w:r>
      <w:r w:rsidRPr="00043C33">
        <w:t>a Discovery Profile template</w:t>
      </w:r>
      <w:r w:rsidR="00911B2D">
        <w:t xml:space="preserve">. Its use </w:t>
      </w:r>
      <w:r w:rsidRPr="00043C33">
        <w:t xml:space="preserve">is required </w:t>
      </w:r>
      <w:r w:rsidR="00911B2D">
        <w:t xml:space="preserve">with the </w:t>
      </w:r>
      <w:r w:rsidRPr="00043C33">
        <w:t>outcome payment</w:t>
      </w:r>
      <w:r w:rsidR="00844315">
        <w:t xml:space="preserve"> </w:t>
      </w:r>
      <w:r w:rsidRPr="00043C33">
        <w:t>payable upon submission of a complete and acceptable Discovery Profile report</w:t>
      </w:r>
      <w:r w:rsidR="00911B2D">
        <w:t xml:space="preserve">. </w:t>
      </w:r>
      <w:r w:rsidRPr="00043C33">
        <w:t>The report template required Job Developers to record their actual time delivering the service so the state could check and verify its assumptions</w:t>
      </w:r>
      <w:r w:rsidR="00F143BD">
        <w:t xml:space="preserve"> </w:t>
      </w:r>
      <w:r w:rsidRPr="00043C33">
        <w:t>about the average number of hours required to deliver the service</w:t>
      </w:r>
      <w:r w:rsidR="00F143BD">
        <w:t xml:space="preserve"> over time</w:t>
      </w:r>
      <w:r w:rsidRPr="00043C33">
        <w:t>. Mileage involved in delivering the service was also tracked to validate assumptions over time.</w:t>
      </w:r>
    </w:p>
    <w:p w14:paraId="1BCC9594" w14:textId="77777777" w:rsidR="00D85E0C" w:rsidRPr="00A049B4" w:rsidRDefault="004D4C63" w:rsidP="00B11115">
      <w:pPr>
        <w:pStyle w:val="Heading3"/>
      </w:pPr>
      <w:bookmarkStart w:id="57" w:name="_Toc70944204"/>
      <w:r w:rsidRPr="00A049B4">
        <w:t>Job Development</w:t>
      </w:r>
      <w:bookmarkEnd w:id="57"/>
    </w:p>
    <w:p w14:paraId="12930910" w14:textId="77777777" w:rsidR="004D4C63" w:rsidRPr="00043C33" w:rsidRDefault="004D4C63" w:rsidP="00B1367E">
      <w:r w:rsidRPr="00043C33">
        <w:t xml:space="preserve">If not available to an Employment and Community CHOICES participant through </w:t>
      </w:r>
      <w:r w:rsidR="00E77301">
        <w:t xml:space="preserve">the </w:t>
      </w:r>
      <w:r w:rsidRPr="00043C33">
        <w:t xml:space="preserve">VR agency, this is an available service paid on an outcome basis with </w:t>
      </w:r>
      <w:r w:rsidRPr="00224E39">
        <w:rPr>
          <w:i/>
        </w:rPr>
        <w:t>three</w:t>
      </w:r>
      <w:r w:rsidRPr="009E3A06">
        <w:rPr>
          <w:i/>
        </w:rPr>
        <w:t xml:space="preserve"> tiered</w:t>
      </w:r>
      <w:r w:rsidRPr="00043C33">
        <w:rPr>
          <w:i/>
        </w:rPr>
        <w:t xml:space="preserve"> outcome payments </w:t>
      </w:r>
      <w:r w:rsidRPr="00043C33">
        <w:t xml:space="preserve">depending on the acuity of the individual, as determined through </w:t>
      </w:r>
      <w:r w:rsidR="00224E39">
        <w:t xml:space="preserve">the </w:t>
      </w:r>
      <w:r w:rsidRPr="00043C33">
        <w:t xml:space="preserve">same process used to place </w:t>
      </w:r>
      <w:r w:rsidR="0096471C">
        <w:t xml:space="preserve">the </w:t>
      </w:r>
      <w:r w:rsidRPr="00043C33">
        <w:t xml:space="preserve">individual in specific levels for other day/employment services. </w:t>
      </w:r>
    </w:p>
    <w:p w14:paraId="0932B99C" w14:textId="6D816B60" w:rsidR="007D3DD0" w:rsidRDefault="004D4C63" w:rsidP="005E1AD9">
      <w:pPr>
        <w:spacing w:after="0"/>
      </w:pPr>
      <w:r w:rsidRPr="00043C33">
        <w:t xml:space="preserve">Each of the </w:t>
      </w:r>
      <w:r w:rsidR="00496521" w:rsidRPr="00043C33">
        <w:t>three</w:t>
      </w:r>
      <w:r w:rsidR="00496521">
        <w:t>-tiered</w:t>
      </w:r>
      <w:r w:rsidRPr="00043C33">
        <w:t xml:space="preserve"> outcome payments assume</w:t>
      </w:r>
      <w:r w:rsidR="0096471C">
        <w:t>s</w:t>
      </w:r>
      <w:r w:rsidRPr="00043C33">
        <w:t xml:space="preserve"> a qualified Job Developer provides the service</w:t>
      </w:r>
      <w:r w:rsidR="009E3A06">
        <w:t>,</w:t>
      </w:r>
      <w:r w:rsidRPr="00043C33">
        <w:t xml:space="preserve"> and securing the outcome (the competitive integrated employment opportunity) takes, on average, a certain number of hours</w:t>
      </w:r>
      <w:r w:rsidR="00FB6773">
        <w:t>,</w:t>
      </w:r>
      <w:r w:rsidRPr="00043C33">
        <w:t xml:space="preserve"> including all hours</w:t>
      </w:r>
      <w:r w:rsidR="00CB29AA">
        <w:t>—</w:t>
      </w:r>
      <w:r w:rsidRPr="00043C33">
        <w:t>not only face-to-face hours</w:t>
      </w:r>
      <w:r w:rsidR="0037194D">
        <w:t xml:space="preserve">. </w:t>
      </w:r>
      <w:r w:rsidRPr="00043C33">
        <w:t xml:space="preserve">The average hours vary based on </w:t>
      </w:r>
      <w:r w:rsidR="009E3A06">
        <w:t xml:space="preserve">the </w:t>
      </w:r>
      <w:r w:rsidRPr="00043C33">
        <w:t xml:space="preserve">acuity of </w:t>
      </w:r>
      <w:r w:rsidR="009E3A06">
        <w:t xml:space="preserve">a </w:t>
      </w:r>
      <w:r w:rsidRPr="00043C33">
        <w:t xml:space="preserve">person: it </w:t>
      </w:r>
      <w:r w:rsidR="00733BA6">
        <w:t>assumes</w:t>
      </w:r>
      <w:r w:rsidRPr="00043C33">
        <w:t xml:space="preserve"> a person with higher acuity will take longer to successfully place in competitive integrated employment than a person with lower acuity: 80 hours for highest acuity; 60 hours for middle acuity; 40 hours for lowest acuity</w:t>
      </w:r>
      <w:r w:rsidR="0037194D">
        <w:t xml:space="preserve">. </w:t>
      </w:r>
      <w:r w:rsidRPr="00043C33">
        <w:t>A rate model was built to determine an appropriate total cost for a Job Developer hour of service, and this was multiplied by the average hours to arrive at the outcome payment for each acuity tier</w:t>
      </w:r>
      <w:r w:rsidR="005043F4">
        <w:t xml:space="preserve">. </w:t>
      </w:r>
    </w:p>
    <w:p w14:paraId="19013378" w14:textId="77777777" w:rsidR="009E7B35" w:rsidRDefault="009E7B35" w:rsidP="009E7B35">
      <w:pPr>
        <w:pStyle w:val="NoSpacing"/>
      </w:pPr>
    </w:p>
    <w:tbl>
      <w:tblPr>
        <w:tblStyle w:val="TableGrid"/>
        <w:tblW w:w="8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770"/>
        <w:gridCol w:w="3524"/>
      </w:tblGrid>
      <w:tr w:rsidR="00650B6F" w:rsidRPr="00FA70B4" w14:paraId="0598590B" w14:textId="77777777" w:rsidTr="00106C86">
        <w:trPr>
          <w:trHeight w:val="374"/>
          <w:jc w:val="center"/>
        </w:trPr>
        <w:tc>
          <w:tcPr>
            <w:tcW w:w="4770" w:type="dxa"/>
            <w:tcBorders>
              <w:bottom w:val="single" w:sz="4" w:space="0" w:color="D9D9D9" w:themeColor="background1" w:themeShade="D9"/>
            </w:tcBorders>
            <w:shd w:val="clear" w:color="auto" w:fill="403152" w:themeFill="accent4" w:themeFillShade="80"/>
          </w:tcPr>
          <w:p w14:paraId="7A073942" w14:textId="77777777" w:rsidR="004D4C63" w:rsidRPr="00FA70B4" w:rsidRDefault="004D4C63" w:rsidP="00A03A1C">
            <w:pPr>
              <w:pStyle w:val="ListParagraph"/>
              <w:spacing w:before="60" w:after="60" w:line="240" w:lineRule="auto"/>
              <w:ind w:left="0"/>
              <w:rPr>
                <w:rFonts w:ascii="Optima" w:hAnsi="Optima"/>
                <w:b/>
                <w:color w:val="FFFFFF" w:themeColor="background1"/>
                <w:sz w:val="19"/>
                <w:szCs w:val="19"/>
              </w:rPr>
            </w:pPr>
            <w:r w:rsidRPr="00FA70B4">
              <w:rPr>
                <w:rFonts w:ascii="Optima" w:hAnsi="Optima"/>
                <w:b/>
                <w:color w:val="FFFFFF" w:themeColor="background1"/>
                <w:sz w:val="19"/>
                <w:szCs w:val="19"/>
              </w:rPr>
              <w:t>Job Development</w:t>
            </w:r>
          </w:p>
        </w:tc>
        <w:tc>
          <w:tcPr>
            <w:tcW w:w="3524" w:type="dxa"/>
            <w:tcBorders>
              <w:bottom w:val="single" w:sz="4" w:space="0" w:color="D9D9D9" w:themeColor="background1" w:themeShade="D9"/>
            </w:tcBorders>
            <w:shd w:val="clear" w:color="auto" w:fill="403152" w:themeFill="accent4" w:themeFillShade="80"/>
          </w:tcPr>
          <w:p w14:paraId="022CA3E6" w14:textId="77777777" w:rsidR="004D4C63" w:rsidRPr="00FA70B4" w:rsidRDefault="004D4C63" w:rsidP="00A03A1C">
            <w:pPr>
              <w:pStyle w:val="ListParagraph"/>
              <w:spacing w:before="60" w:after="60" w:line="240" w:lineRule="auto"/>
              <w:ind w:left="0"/>
              <w:jc w:val="center"/>
              <w:rPr>
                <w:rFonts w:ascii="Optima" w:hAnsi="Optima"/>
                <w:b/>
                <w:color w:val="FFFFFF" w:themeColor="background1"/>
                <w:sz w:val="19"/>
                <w:szCs w:val="19"/>
              </w:rPr>
            </w:pPr>
            <w:r w:rsidRPr="00FA70B4">
              <w:rPr>
                <w:rFonts w:ascii="Optima" w:hAnsi="Optima"/>
                <w:b/>
                <w:color w:val="FFFFFF" w:themeColor="background1"/>
                <w:sz w:val="19"/>
                <w:szCs w:val="19"/>
              </w:rPr>
              <w:t>Performed by Qualified Job Developer</w:t>
            </w:r>
          </w:p>
        </w:tc>
      </w:tr>
      <w:tr w:rsidR="00650B6F" w:rsidRPr="00A34376" w14:paraId="2301E9B6" w14:textId="77777777" w:rsidTr="00106C86">
        <w:trPr>
          <w:trHeight w:val="374"/>
          <w:jc w:val="center"/>
        </w:trPr>
        <w:tc>
          <w:tcPr>
            <w:tcW w:w="4770" w:type="dxa"/>
            <w:tcBorders>
              <w:top w:val="single" w:sz="4" w:space="0" w:color="D9D9D9" w:themeColor="background1" w:themeShade="D9"/>
              <w:bottom w:val="single" w:sz="4" w:space="0" w:color="D9D9D9" w:themeColor="background1" w:themeShade="D9"/>
            </w:tcBorders>
          </w:tcPr>
          <w:p w14:paraId="409CAE1A" w14:textId="77777777" w:rsidR="004D4C63" w:rsidRPr="00A34376" w:rsidRDefault="004D4C63" w:rsidP="00FA3A5B">
            <w:pPr>
              <w:pStyle w:val="ListParagraph"/>
              <w:spacing w:before="60" w:after="60" w:line="240" w:lineRule="auto"/>
              <w:ind w:left="0"/>
              <w:rPr>
                <w:rFonts w:ascii="Optima" w:hAnsi="Optima"/>
                <w:color w:val="262626" w:themeColor="text1" w:themeTint="D9"/>
                <w:sz w:val="19"/>
                <w:szCs w:val="19"/>
              </w:rPr>
            </w:pPr>
            <w:r w:rsidRPr="00A34376">
              <w:rPr>
                <w:rFonts w:ascii="Optima" w:hAnsi="Optima"/>
                <w:color w:val="262626" w:themeColor="text1" w:themeTint="D9"/>
                <w:sz w:val="19"/>
                <w:szCs w:val="19"/>
              </w:rPr>
              <w:t>Cost of Job Developer Hour of Service</w:t>
            </w:r>
          </w:p>
        </w:tc>
        <w:tc>
          <w:tcPr>
            <w:tcW w:w="3524" w:type="dxa"/>
            <w:tcBorders>
              <w:top w:val="single" w:sz="4" w:space="0" w:color="D9D9D9" w:themeColor="background1" w:themeShade="D9"/>
              <w:bottom w:val="single" w:sz="4" w:space="0" w:color="D9D9D9" w:themeColor="background1" w:themeShade="D9"/>
            </w:tcBorders>
          </w:tcPr>
          <w:p w14:paraId="55CFE145" w14:textId="77777777" w:rsidR="004D4C63" w:rsidRPr="00A34376" w:rsidRDefault="004D4C63" w:rsidP="00FA3A5B">
            <w:pPr>
              <w:pStyle w:val="ListParagraph"/>
              <w:spacing w:before="60" w:after="60" w:line="240" w:lineRule="auto"/>
              <w:ind w:left="0" w:right="1424"/>
              <w:jc w:val="right"/>
              <w:rPr>
                <w:rFonts w:ascii="Optima" w:hAnsi="Optima"/>
                <w:color w:val="262626" w:themeColor="text1" w:themeTint="D9"/>
                <w:sz w:val="19"/>
                <w:szCs w:val="19"/>
              </w:rPr>
            </w:pPr>
            <w:r w:rsidRPr="00A34376">
              <w:rPr>
                <w:rFonts w:ascii="Optima" w:hAnsi="Optima"/>
                <w:color w:val="262626" w:themeColor="text1" w:themeTint="D9"/>
                <w:sz w:val="19"/>
                <w:szCs w:val="19"/>
              </w:rPr>
              <w:t>$30.00</w:t>
            </w:r>
          </w:p>
        </w:tc>
      </w:tr>
      <w:tr w:rsidR="00650B6F" w:rsidRPr="00A34376" w14:paraId="449A95C7" w14:textId="77777777" w:rsidTr="00106C86">
        <w:trPr>
          <w:trHeight w:val="374"/>
          <w:jc w:val="center"/>
        </w:trPr>
        <w:tc>
          <w:tcPr>
            <w:tcW w:w="4770" w:type="dxa"/>
            <w:tcBorders>
              <w:top w:val="single" w:sz="4" w:space="0" w:color="D9D9D9" w:themeColor="background1" w:themeShade="D9"/>
              <w:bottom w:val="single" w:sz="4" w:space="0" w:color="FFFFFF" w:themeColor="background1"/>
            </w:tcBorders>
            <w:shd w:val="clear" w:color="auto" w:fill="E5DFEC" w:themeFill="accent4" w:themeFillTint="33"/>
          </w:tcPr>
          <w:p w14:paraId="1B6FB633" w14:textId="77777777" w:rsidR="004D4C63" w:rsidRPr="00A34376" w:rsidRDefault="004D4C63" w:rsidP="00FA3A5B">
            <w:pPr>
              <w:pStyle w:val="ListParagraph"/>
              <w:spacing w:before="60" w:after="60" w:line="240" w:lineRule="auto"/>
              <w:ind w:left="0"/>
              <w:rPr>
                <w:rFonts w:ascii="Optima" w:hAnsi="Optima"/>
                <w:color w:val="262626" w:themeColor="text1" w:themeTint="D9"/>
                <w:sz w:val="19"/>
                <w:szCs w:val="19"/>
              </w:rPr>
            </w:pPr>
            <w:r w:rsidRPr="00A34376">
              <w:rPr>
                <w:rFonts w:ascii="Optima" w:hAnsi="Optima"/>
                <w:color w:val="262626" w:themeColor="text1" w:themeTint="D9"/>
                <w:sz w:val="19"/>
                <w:szCs w:val="19"/>
              </w:rPr>
              <w:t>Average Hours to Complete Service – Low</w:t>
            </w:r>
            <w:r w:rsidR="00650B6F"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Acuity</w:t>
            </w:r>
          </w:p>
        </w:tc>
        <w:tc>
          <w:tcPr>
            <w:tcW w:w="3524" w:type="dxa"/>
            <w:tcBorders>
              <w:top w:val="single" w:sz="4" w:space="0" w:color="D9D9D9" w:themeColor="background1" w:themeShade="D9"/>
              <w:bottom w:val="single" w:sz="4" w:space="0" w:color="FFFFFF" w:themeColor="background1"/>
            </w:tcBorders>
            <w:shd w:val="clear" w:color="auto" w:fill="E5DFEC" w:themeFill="accent4" w:themeFillTint="33"/>
          </w:tcPr>
          <w:p w14:paraId="27AD7628" w14:textId="77777777" w:rsidR="004D4C63" w:rsidRPr="00A34376" w:rsidRDefault="004D4C63" w:rsidP="00FA3A5B">
            <w:pPr>
              <w:pStyle w:val="ListParagraph"/>
              <w:spacing w:before="60" w:after="60" w:line="240" w:lineRule="auto"/>
              <w:ind w:left="0" w:right="1424"/>
              <w:jc w:val="right"/>
              <w:rPr>
                <w:rFonts w:ascii="Optima" w:hAnsi="Optima"/>
                <w:color w:val="262626" w:themeColor="text1" w:themeTint="D9"/>
                <w:sz w:val="19"/>
                <w:szCs w:val="19"/>
              </w:rPr>
            </w:pPr>
            <w:r w:rsidRPr="00A34376">
              <w:rPr>
                <w:rFonts w:ascii="Optima" w:hAnsi="Optima"/>
                <w:color w:val="262626" w:themeColor="text1" w:themeTint="D9"/>
                <w:sz w:val="19"/>
                <w:szCs w:val="19"/>
              </w:rPr>
              <w:t>40</w:t>
            </w:r>
          </w:p>
        </w:tc>
      </w:tr>
      <w:tr w:rsidR="00650B6F" w:rsidRPr="00A34376" w14:paraId="354DBB67" w14:textId="77777777" w:rsidTr="00106C86">
        <w:trPr>
          <w:trHeight w:val="374"/>
          <w:jc w:val="center"/>
        </w:trPr>
        <w:tc>
          <w:tcPr>
            <w:tcW w:w="4770" w:type="dxa"/>
            <w:tcBorders>
              <w:top w:val="single" w:sz="4" w:space="0" w:color="FFFFFF" w:themeColor="background1"/>
              <w:bottom w:val="single" w:sz="4" w:space="0" w:color="D9D9D9" w:themeColor="background1" w:themeShade="D9"/>
            </w:tcBorders>
            <w:shd w:val="clear" w:color="auto" w:fill="E5DFEC" w:themeFill="accent4" w:themeFillTint="33"/>
          </w:tcPr>
          <w:p w14:paraId="7970C470" w14:textId="77777777" w:rsidR="004D4C63" w:rsidRPr="00A34376" w:rsidRDefault="004D4C63" w:rsidP="00FA3A5B">
            <w:pPr>
              <w:pStyle w:val="ListParagraph"/>
              <w:spacing w:before="60" w:after="60" w:line="240" w:lineRule="auto"/>
              <w:ind w:left="0"/>
              <w:rPr>
                <w:rFonts w:ascii="Optima" w:hAnsi="Optima"/>
                <w:color w:val="262626" w:themeColor="text1" w:themeTint="D9"/>
                <w:sz w:val="19"/>
                <w:szCs w:val="19"/>
              </w:rPr>
            </w:pPr>
            <w:r w:rsidRPr="00A34376">
              <w:rPr>
                <w:rFonts w:ascii="Optima" w:hAnsi="Optima"/>
                <w:color w:val="262626" w:themeColor="text1" w:themeTint="D9"/>
                <w:sz w:val="19"/>
                <w:szCs w:val="19"/>
              </w:rPr>
              <w:t>Outcome Payment for Service – Low Acuity</w:t>
            </w:r>
          </w:p>
        </w:tc>
        <w:tc>
          <w:tcPr>
            <w:tcW w:w="3524" w:type="dxa"/>
            <w:tcBorders>
              <w:top w:val="single" w:sz="4" w:space="0" w:color="FFFFFF" w:themeColor="background1"/>
              <w:bottom w:val="single" w:sz="4" w:space="0" w:color="D9D9D9" w:themeColor="background1" w:themeShade="D9"/>
            </w:tcBorders>
            <w:shd w:val="clear" w:color="auto" w:fill="E5DFEC" w:themeFill="accent4" w:themeFillTint="33"/>
          </w:tcPr>
          <w:p w14:paraId="762CF206" w14:textId="77777777" w:rsidR="004D4C63" w:rsidRPr="00A34376" w:rsidRDefault="004D4C63" w:rsidP="00FA3A5B">
            <w:pPr>
              <w:pStyle w:val="ListParagraph"/>
              <w:spacing w:before="60" w:after="60" w:line="240" w:lineRule="auto"/>
              <w:ind w:left="0" w:right="1424"/>
              <w:jc w:val="right"/>
              <w:rPr>
                <w:rFonts w:ascii="Optima" w:hAnsi="Optima"/>
                <w:color w:val="262626" w:themeColor="text1" w:themeTint="D9"/>
                <w:sz w:val="19"/>
                <w:szCs w:val="19"/>
              </w:rPr>
            </w:pPr>
            <w:r w:rsidRPr="00A34376">
              <w:rPr>
                <w:rFonts w:ascii="Optima" w:hAnsi="Optima"/>
                <w:color w:val="262626" w:themeColor="text1" w:themeTint="D9"/>
                <w:sz w:val="19"/>
                <w:szCs w:val="19"/>
              </w:rPr>
              <w:t>$1,200</w:t>
            </w:r>
          </w:p>
        </w:tc>
      </w:tr>
      <w:tr w:rsidR="00650B6F" w:rsidRPr="00A34376" w14:paraId="57138EA2" w14:textId="77777777" w:rsidTr="00106C86">
        <w:trPr>
          <w:trHeight w:val="374"/>
          <w:jc w:val="center"/>
        </w:trPr>
        <w:tc>
          <w:tcPr>
            <w:tcW w:w="4770" w:type="dxa"/>
            <w:tcBorders>
              <w:top w:val="single" w:sz="4" w:space="0" w:color="D9D9D9" w:themeColor="background1" w:themeShade="D9"/>
              <w:bottom w:val="single" w:sz="4" w:space="0" w:color="D9D9D9" w:themeColor="background1" w:themeShade="D9"/>
            </w:tcBorders>
          </w:tcPr>
          <w:p w14:paraId="021B3590" w14:textId="77777777" w:rsidR="004D4C63" w:rsidRPr="00A34376" w:rsidRDefault="004D4C63" w:rsidP="00FA3A5B">
            <w:pPr>
              <w:pStyle w:val="ListParagraph"/>
              <w:spacing w:before="60" w:after="60" w:line="240" w:lineRule="auto"/>
              <w:ind w:left="0"/>
              <w:rPr>
                <w:rFonts w:ascii="Optima" w:hAnsi="Optima"/>
                <w:color w:val="262626" w:themeColor="text1" w:themeTint="D9"/>
                <w:sz w:val="19"/>
                <w:szCs w:val="19"/>
              </w:rPr>
            </w:pPr>
            <w:r w:rsidRPr="00A34376">
              <w:rPr>
                <w:rFonts w:ascii="Optima" w:hAnsi="Optima"/>
                <w:color w:val="262626" w:themeColor="text1" w:themeTint="D9"/>
                <w:sz w:val="19"/>
                <w:szCs w:val="19"/>
              </w:rPr>
              <w:t>Average Hours to Complete Service – Medium Acuity</w:t>
            </w:r>
          </w:p>
        </w:tc>
        <w:tc>
          <w:tcPr>
            <w:tcW w:w="3524" w:type="dxa"/>
            <w:tcBorders>
              <w:top w:val="single" w:sz="4" w:space="0" w:color="D9D9D9" w:themeColor="background1" w:themeShade="D9"/>
              <w:bottom w:val="single" w:sz="4" w:space="0" w:color="D9D9D9" w:themeColor="background1" w:themeShade="D9"/>
            </w:tcBorders>
          </w:tcPr>
          <w:p w14:paraId="68E2924D" w14:textId="77777777" w:rsidR="004D4C63" w:rsidRPr="00A34376" w:rsidRDefault="004D4C63" w:rsidP="00FA3A5B">
            <w:pPr>
              <w:pStyle w:val="ListParagraph"/>
              <w:spacing w:before="60" w:after="60" w:line="240" w:lineRule="auto"/>
              <w:ind w:left="0" w:right="1424"/>
              <w:jc w:val="right"/>
              <w:rPr>
                <w:rFonts w:ascii="Optima" w:hAnsi="Optima"/>
                <w:color w:val="262626" w:themeColor="text1" w:themeTint="D9"/>
                <w:sz w:val="19"/>
                <w:szCs w:val="19"/>
              </w:rPr>
            </w:pPr>
            <w:r w:rsidRPr="00A34376">
              <w:rPr>
                <w:rFonts w:ascii="Optima" w:hAnsi="Optima"/>
                <w:color w:val="262626" w:themeColor="text1" w:themeTint="D9"/>
                <w:sz w:val="19"/>
                <w:szCs w:val="19"/>
              </w:rPr>
              <w:t>60</w:t>
            </w:r>
          </w:p>
        </w:tc>
      </w:tr>
      <w:tr w:rsidR="00650B6F" w:rsidRPr="00A34376" w14:paraId="5CCB15E8" w14:textId="77777777" w:rsidTr="00106C86">
        <w:trPr>
          <w:trHeight w:val="374"/>
          <w:jc w:val="center"/>
        </w:trPr>
        <w:tc>
          <w:tcPr>
            <w:tcW w:w="4770" w:type="dxa"/>
            <w:tcBorders>
              <w:top w:val="single" w:sz="4" w:space="0" w:color="D9D9D9" w:themeColor="background1" w:themeShade="D9"/>
              <w:bottom w:val="single" w:sz="4" w:space="0" w:color="D9D9D9" w:themeColor="background1" w:themeShade="D9"/>
            </w:tcBorders>
          </w:tcPr>
          <w:p w14:paraId="2453B498" w14:textId="77777777" w:rsidR="004D4C63" w:rsidRPr="00A34376" w:rsidRDefault="004D4C63" w:rsidP="00FA3A5B">
            <w:pPr>
              <w:pStyle w:val="ListParagraph"/>
              <w:spacing w:before="60" w:after="60" w:line="240" w:lineRule="auto"/>
              <w:ind w:left="0"/>
              <w:rPr>
                <w:rFonts w:ascii="Optima" w:hAnsi="Optima"/>
                <w:color w:val="262626" w:themeColor="text1" w:themeTint="D9"/>
                <w:sz w:val="19"/>
                <w:szCs w:val="19"/>
              </w:rPr>
            </w:pPr>
            <w:r w:rsidRPr="00A34376">
              <w:rPr>
                <w:rFonts w:ascii="Optima" w:hAnsi="Optima"/>
                <w:color w:val="262626" w:themeColor="text1" w:themeTint="D9"/>
                <w:sz w:val="19"/>
                <w:szCs w:val="19"/>
              </w:rPr>
              <w:t>Outcome Payment for Service – Medium Acuity</w:t>
            </w:r>
          </w:p>
        </w:tc>
        <w:tc>
          <w:tcPr>
            <w:tcW w:w="3524" w:type="dxa"/>
            <w:tcBorders>
              <w:top w:val="single" w:sz="4" w:space="0" w:color="D9D9D9" w:themeColor="background1" w:themeShade="D9"/>
              <w:bottom w:val="single" w:sz="4" w:space="0" w:color="D9D9D9" w:themeColor="background1" w:themeShade="D9"/>
            </w:tcBorders>
          </w:tcPr>
          <w:p w14:paraId="3A43F998" w14:textId="77777777" w:rsidR="004D4C63" w:rsidRPr="00A34376" w:rsidRDefault="004D4C63" w:rsidP="00FA3A5B">
            <w:pPr>
              <w:pStyle w:val="ListParagraph"/>
              <w:spacing w:before="60" w:after="60" w:line="240" w:lineRule="auto"/>
              <w:ind w:left="0" w:right="1424"/>
              <w:jc w:val="right"/>
              <w:rPr>
                <w:rFonts w:ascii="Optima" w:hAnsi="Optima"/>
                <w:color w:val="262626" w:themeColor="text1" w:themeTint="D9"/>
                <w:sz w:val="19"/>
                <w:szCs w:val="19"/>
              </w:rPr>
            </w:pPr>
            <w:r w:rsidRPr="00A34376">
              <w:rPr>
                <w:rFonts w:ascii="Optima" w:hAnsi="Optima"/>
                <w:color w:val="262626" w:themeColor="text1" w:themeTint="D9"/>
                <w:sz w:val="19"/>
                <w:szCs w:val="19"/>
              </w:rPr>
              <w:t>$1,800</w:t>
            </w:r>
          </w:p>
        </w:tc>
      </w:tr>
      <w:tr w:rsidR="00650B6F" w:rsidRPr="00A34376" w14:paraId="2B24C190" w14:textId="77777777" w:rsidTr="00106C86">
        <w:trPr>
          <w:trHeight w:val="374"/>
          <w:jc w:val="center"/>
        </w:trPr>
        <w:tc>
          <w:tcPr>
            <w:tcW w:w="4770" w:type="dxa"/>
            <w:tcBorders>
              <w:top w:val="single" w:sz="4" w:space="0" w:color="D9D9D9" w:themeColor="background1" w:themeShade="D9"/>
              <w:bottom w:val="single" w:sz="4" w:space="0" w:color="FFFFFF" w:themeColor="background1"/>
            </w:tcBorders>
            <w:shd w:val="clear" w:color="auto" w:fill="E5DFEC" w:themeFill="accent4" w:themeFillTint="33"/>
          </w:tcPr>
          <w:p w14:paraId="76144F60" w14:textId="77777777" w:rsidR="004D4C63" w:rsidRPr="00A34376" w:rsidRDefault="004D4C63" w:rsidP="00FA3A5B">
            <w:pPr>
              <w:pStyle w:val="ListParagraph"/>
              <w:spacing w:before="60" w:after="60" w:line="240" w:lineRule="auto"/>
              <w:ind w:left="0"/>
              <w:rPr>
                <w:rFonts w:ascii="Optima" w:hAnsi="Optima"/>
                <w:color w:val="262626" w:themeColor="text1" w:themeTint="D9"/>
                <w:sz w:val="19"/>
                <w:szCs w:val="19"/>
              </w:rPr>
            </w:pPr>
            <w:r w:rsidRPr="00A34376">
              <w:rPr>
                <w:rFonts w:ascii="Optima" w:hAnsi="Optima"/>
                <w:color w:val="262626" w:themeColor="text1" w:themeTint="D9"/>
                <w:sz w:val="19"/>
                <w:szCs w:val="19"/>
              </w:rPr>
              <w:t>Average Hours to Complete Service – High Acuity</w:t>
            </w:r>
          </w:p>
        </w:tc>
        <w:tc>
          <w:tcPr>
            <w:tcW w:w="3524" w:type="dxa"/>
            <w:tcBorders>
              <w:top w:val="single" w:sz="4" w:space="0" w:color="D9D9D9" w:themeColor="background1" w:themeShade="D9"/>
              <w:bottom w:val="single" w:sz="4" w:space="0" w:color="FFFFFF" w:themeColor="background1"/>
            </w:tcBorders>
            <w:shd w:val="clear" w:color="auto" w:fill="E5DFEC" w:themeFill="accent4" w:themeFillTint="33"/>
          </w:tcPr>
          <w:p w14:paraId="04361DE0" w14:textId="77777777" w:rsidR="004D4C63" w:rsidRPr="00A34376" w:rsidRDefault="004D4C63" w:rsidP="00FA3A5B">
            <w:pPr>
              <w:pStyle w:val="ListParagraph"/>
              <w:spacing w:before="60" w:after="60" w:line="240" w:lineRule="auto"/>
              <w:ind w:left="0" w:right="1424"/>
              <w:jc w:val="right"/>
              <w:rPr>
                <w:rFonts w:ascii="Optima" w:hAnsi="Optima"/>
                <w:color w:val="262626" w:themeColor="text1" w:themeTint="D9"/>
                <w:sz w:val="19"/>
                <w:szCs w:val="19"/>
              </w:rPr>
            </w:pPr>
            <w:r w:rsidRPr="00A34376">
              <w:rPr>
                <w:rFonts w:ascii="Optima" w:hAnsi="Optima"/>
                <w:color w:val="262626" w:themeColor="text1" w:themeTint="D9"/>
                <w:sz w:val="19"/>
                <w:szCs w:val="19"/>
              </w:rPr>
              <w:t>80</w:t>
            </w:r>
          </w:p>
        </w:tc>
      </w:tr>
      <w:tr w:rsidR="00650B6F" w:rsidRPr="00A34376" w14:paraId="34822F9B" w14:textId="77777777" w:rsidTr="00106C86">
        <w:trPr>
          <w:trHeight w:val="374"/>
          <w:jc w:val="center"/>
        </w:trPr>
        <w:tc>
          <w:tcPr>
            <w:tcW w:w="4770" w:type="dxa"/>
            <w:tcBorders>
              <w:top w:val="single" w:sz="4" w:space="0" w:color="FFFFFF" w:themeColor="background1"/>
              <w:bottom w:val="single" w:sz="4" w:space="0" w:color="D9D9D9" w:themeColor="background1" w:themeShade="D9"/>
            </w:tcBorders>
            <w:shd w:val="clear" w:color="auto" w:fill="E5DFEC" w:themeFill="accent4" w:themeFillTint="33"/>
          </w:tcPr>
          <w:p w14:paraId="3C228B14" w14:textId="77777777" w:rsidR="004D4C63" w:rsidRPr="00A34376" w:rsidRDefault="004D4C63" w:rsidP="00FA3A5B">
            <w:pPr>
              <w:pStyle w:val="ListParagraph"/>
              <w:spacing w:before="60" w:after="60" w:line="240" w:lineRule="auto"/>
              <w:ind w:left="0"/>
              <w:rPr>
                <w:rFonts w:ascii="Optima" w:hAnsi="Optima"/>
                <w:color w:val="262626" w:themeColor="text1" w:themeTint="D9"/>
                <w:sz w:val="19"/>
                <w:szCs w:val="19"/>
              </w:rPr>
            </w:pPr>
            <w:r w:rsidRPr="00A34376">
              <w:rPr>
                <w:rFonts w:ascii="Optima" w:hAnsi="Optima"/>
                <w:color w:val="262626" w:themeColor="text1" w:themeTint="D9"/>
                <w:sz w:val="19"/>
                <w:szCs w:val="19"/>
              </w:rPr>
              <w:t>Outcome Payment for Service – High Acuity</w:t>
            </w:r>
          </w:p>
        </w:tc>
        <w:tc>
          <w:tcPr>
            <w:tcW w:w="3524" w:type="dxa"/>
            <w:tcBorders>
              <w:top w:val="single" w:sz="4" w:space="0" w:color="FFFFFF" w:themeColor="background1"/>
              <w:bottom w:val="single" w:sz="4" w:space="0" w:color="D9D9D9" w:themeColor="background1" w:themeShade="D9"/>
            </w:tcBorders>
            <w:shd w:val="clear" w:color="auto" w:fill="E5DFEC" w:themeFill="accent4" w:themeFillTint="33"/>
          </w:tcPr>
          <w:p w14:paraId="143E48F9" w14:textId="77777777" w:rsidR="004D4C63" w:rsidRPr="00A34376" w:rsidRDefault="004D4C63" w:rsidP="00FA3A5B">
            <w:pPr>
              <w:pStyle w:val="ListParagraph"/>
              <w:spacing w:before="60" w:after="60" w:line="240" w:lineRule="auto"/>
              <w:ind w:left="0" w:right="1424"/>
              <w:jc w:val="right"/>
              <w:rPr>
                <w:rFonts w:ascii="Optima" w:hAnsi="Optima"/>
                <w:color w:val="262626" w:themeColor="text1" w:themeTint="D9"/>
                <w:sz w:val="19"/>
                <w:szCs w:val="19"/>
              </w:rPr>
            </w:pPr>
            <w:r w:rsidRPr="00A34376">
              <w:rPr>
                <w:rFonts w:ascii="Optima" w:hAnsi="Optima"/>
                <w:color w:val="262626" w:themeColor="text1" w:themeTint="D9"/>
                <w:sz w:val="19"/>
                <w:szCs w:val="19"/>
              </w:rPr>
              <w:t>$2,400</w:t>
            </w:r>
          </w:p>
        </w:tc>
      </w:tr>
    </w:tbl>
    <w:p w14:paraId="01691B2A" w14:textId="77777777" w:rsidR="004D4C63" w:rsidRPr="00043C33" w:rsidRDefault="004D4C63" w:rsidP="002476FD">
      <w:pPr>
        <w:pStyle w:val="NoSpacing"/>
      </w:pPr>
    </w:p>
    <w:p w14:paraId="3843C32B" w14:textId="77777777" w:rsidR="004D4C63" w:rsidRPr="00043C33" w:rsidRDefault="004D4C63" w:rsidP="00B1367E">
      <w:pPr>
        <w:rPr>
          <w:sz w:val="24"/>
          <w:szCs w:val="24"/>
        </w:rPr>
      </w:pPr>
      <w:r w:rsidRPr="00AC5CC4">
        <w:t xml:space="preserve">The outcome payment is payable upon submission of a complete and acceptable documentation of the competitive integrated employment opportunity that </w:t>
      </w:r>
      <w:r w:rsidR="00481A20" w:rsidRPr="00AC5CC4">
        <w:t xml:space="preserve">is </w:t>
      </w:r>
      <w:r w:rsidRPr="00AC5CC4">
        <w:t xml:space="preserve">secured and </w:t>
      </w:r>
      <w:r w:rsidR="00C7581B" w:rsidRPr="00AC5CC4">
        <w:t>aligned</w:t>
      </w:r>
      <w:r w:rsidRPr="00AC5CC4">
        <w:t xml:space="preserve"> with the individual’s preferences and goals.</w:t>
      </w:r>
      <w:r w:rsidRPr="00043C33">
        <w:t xml:space="preserve"> </w:t>
      </w:r>
    </w:p>
    <w:p w14:paraId="1AA32935" w14:textId="77777777" w:rsidR="004D4C63" w:rsidRPr="00A049B4" w:rsidRDefault="004D4C63" w:rsidP="00B11115">
      <w:pPr>
        <w:pStyle w:val="Heading2"/>
      </w:pPr>
      <w:bookmarkStart w:id="58" w:name="_Toc70944205"/>
      <w:r w:rsidRPr="00A049B4">
        <w:t>C</w:t>
      </w:r>
      <w:r w:rsidR="00661F0D" w:rsidRPr="00A049B4">
        <w:t>ase Example</w:t>
      </w:r>
      <w:r w:rsidR="008C4BED" w:rsidRPr="00A049B4">
        <w:t xml:space="preserve">: </w:t>
      </w:r>
      <w:r w:rsidR="00106E61" w:rsidRPr="00A049B4">
        <w:t>Oakland County</w:t>
      </w:r>
      <w:r w:rsidR="00661F0D" w:rsidRPr="00A049B4">
        <w:t>, Michigan</w:t>
      </w:r>
      <w:bookmarkEnd w:id="58"/>
    </w:p>
    <w:p w14:paraId="00709A5E" w14:textId="77777777" w:rsidR="004D4C63" w:rsidRPr="00043C33" w:rsidRDefault="004D4C63" w:rsidP="00B1367E">
      <w:r w:rsidRPr="00043C33">
        <w:t>In 2015, I was assigned as a S</w:t>
      </w:r>
      <w:r w:rsidR="001F6FF2">
        <w:t>ubject Matter Expert</w:t>
      </w:r>
      <w:r w:rsidRPr="00043C33">
        <w:t xml:space="preserve"> to the Oakland County Community Health Network (</w:t>
      </w:r>
      <w:r w:rsidR="003175D1">
        <w:t>OCHN</w:t>
      </w:r>
      <w:r w:rsidRPr="00043C33">
        <w:t xml:space="preserve">) </w:t>
      </w:r>
      <w:r w:rsidR="00BB203A" w:rsidRPr="00043C33">
        <w:t>as part of the ODEP Employment First Sta</w:t>
      </w:r>
      <w:r w:rsidR="00BB203A">
        <w:t>te Leadership Mentoring Program.</w:t>
      </w:r>
      <w:r w:rsidR="00BB203A" w:rsidRPr="00043C33">
        <w:t xml:space="preserve"> </w:t>
      </w:r>
      <w:r w:rsidR="003175D1">
        <w:t>OCHN</w:t>
      </w:r>
      <w:r w:rsidR="00BB203A" w:rsidRPr="00043C33">
        <w:t xml:space="preserve"> </w:t>
      </w:r>
      <w:r w:rsidRPr="00043C33">
        <w:t>functions as both a Pre-Paid In-Patient Health Plan and as a Community Mental Health Service Provider (CMHSP) in Michigan’s regional and county-based Medicaid managed care program serving individuals with SMI and IDD</w:t>
      </w:r>
      <w:r w:rsidR="005043F4">
        <w:t xml:space="preserve">. </w:t>
      </w:r>
      <w:r w:rsidRPr="00043C33">
        <w:t xml:space="preserve">The Medicaid program uses a 1915b/1915c waiver combination. </w:t>
      </w:r>
    </w:p>
    <w:p w14:paraId="7ADEBFE4" w14:textId="66DFC773" w:rsidR="001F6FF2" w:rsidRDefault="003175D1" w:rsidP="00DE45A9">
      <w:pPr>
        <w:spacing w:after="240"/>
      </w:pPr>
      <w:r>
        <w:t>OCHN</w:t>
      </w:r>
      <w:r w:rsidR="004D4C63" w:rsidRPr="00043C33">
        <w:t xml:space="preserve"> was very aware of the fact that participation in competitive integrated employment advances social determinants of health</w:t>
      </w:r>
      <w:r w:rsidR="005043F4">
        <w:t xml:space="preserve">. </w:t>
      </w:r>
      <w:r w:rsidR="004D4C63" w:rsidRPr="00043C33">
        <w:t xml:space="preserve">In this regard, they recognized that employment has </w:t>
      </w:r>
      <w:r w:rsidR="006A5BAC">
        <w:t>proved</w:t>
      </w:r>
      <w:r w:rsidR="004D4C63" w:rsidRPr="00043C33">
        <w:t>, through research, to positively impact</w:t>
      </w:r>
      <w:r w:rsidR="008C4BED">
        <w:t xml:space="preserve"> </w:t>
      </w:r>
      <w:r w:rsidR="004D4C63" w:rsidRPr="00043C33">
        <w:t>overall health and mental health</w:t>
      </w:r>
      <w:r w:rsidR="00D04741">
        <w:t>,</w:t>
      </w:r>
      <w:r w:rsidR="004D4C63" w:rsidRPr="00043C33">
        <w:t xml:space="preserve"> social connectedness</w:t>
      </w:r>
      <w:r w:rsidR="00D04741">
        <w:t>,</w:t>
      </w:r>
      <w:r w:rsidR="004D4C63" w:rsidRPr="00043C33">
        <w:t xml:space="preserve"> housing stability</w:t>
      </w:r>
      <w:r w:rsidR="00D04741">
        <w:t>,</w:t>
      </w:r>
      <w:r w:rsidR="004D4C63" w:rsidRPr="00043C33">
        <w:t xml:space="preserve"> and reduced hospitalizations</w:t>
      </w:r>
      <w:r w:rsidR="005043F4">
        <w:t xml:space="preserve">. </w:t>
      </w:r>
    </w:p>
    <w:p w14:paraId="06AF6D10" w14:textId="04D5EE71" w:rsidR="003A3BAC" w:rsidRDefault="003A3BAC" w:rsidP="00EA65E0">
      <w:pPr>
        <w:ind w:left="1620"/>
      </w:pPr>
      <w:r w:rsidRPr="00C50C32">
        <w:rPr>
          <w:noProof/>
        </w:rPr>
        <mc:AlternateContent>
          <mc:Choice Requires="wpg">
            <w:drawing>
              <wp:inline distT="0" distB="0" distL="0" distR="0" wp14:anchorId="0C31186D" wp14:editId="0B898F2F">
                <wp:extent cx="3602990" cy="2878455"/>
                <wp:effectExtent l="12700" t="12700" r="16510" b="17145"/>
                <wp:docPr id="49" name="Group 16" descr="Image depicting the connection between social determinants of health and how employment has proved, through research, to positively impact overall health and mental health, social connectedness, housing stability, and reduced hospitalizations. "/>
                <wp:cNvGraphicFramePr/>
                <a:graphic xmlns:a="http://schemas.openxmlformats.org/drawingml/2006/main">
                  <a:graphicData uri="http://schemas.microsoft.com/office/word/2010/wordprocessingGroup">
                    <wpg:wgp>
                      <wpg:cNvGrpSpPr/>
                      <wpg:grpSpPr>
                        <a:xfrm>
                          <a:off x="0" y="0"/>
                          <a:ext cx="3602990" cy="2878455"/>
                          <a:chOff x="0" y="-2"/>
                          <a:chExt cx="6649776" cy="5795156"/>
                        </a:xfrm>
                      </wpg:grpSpPr>
                      <wps:wsp>
                        <wps:cNvPr id="50" name="Flowchart: Connector 50"/>
                        <wps:cNvSpPr/>
                        <wps:spPr bwMode="white">
                          <a:xfrm>
                            <a:off x="721894" y="697831"/>
                            <a:ext cx="4985888" cy="4692316"/>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lowchart: Connector 51"/>
                        <wps:cNvSpPr/>
                        <wps:spPr>
                          <a:xfrm>
                            <a:off x="895147" y="854241"/>
                            <a:ext cx="4610503" cy="4379495"/>
                          </a:xfrm>
                          <a:prstGeom prst="flowChartConnecto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Flowchart: Connector 52"/>
                        <wps:cNvSpPr/>
                        <wps:spPr>
                          <a:xfrm>
                            <a:off x="2131720" y="1928832"/>
                            <a:ext cx="2319647" cy="2362810"/>
                          </a:xfrm>
                          <a:prstGeom prst="flowChartConnector">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633F7D" w14:textId="1C11C137" w:rsidR="00567853" w:rsidRPr="0019107C" w:rsidRDefault="00567853" w:rsidP="00770042">
                              <w:pPr>
                                <w:spacing w:before="0" w:after="0"/>
                                <w:jc w:val="center"/>
                                <w:rPr>
                                  <w:sz w:val="17"/>
                                  <w:szCs w:val="17"/>
                                </w:rPr>
                              </w:pPr>
                              <w:r w:rsidRPr="00321F80">
                                <w:rPr>
                                  <w:color w:val="FFFFFF" w:themeColor="background1"/>
                                  <w:kern w:val="24"/>
                                  <w:sz w:val="17"/>
                                  <w:szCs w:val="17"/>
                                </w:rPr>
                                <w:t>Social</w:t>
                              </w:r>
                              <w:r>
                                <w:rPr>
                                  <w:color w:val="FFFFFF" w:themeColor="light1"/>
                                  <w:kern w:val="24"/>
                                  <w:sz w:val="17"/>
                                  <w:szCs w:val="17"/>
                                </w:rPr>
                                <w:br/>
                              </w:r>
                              <w:r w:rsidRPr="0050031A">
                                <w:rPr>
                                  <w:color w:val="FFFFFF" w:themeColor="background1"/>
                                  <w:kern w:val="24"/>
                                  <w:sz w:val="17"/>
                                  <w:szCs w:val="17"/>
                                </w:rPr>
                                <w:t>Determinants</w:t>
                              </w:r>
                              <w:r>
                                <w:rPr>
                                  <w:color w:val="FFFFFF" w:themeColor="background1"/>
                                  <w:kern w:val="24"/>
                                  <w:sz w:val="17"/>
                                  <w:szCs w:val="17"/>
                                </w:rPr>
                                <w:br/>
                              </w:r>
                              <w:r w:rsidRPr="0050031A">
                                <w:rPr>
                                  <w:color w:val="FFFFFF" w:themeColor="background1"/>
                                  <w:kern w:val="24"/>
                                  <w:sz w:val="17"/>
                                  <w:szCs w:val="17"/>
                                </w:rPr>
                                <w:t>of Healt</w:t>
                              </w:r>
                              <w:r w:rsidRPr="0019107C">
                                <w:rPr>
                                  <w:color w:val="FFFFFF" w:themeColor="light1"/>
                                  <w:kern w:val="24"/>
                                  <w:sz w:val="17"/>
                                  <w:szCs w:val="17"/>
                                </w:rPr>
                                <w:t>h</w:t>
                              </w:r>
                            </w:p>
                          </w:txbxContent>
                        </wps:txbx>
                        <wps:bodyPr rtlCol="0" anchor="ctr"/>
                      </wps:wsp>
                      <wps:wsp>
                        <wps:cNvPr id="53" name="Flowchart: Connector 53"/>
                        <wps:cNvSpPr/>
                        <wps:spPr>
                          <a:xfrm>
                            <a:off x="2348564" y="-2"/>
                            <a:ext cx="1856354" cy="1656796"/>
                          </a:xfrm>
                          <a:prstGeom prst="flowChartConnector">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Flowchart: Connector 54"/>
                        <wps:cNvSpPr/>
                        <wps:spPr>
                          <a:xfrm>
                            <a:off x="4793382" y="1626666"/>
                            <a:ext cx="1856394" cy="1656796"/>
                          </a:xfrm>
                          <a:prstGeom prst="flowChartConnector">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Flowchart: Connector 55"/>
                        <wps:cNvSpPr/>
                        <wps:spPr>
                          <a:xfrm>
                            <a:off x="3888611" y="4138141"/>
                            <a:ext cx="1856394" cy="1656796"/>
                          </a:xfrm>
                          <a:prstGeom prst="flowChartConnector">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Flowchart: Connector 56"/>
                        <wps:cNvSpPr/>
                        <wps:spPr>
                          <a:xfrm>
                            <a:off x="914401" y="4138358"/>
                            <a:ext cx="1856394" cy="1656796"/>
                          </a:xfrm>
                          <a:prstGeom prst="flowChartConnector">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Flowchart: Connector 57"/>
                        <wps:cNvSpPr/>
                        <wps:spPr>
                          <a:xfrm>
                            <a:off x="0" y="1626666"/>
                            <a:ext cx="1856394" cy="1656796"/>
                          </a:xfrm>
                          <a:prstGeom prst="flowChartConnector">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TextBox 11"/>
                        <wps:cNvSpPr txBox="1"/>
                        <wps:spPr>
                          <a:xfrm>
                            <a:off x="2192766" y="249734"/>
                            <a:ext cx="2193871" cy="1210533"/>
                          </a:xfrm>
                          <a:prstGeom prst="rect">
                            <a:avLst/>
                          </a:prstGeom>
                          <a:noFill/>
                        </wps:spPr>
                        <wps:txbx>
                          <w:txbxContent>
                            <w:p w14:paraId="5E4B3DBD" w14:textId="60A13758" w:rsidR="00567853" w:rsidRPr="00C00E76" w:rsidRDefault="00567853" w:rsidP="003A3BAC">
                              <w:pPr>
                                <w:spacing w:before="0" w:after="0" w:line="240" w:lineRule="auto"/>
                                <w:jc w:val="center"/>
                                <w:rPr>
                                  <w:color w:val="262626" w:themeColor="text1" w:themeTint="D9"/>
                                </w:rPr>
                              </w:pPr>
                              <w:r w:rsidRPr="00C00E76">
                                <w:rPr>
                                  <w:rFonts w:asciiTheme="minorHAnsi" w:hAnsi="Calibri" w:cstheme="minorBidi"/>
                                  <w:color w:val="262626" w:themeColor="text1" w:themeTint="D9"/>
                                  <w:kern w:val="24"/>
                                </w:rPr>
                                <w:t>Neighborhood</w:t>
                              </w:r>
                              <w:r w:rsidRPr="00C00E76">
                                <w:rPr>
                                  <w:rFonts w:asciiTheme="minorHAnsi" w:hAnsi="Calibri" w:cstheme="minorBidi"/>
                                  <w:color w:val="262626" w:themeColor="text1" w:themeTint="D9"/>
                                  <w:kern w:val="24"/>
                                </w:rPr>
                                <w:br/>
                              </w:r>
                              <w:r w:rsidRPr="00C00E76">
                                <w:rPr>
                                  <w:rFonts w:cstheme="minorBidi"/>
                                  <w:color w:val="262626" w:themeColor="text1" w:themeTint="D9"/>
                                  <w:kern w:val="24"/>
                                  <w:sz w:val="18"/>
                                  <w:szCs w:val="18"/>
                                </w:rPr>
                                <w:t>and Built</w:t>
                              </w:r>
                              <w:r w:rsidRPr="00C00E76">
                                <w:rPr>
                                  <w:rFonts w:asciiTheme="minorHAnsi" w:hAnsi="Calibri" w:cstheme="minorBidi"/>
                                  <w:color w:val="262626" w:themeColor="text1" w:themeTint="D9"/>
                                  <w:kern w:val="24"/>
                                </w:rPr>
                                <w:br/>
                              </w:r>
                              <w:r w:rsidRPr="00C00E76">
                                <w:rPr>
                                  <w:rFonts w:cstheme="minorBidi"/>
                                  <w:color w:val="262626" w:themeColor="text1" w:themeTint="D9"/>
                                  <w:kern w:val="24"/>
                                  <w:sz w:val="18"/>
                                  <w:szCs w:val="18"/>
                                </w:rPr>
                                <w:t>Environment</w:t>
                              </w:r>
                            </w:p>
                          </w:txbxContent>
                        </wps:txbx>
                        <wps:bodyPr wrap="square" rtlCol="0">
                          <a:noAutofit/>
                        </wps:bodyPr>
                      </wps:wsp>
                      <wps:wsp>
                        <wps:cNvPr id="59" name="TextBox 12"/>
                        <wps:cNvSpPr txBox="1"/>
                        <wps:spPr>
                          <a:xfrm>
                            <a:off x="107726" y="2011221"/>
                            <a:ext cx="1636510" cy="1047932"/>
                          </a:xfrm>
                          <a:prstGeom prst="rect">
                            <a:avLst/>
                          </a:prstGeom>
                          <a:noFill/>
                        </wps:spPr>
                        <wps:txbx>
                          <w:txbxContent>
                            <w:p w14:paraId="078C7007" w14:textId="1FE3D6AE" w:rsidR="00567853" w:rsidRPr="001456CD" w:rsidRDefault="00567853" w:rsidP="003A3BAC">
                              <w:pPr>
                                <w:spacing w:before="0" w:after="0" w:line="240" w:lineRule="auto"/>
                                <w:jc w:val="center"/>
                                <w:rPr>
                                  <w:sz w:val="18"/>
                                  <w:szCs w:val="18"/>
                                </w:rPr>
                              </w:pPr>
                              <w:r w:rsidRPr="00C00E76">
                                <w:rPr>
                                  <w:rFonts w:cstheme="minorBidi"/>
                                  <w:color w:val="262626" w:themeColor="text1" w:themeTint="D9"/>
                                  <w:kern w:val="24"/>
                                  <w:sz w:val="18"/>
                                  <w:szCs w:val="18"/>
                                </w:rPr>
                                <w:t>Economic</w:t>
                              </w:r>
                              <w:r w:rsidRPr="001456CD">
                                <w:rPr>
                                  <w:rFonts w:cstheme="minorBidi"/>
                                  <w:color w:val="FFFFFF" w:themeColor="background1"/>
                                  <w:kern w:val="24"/>
                                  <w:sz w:val="18"/>
                                  <w:szCs w:val="18"/>
                                </w:rPr>
                                <w:br/>
                              </w:r>
                              <w:r w:rsidRPr="00C00E76">
                                <w:rPr>
                                  <w:rFonts w:cstheme="minorBidi"/>
                                  <w:color w:val="262626" w:themeColor="text1" w:themeTint="D9"/>
                                  <w:kern w:val="24"/>
                                  <w:sz w:val="18"/>
                                  <w:szCs w:val="18"/>
                                </w:rPr>
                                <w:t>Stability</w:t>
                              </w:r>
                            </w:p>
                          </w:txbxContent>
                        </wps:txbx>
                        <wps:bodyPr wrap="square" rtlCol="0">
                          <a:noAutofit/>
                        </wps:bodyPr>
                      </wps:wsp>
                      <wps:wsp>
                        <wps:cNvPr id="60" name="TextBox 13"/>
                        <wps:cNvSpPr txBox="1"/>
                        <wps:spPr>
                          <a:xfrm>
                            <a:off x="1125591" y="4587188"/>
                            <a:ext cx="1443057" cy="719277"/>
                          </a:xfrm>
                          <a:prstGeom prst="rect">
                            <a:avLst/>
                          </a:prstGeom>
                          <a:noFill/>
                        </wps:spPr>
                        <wps:txbx>
                          <w:txbxContent>
                            <w:p w14:paraId="31B27364" w14:textId="77777777" w:rsidR="00567853" w:rsidRPr="00C00E76" w:rsidRDefault="00567853" w:rsidP="003A3BAC">
                              <w:pPr>
                                <w:jc w:val="center"/>
                                <w:rPr>
                                  <w:color w:val="262626" w:themeColor="text1" w:themeTint="D9"/>
                                  <w:sz w:val="18"/>
                                  <w:szCs w:val="18"/>
                                </w:rPr>
                              </w:pPr>
                              <w:r w:rsidRPr="00C00E76">
                                <w:rPr>
                                  <w:rFonts w:cstheme="minorBidi"/>
                                  <w:color w:val="262626" w:themeColor="text1" w:themeTint="D9"/>
                                  <w:kern w:val="24"/>
                                  <w:sz w:val="18"/>
                                  <w:szCs w:val="18"/>
                                </w:rPr>
                                <w:t>Education</w:t>
                              </w:r>
                            </w:p>
                          </w:txbxContent>
                        </wps:txbx>
                        <wps:bodyPr wrap="square" rtlCol="0">
                          <a:noAutofit/>
                        </wps:bodyPr>
                      </wps:wsp>
                      <wps:wsp>
                        <wps:cNvPr id="61" name="TextBox 14"/>
                        <wps:cNvSpPr txBox="1"/>
                        <wps:spPr>
                          <a:xfrm>
                            <a:off x="3998012" y="4459296"/>
                            <a:ext cx="1636510" cy="1228838"/>
                          </a:xfrm>
                          <a:prstGeom prst="rect">
                            <a:avLst/>
                          </a:prstGeom>
                          <a:noFill/>
                        </wps:spPr>
                        <wps:txbx>
                          <w:txbxContent>
                            <w:p w14:paraId="26BDCEE2" w14:textId="1A00EE05" w:rsidR="00567853" w:rsidRPr="00C00E76" w:rsidRDefault="00567853" w:rsidP="003A3BAC">
                              <w:pPr>
                                <w:spacing w:before="0" w:after="0" w:line="240" w:lineRule="auto"/>
                                <w:jc w:val="center"/>
                                <w:rPr>
                                  <w:color w:val="262626" w:themeColor="text1" w:themeTint="D9"/>
                                  <w:sz w:val="18"/>
                                  <w:szCs w:val="18"/>
                                </w:rPr>
                              </w:pPr>
                              <w:r w:rsidRPr="00C00E76">
                                <w:rPr>
                                  <w:rFonts w:cstheme="minorBidi"/>
                                  <w:color w:val="262626" w:themeColor="text1" w:themeTint="D9"/>
                                  <w:kern w:val="24"/>
                                  <w:sz w:val="18"/>
                                  <w:szCs w:val="18"/>
                                </w:rPr>
                                <w:t>Social and</w:t>
                              </w:r>
                              <w:r w:rsidRPr="00C00E76">
                                <w:rPr>
                                  <w:rFonts w:cstheme="minorBidi"/>
                                  <w:color w:val="262626" w:themeColor="text1" w:themeTint="D9"/>
                                  <w:kern w:val="24"/>
                                  <w:sz w:val="18"/>
                                  <w:szCs w:val="18"/>
                                </w:rPr>
                                <w:br/>
                                <w:t>Community Context</w:t>
                              </w:r>
                            </w:p>
                          </w:txbxContent>
                        </wps:txbx>
                        <wps:bodyPr wrap="square" rtlCol="0">
                          <a:noAutofit/>
                        </wps:bodyPr>
                      </wps:wsp>
                      <wps:wsp>
                        <wps:cNvPr id="62" name="TextBox 15"/>
                        <wps:cNvSpPr txBox="1"/>
                        <wps:spPr>
                          <a:xfrm>
                            <a:off x="4911823" y="2015159"/>
                            <a:ext cx="1636510" cy="955486"/>
                          </a:xfrm>
                          <a:prstGeom prst="rect">
                            <a:avLst/>
                          </a:prstGeom>
                          <a:noFill/>
                        </wps:spPr>
                        <wps:txbx>
                          <w:txbxContent>
                            <w:p w14:paraId="5AB66CD2" w14:textId="06D107AE" w:rsidR="00567853" w:rsidRPr="00C00E76" w:rsidRDefault="00567853" w:rsidP="003A3BAC">
                              <w:pPr>
                                <w:spacing w:before="0" w:after="0" w:line="240" w:lineRule="auto"/>
                                <w:jc w:val="center"/>
                                <w:rPr>
                                  <w:color w:val="262626" w:themeColor="text1" w:themeTint="D9"/>
                                  <w:sz w:val="24"/>
                                  <w:szCs w:val="24"/>
                                </w:rPr>
                              </w:pPr>
                              <w:r w:rsidRPr="00C00E76">
                                <w:rPr>
                                  <w:rFonts w:cstheme="minorBidi"/>
                                  <w:color w:val="262626" w:themeColor="text1" w:themeTint="D9"/>
                                  <w:kern w:val="24"/>
                                  <w:sz w:val="18"/>
                                  <w:szCs w:val="18"/>
                                </w:rPr>
                                <w:t>Health and</w:t>
                              </w:r>
                              <w:r w:rsidRPr="00C00E76">
                                <w:rPr>
                                  <w:rFonts w:asciiTheme="minorHAnsi" w:hAnsi="Calibri" w:cstheme="minorBidi"/>
                                  <w:color w:val="262626" w:themeColor="text1" w:themeTint="D9"/>
                                  <w:kern w:val="24"/>
                                </w:rPr>
                                <w:br/>
                              </w:r>
                              <w:r w:rsidRPr="00C00E76">
                                <w:rPr>
                                  <w:rFonts w:cstheme="minorBidi"/>
                                  <w:color w:val="262626" w:themeColor="text1" w:themeTint="D9"/>
                                  <w:kern w:val="24"/>
                                  <w:sz w:val="18"/>
                                  <w:szCs w:val="18"/>
                                </w:rPr>
                                <w:t>Health Care</w:t>
                              </w:r>
                            </w:p>
                          </w:txbxContent>
                        </wps:txbx>
                        <wps:bodyPr wrap="square" rtlCol="0">
                          <a:noAutofit/>
                        </wps:bodyPr>
                      </wps:wsp>
                    </wpg:wgp>
                  </a:graphicData>
                </a:graphic>
              </wp:inline>
            </w:drawing>
          </mc:Choice>
          <mc:Fallback>
            <w:pict>
              <v:group w14:anchorId="0C31186D" id="Group 16" o:spid="_x0000_s1076" alt="Image depicting the connection between social determinants of health and how employment has proved, through research, to positively impact overall health and mental health, social connectedness, housing stability, and reduced hospitalizations. " style="width:283.7pt;height:226.65pt;mso-position-horizontal-relative:char;mso-position-vertical-relative:line" coordorigin="" coordsize="66497,5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77" type="#_x0000_t120" style="position:absolute;left:7218;top:6978;width:49859;height:46923;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" filled="f" strokecolor="#243f60 [1604]" strokeweight="2pt"/>
                <v:shape id="Flowchart: Connector 51" o:spid="_x0000_s1078" type="#_x0000_t120" style="position:absolute;left:8951;top:8542;width:46105;height:4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" fillcolor="#f2f2f2 [3052]" strokecolor="#243f60 [1604]" strokeweight="2pt"/>
                <v:shape id="Flowchart: Connector 52" o:spid="_x0000_s1079" type="#_x0000_t120" style="position:absolute;left:21317;top:19288;width:23196;height:2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" fillcolor="#243f60 [1604]" strokecolor="#243f60 [1604]" strokeweight="2pt">
                  <v:textbox>
                    <w:txbxContent>
                      <w:p w14:paraId="70633F7D" w14:textId="1C11C137" w:rsidR="00567853" w:rsidRPr="0019107C" w:rsidRDefault="00567853" w:rsidP="00770042">
                        <w:pPr>
                          <w:spacing w:before="0" w:after="0"/>
                          <w:jc w:val="center"/>
                          <w:rPr>
                            <w:sz w:val="17"/>
                            <w:szCs w:val="17"/>
                          </w:rPr>
                        </w:pPr>
                        <w:r w:rsidRPr="00321F80">
                          <w:rPr>
                            <w:color w:val="FFFFFF" w:themeColor="background1"/>
                            <w:kern w:val="24"/>
                            <w:sz w:val="17"/>
                            <w:szCs w:val="17"/>
                          </w:rPr>
                          <w:t>Social</w:t>
                        </w:r>
                        <w:r>
                          <w:rPr>
                            <w:color w:val="FFFFFF" w:themeColor="light1"/>
                            <w:kern w:val="24"/>
                            <w:sz w:val="17"/>
                            <w:szCs w:val="17"/>
                          </w:rPr>
                          <w:br/>
                        </w:r>
                        <w:r w:rsidRPr="0050031A">
                          <w:rPr>
                            <w:color w:val="FFFFFF" w:themeColor="background1"/>
                            <w:kern w:val="24"/>
                            <w:sz w:val="17"/>
                            <w:szCs w:val="17"/>
                          </w:rPr>
                          <w:t>Determinants</w:t>
                        </w:r>
                        <w:r>
                          <w:rPr>
                            <w:color w:val="FFFFFF" w:themeColor="background1"/>
                            <w:kern w:val="24"/>
                            <w:sz w:val="17"/>
                            <w:szCs w:val="17"/>
                          </w:rPr>
                          <w:br/>
                        </w:r>
                        <w:r w:rsidRPr="0050031A">
                          <w:rPr>
                            <w:color w:val="FFFFFF" w:themeColor="background1"/>
                            <w:kern w:val="24"/>
                            <w:sz w:val="17"/>
                            <w:szCs w:val="17"/>
                          </w:rPr>
                          <w:t>of Healt</w:t>
                        </w:r>
                        <w:r w:rsidRPr="0019107C">
                          <w:rPr>
                            <w:color w:val="FFFFFF" w:themeColor="light1"/>
                            <w:kern w:val="24"/>
                            <w:sz w:val="17"/>
                            <w:szCs w:val="17"/>
                          </w:rPr>
                          <w:t>h</w:t>
                        </w:r>
                      </w:p>
                    </w:txbxContent>
                  </v:textbox>
                </v:shape>
                <v:shape id="Flowchart: Connector 53" o:spid="_x0000_s1080" type="#_x0000_t120" style="position:absolute;left:23485;width:18564;height:1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" fillcolor="#9bbb59 [3206]" strokecolor="#243f60 [1604]" strokeweight="2pt"/>
                <v:shape id="Flowchart: Connector 54" o:spid="_x0000_s1081" type="#_x0000_t120" style="position:absolute;left:47933;top:16266;width:18564;height:1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" fillcolor="#8db3e2 [1311]" strokecolor="#243f60 [1604]" strokeweight="2pt"/>
                <v:shape id="Flowchart: Connector 55" o:spid="_x0000_s1082" type="#_x0000_t120" style="position:absolute;left:38886;top:41381;width:18564;height:1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" fillcolor="#ff8080" strokecolor="#243f60 [1604]" strokeweight="2pt">
                  <v:fill color2="#ffdada" rotate="t" colors="0 #ff8080;.5 #ffb3b3;1 #ffdada" focus="100%" type="gradient"/>
                </v:shape>
                <v:shape id="Flowchart: Connector 56" o:spid="_x0000_s1083" type="#_x0000_t120" style="position:absolute;left:9144;top:41383;width:18563;height:1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" fillcolor="#c4bc96 [2414]" strokecolor="#243f60 [1604]" strokeweight="2pt"/>
                <v:shape id="Flowchart: Connector 57" o:spid="_x0000_s1084" type="#_x0000_t120" style="position:absolute;top:16266;width:18563;height:1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" fillcolor="#e5dfec [663]" strokecolor="#243f60 [1604]" strokeweight="2pt"/>
                <v:shape id="TextBox 11" o:spid="_x0000_s1085" type="#_x0000_t202" style="position:absolute;left:21927;top:2497;width:21939;height:1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E4B3DBD" w14:textId="60A13758" w:rsidR="00567853" w:rsidRPr="00C00E76" w:rsidRDefault="00567853" w:rsidP="003A3BAC">
                        <w:pPr>
                          <w:spacing w:before="0" w:after="0" w:line="240" w:lineRule="auto"/>
                          <w:jc w:val="center"/>
                          <w:rPr>
                            <w:color w:val="262626" w:themeColor="text1" w:themeTint="D9"/>
                          </w:rPr>
                        </w:pPr>
                        <w:r w:rsidRPr="00C00E76">
                          <w:rPr>
                            <w:rFonts w:asciiTheme="minorHAnsi" w:hAnsi="Calibri" w:cstheme="minorBidi"/>
                            <w:color w:val="262626" w:themeColor="text1" w:themeTint="D9"/>
                            <w:kern w:val="24"/>
                          </w:rPr>
                          <w:t>Neighborhood</w:t>
                        </w:r>
                        <w:r w:rsidRPr="00C00E76">
                          <w:rPr>
                            <w:rFonts w:asciiTheme="minorHAnsi" w:hAnsi="Calibri" w:cstheme="minorBidi"/>
                            <w:color w:val="262626" w:themeColor="text1" w:themeTint="D9"/>
                            <w:kern w:val="24"/>
                          </w:rPr>
                          <w:br/>
                        </w:r>
                        <w:r w:rsidRPr="00C00E76">
                          <w:rPr>
                            <w:rFonts w:cstheme="minorBidi"/>
                            <w:color w:val="262626" w:themeColor="text1" w:themeTint="D9"/>
                            <w:kern w:val="24"/>
                            <w:sz w:val="18"/>
                            <w:szCs w:val="18"/>
                          </w:rPr>
                          <w:t>and Built</w:t>
                        </w:r>
                        <w:r w:rsidRPr="00C00E76">
                          <w:rPr>
                            <w:rFonts w:asciiTheme="minorHAnsi" w:hAnsi="Calibri" w:cstheme="minorBidi"/>
                            <w:color w:val="262626" w:themeColor="text1" w:themeTint="D9"/>
                            <w:kern w:val="24"/>
                          </w:rPr>
                          <w:br/>
                        </w:r>
                        <w:r w:rsidRPr="00C00E76">
                          <w:rPr>
                            <w:rFonts w:cstheme="minorBidi"/>
                            <w:color w:val="262626" w:themeColor="text1" w:themeTint="D9"/>
                            <w:kern w:val="24"/>
                            <w:sz w:val="18"/>
                            <w:szCs w:val="18"/>
                          </w:rPr>
                          <w:t>Environment</w:t>
                        </w:r>
                      </w:p>
                    </w:txbxContent>
                  </v:textbox>
                </v:shape>
                <v:shape id="TextBox 12" o:spid="_x0000_s1086" type="#_x0000_t202" style="position:absolute;left:1077;top:20112;width:16365;height:10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78C7007" w14:textId="1FE3D6AE" w:rsidR="00567853" w:rsidRPr="001456CD" w:rsidRDefault="00567853" w:rsidP="003A3BAC">
                        <w:pPr>
                          <w:spacing w:before="0" w:after="0" w:line="240" w:lineRule="auto"/>
                          <w:jc w:val="center"/>
                          <w:rPr>
                            <w:sz w:val="18"/>
                            <w:szCs w:val="18"/>
                          </w:rPr>
                        </w:pPr>
                        <w:r w:rsidRPr="00C00E76">
                          <w:rPr>
                            <w:rFonts w:cstheme="minorBidi"/>
                            <w:color w:val="262626" w:themeColor="text1" w:themeTint="D9"/>
                            <w:kern w:val="24"/>
                            <w:sz w:val="18"/>
                            <w:szCs w:val="18"/>
                          </w:rPr>
                          <w:t>Economic</w:t>
                        </w:r>
                        <w:r w:rsidRPr="001456CD">
                          <w:rPr>
                            <w:rFonts w:cstheme="minorBidi"/>
                            <w:color w:val="FFFFFF" w:themeColor="background1"/>
                            <w:kern w:val="24"/>
                            <w:sz w:val="18"/>
                            <w:szCs w:val="18"/>
                          </w:rPr>
                          <w:br/>
                        </w:r>
                        <w:r w:rsidRPr="00C00E76">
                          <w:rPr>
                            <w:rFonts w:cstheme="minorBidi"/>
                            <w:color w:val="262626" w:themeColor="text1" w:themeTint="D9"/>
                            <w:kern w:val="24"/>
                            <w:sz w:val="18"/>
                            <w:szCs w:val="18"/>
                          </w:rPr>
                          <w:t>Stability</w:t>
                        </w:r>
                      </w:p>
                    </w:txbxContent>
                  </v:textbox>
                </v:shape>
                <v:shape id="TextBox 13" o:spid="_x0000_s1087" type="#_x0000_t202" style="position:absolute;left:11255;top:45871;width:14431;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1B27364" w14:textId="77777777" w:rsidR="00567853" w:rsidRPr="00C00E76" w:rsidRDefault="00567853" w:rsidP="003A3BAC">
                        <w:pPr>
                          <w:jc w:val="center"/>
                          <w:rPr>
                            <w:color w:val="262626" w:themeColor="text1" w:themeTint="D9"/>
                            <w:sz w:val="18"/>
                            <w:szCs w:val="18"/>
                          </w:rPr>
                        </w:pPr>
                        <w:r w:rsidRPr="00C00E76">
                          <w:rPr>
                            <w:rFonts w:cstheme="minorBidi"/>
                            <w:color w:val="262626" w:themeColor="text1" w:themeTint="D9"/>
                            <w:kern w:val="24"/>
                            <w:sz w:val="18"/>
                            <w:szCs w:val="18"/>
                          </w:rPr>
                          <w:t>Education</w:t>
                        </w:r>
                      </w:p>
                    </w:txbxContent>
                  </v:textbox>
                </v:shape>
                <v:shape id="TextBox 14" o:spid="_x0000_s1088" type="#_x0000_t202" style="position:absolute;left:39980;top:44592;width:16365;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6BDCEE2" w14:textId="1A00EE05" w:rsidR="00567853" w:rsidRPr="00C00E76" w:rsidRDefault="00567853" w:rsidP="003A3BAC">
                        <w:pPr>
                          <w:spacing w:before="0" w:after="0" w:line="240" w:lineRule="auto"/>
                          <w:jc w:val="center"/>
                          <w:rPr>
                            <w:color w:val="262626" w:themeColor="text1" w:themeTint="D9"/>
                            <w:sz w:val="18"/>
                            <w:szCs w:val="18"/>
                          </w:rPr>
                        </w:pPr>
                        <w:r w:rsidRPr="00C00E76">
                          <w:rPr>
                            <w:rFonts w:cstheme="minorBidi"/>
                            <w:color w:val="262626" w:themeColor="text1" w:themeTint="D9"/>
                            <w:kern w:val="24"/>
                            <w:sz w:val="18"/>
                            <w:szCs w:val="18"/>
                          </w:rPr>
                          <w:t>Social and</w:t>
                        </w:r>
                        <w:r w:rsidRPr="00C00E76">
                          <w:rPr>
                            <w:rFonts w:cstheme="minorBidi"/>
                            <w:color w:val="262626" w:themeColor="text1" w:themeTint="D9"/>
                            <w:kern w:val="24"/>
                            <w:sz w:val="18"/>
                            <w:szCs w:val="18"/>
                          </w:rPr>
                          <w:br/>
                          <w:t>Community Context</w:t>
                        </w:r>
                      </w:p>
                    </w:txbxContent>
                  </v:textbox>
                </v:shape>
                <v:shape id="TextBox 15" o:spid="_x0000_s1089" type="#_x0000_t202" style="position:absolute;left:49118;top:20151;width:16365;height: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AB66CD2" w14:textId="06D107AE" w:rsidR="00567853" w:rsidRPr="00C00E76" w:rsidRDefault="00567853" w:rsidP="003A3BAC">
                        <w:pPr>
                          <w:spacing w:before="0" w:after="0" w:line="240" w:lineRule="auto"/>
                          <w:jc w:val="center"/>
                          <w:rPr>
                            <w:color w:val="262626" w:themeColor="text1" w:themeTint="D9"/>
                            <w:sz w:val="24"/>
                            <w:szCs w:val="24"/>
                          </w:rPr>
                        </w:pPr>
                        <w:r w:rsidRPr="00C00E76">
                          <w:rPr>
                            <w:rFonts w:cstheme="minorBidi"/>
                            <w:color w:val="262626" w:themeColor="text1" w:themeTint="D9"/>
                            <w:kern w:val="24"/>
                            <w:sz w:val="18"/>
                            <w:szCs w:val="18"/>
                          </w:rPr>
                          <w:t>Health and</w:t>
                        </w:r>
                        <w:r w:rsidRPr="00C00E76">
                          <w:rPr>
                            <w:rFonts w:asciiTheme="minorHAnsi" w:hAnsi="Calibri" w:cstheme="minorBidi"/>
                            <w:color w:val="262626" w:themeColor="text1" w:themeTint="D9"/>
                            <w:kern w:val="24"/>
                          </w:rPr>
                          <w:br/>
                        </w:r>
                        <w:r w:rsidRPr="00C00E76">
                          <w:rPr>
                            <w:rFonts w:cstheme="minorBidi"/>
                            <w:color w:val="262626" w:themeColor="text1" w:themeTint="D9"/>
                            <w:kern w:val="24"/>
                            <w:sz w:val="18"/>
                            <w:szCs w:val="18"/>
                          </w:rPr>
                          <w:t>Health Care</w:t>
                        </w:r>
                      </w:p>
                    </w:txbxContent>
                  </v:textbox>
                </v:shape>
                <w10:anchorlock/>
              </v:group>
            </w:pict>
          </mc:Fallback>
        </mc:AlternateContent>
      </w:r>
    </w:p>
    <w:p w14:paraId="1E29238B" w14:textId="77777777" w:rsidR="00A833A2" w:rsidRDefault="00A833A2" w:rsidP="001E6297"/>
    <w:p w14:paraId="4E74936D" w14:textId="3B1B4FF0" w:rsidR="00B16165" w:rsidRPr="00B16165" w:rsidRDefault="00B16165" w:rsidP="001E6297">
      <w:r w:rsidRPr="00B16165">
        <w:t>OCHN recognized that investing in competitive integrated employment services would produce outcomes that improve an individual’s quality of life and reduce expenditures OCHN would otherwise need to make to address the impact of unemployment in individual lives</w:t>
      </w:r>
      <w:r w:rsidR="006677B7">
        <w:t xml:space="preserve">. </w:t>
      </w:r>
      <w:r w:rsidRPr="00B16165">
        <w:t>OCHN engaged in the Employment First rate-reimbursement “restructuring” with four interconnected goals:</w:t>
      </w:r>
    </w:p>
    <w:p w14:paraId="69489CE1" w14:textId="77777777" w:rsidR="00B16165" w:rsidRPr="00B16165" w:rsidRDefault="00B16165" w:rsidP="00086A85">
      <w:pPr>
        <w:pStyle w:val="ListNumber"/>
        <w:numPr>
          <w:ilvl w:val="0"/>
          <w:numId w:val="16"/>
        </w:numPr>
        <w:ind w:left="720"/>
      </w:pPr>
      <w:r w:rsidRPr="00B16165">
        <w:t>Increasing competitive integrated employment outcomes for individuals served;</w:t>
      </w:r>
    </w:p>
    <w:p w14:paraId="21B74D3D" w14:textId="03868F7D" w:rsidR="00B16165" w:rsidRPr="00B16165" w:rsidRDefault="00B16165" w:rsidP="00591C6C">
      <w:pPr>
        <w:pStyle w:val="ListNumber"/>
      </w:pPr>
      <w:r w:rsidRPr="00B16165">
        <w:t>Establishing outcome-based reimbursement approaches for Supported Employment to incentivize and reward Supported Employment providers implementing best practices and producing high</w:t>
      </w:r>
      <w:r w:rsidR="00180654">
        <w:t>-</w:t>
      </w:r>
      <w:r w:rsidRPr="00B16165">
        <w:t xml:space="preserve">quality outcomes; </w:t>
      </w:r>
    </w:p>
    <w:p w14:paraId="101AED69" w14:textId="44EB06B9" w:rsidR="00B16165" w:rsidRPr="00B16165" w:rsidRDefault="00B16165" w:rsidP="00591C6C">
      <w:pPr>
        <w:pStyle w:val="ListNumber"/>
      </w:pPr>
      <w:r w:rsidRPr="00B16165">
        <w:t>Rebalancing existing overall investment in employment services for people with IDD to advance both Employment First and community integration, consistent with the Medicaid HCBS Settings Rule (discussed elsewhere in this guide);</w:t>
      </w:r>
      <w:r w:rsidR="00BD6618">
        <w:t xml:space="preserve"> and</w:t>
      </w:r>
    </w:p>
    <w:p w14:paraId="74129D39" w14:textId="77777777" w:rsidR="00B16165" w:rsidRPr="00B16165" w:rsidRDefault="00B16165" w:rsidP="00203E9A">
      <w:pPr>
        <w:pStyle w:val="ListNumber"/>
        <w:spacing w:after="0"/>
      </w:pPr>
      <w:r w:rsidRPr="00B16165">
        <w:t>Increasing the effectiveness of the partnership with Michigan Rehabilitation Services (MRS) and the results achieved through the Inter-Agency Cash Transfer Agreement (ICTA).</w:t>
      </w:r>
      <w:r w:rsidRPr="00B16165">
        <w:rPr>
          <w:vertAlign w:val="superscript"/>
        </w:rPr>
        <w:footnoteReference w:id="31"/>
      </w:r>
    </w:p>
    <w:p w14:paraId="092689DF" w14:textId="77777777" w:rsidR="004D4C63" w:rsidRPr="00A049B4" w:rsidRDefault="004D4C63" w:rsidP="00B11115">
      <w:pPr>
        <w:pStyle w:val="Heading3"/>
      </w:pPr>
      <w:bookmarkStart w:id="59" w:name="_Toc70944206"/>
      <w:r w:rsidRPr="00A049B4">
        <w:t>Moving to Outcome-Based Reimbursement for Supported Employment Services for Individuals with Severe and Persistent Mental Illness</w:t>
      </w:r>
      <w:bookmarkEnd w:id="59"/>
    </w:p>
    <w:p w14:paraId="2683F4B9" w14:textId="0D32AB92" w:rsidR="004D4C63" w:rsidRPr="00043C33" w:rsidRDefault="004D4C63" w:rsidP="001E6297">
      <w:r w:rsidRPr="00043C33">
        <w:t>In 2015, OCHN was funding Supported Employment services for individuals with SMI through the use of the evidence-based Individual Placement and Support (IPS</w:t>
      </w:r>
      <w:r w:rsidR="001F6FF2">
        <w:t>-SE</w:t>
      </w:r>
      <w:r w:rsidRPr="00043C33">
        <w:t>) model</w:t>
      </w:r>
      <w:r w:rsidR="0037194D">
        <w:t xml:space="preserve">. </w:t>
      </w:r>
      <w:r w:rsidR="003175D1">
        <w:t>OCHN</w:t>
      </w:r>
      <w:r w:rsidRPr="00043C33">
        <w:t xml:space="preserve"> was paying IPS</w:t>
      </w:r>
      <w:r w:rsidR="008A405D">
        <w:t xml:space="preserve">-SE </w:t>
      </w:r>
      <w:r w:rsidRPr="00043C33">
        <w:t>services on a fee-for-service basis</w:t>
      </w:r>
      <w:r w:rsidR="00B03A9A">
        <w:t>,</w:t>
      </w:r>
      <w:r w:rsidRPr="00043C33">
        <w:t xml:space="preserve"> with billing limited only to face-to-face service delivery time</w:t>
      </w:r>
      <w:r w:rsidR="0037194D">
        <w:t xml:space="preserve">. </w:t>
      </w:r>
      <w:r w:rsidRPr="00043C33">
        <w:t>They reported getting good outcomes for a number of years</w:t>
      </w:r>
      <w:r w:rsidR="00E3387F">
        <w:t>,</w:t>
      </w:r>
      <w:r w:rsidRPr="00043C33">
        <w:t xml:space="preserve"> but they were not seeing </w:t>
      </w:r>
      <w:r w:rsidR="00E65503">
        <w:t xml:space="preserve">results </w:t>
      </w:r>
      <w:r w:rsidRPr="00043C33">
        <w:t xml:space="preserve">improving as time passed. OCHN was also concerned that they were not seeing their providers increasing capacity to serve consumers even though demand for IPS services was increasing. </w:t>
      </w:r>
      <w:r w:rsidRPr="00043C33">
        <w:rPr>
          <w:i/>
        </w:rPr>
        <w:t>It’s important to note that MRS had no role in funding IPS services, and this is still typically the case in Michigan</w:t>
      </w:r>
      <w:r w:rsidR="005043F4">
        <w:rPr>
          <w:i/>
        </w:rPr>
        <w:t xml:space="preserve">. </w:t>
      </w:r>
    </w:p>
    <w:p w14:paraId="2F502657" w14:textId="77777777" w:rsidR="004D4C63" w:rsidRPr="00043C33" w:rsidRDefault="004D4C63" w:rsidP="00B1367E">
      <w:r w:rsidRPr="00043C33">
        <w:t xml:space="preserve">After learning about the potential advantages of outcome-based reimbursement, </w:t>
      </w:r>
      <w:r w:rsidR="003175D1">
        <w:t>OCHN</w:t>
      </w:r>
      <w:r w:rsidRPr="00043C33">
        <w:t xml:space="preserve"> chose to work with its providers to develop a milestone-based funding structure for IPS</w:t>
      </w:r>
      <w:r w:rsidR="008A405D">
        <w:t>-SE</w:t>
      </w:r>
      <w:r w:rsidRPr="00043C33">
        <w:t xml:space="preserve">. They wanted to shift from paying for service to paying for and rewarding outcomes expected from those services. OCHN also wanted to incentivize timely and efficient completion of services associated with each milestone in the IPS process. This better ensured </w:t>
      </w:r>
      <w:r w:rsidR="001F6FF2">
        <w:t xml:space="preserve">that </w:t>
      </w:r>
      <w:r w:rsidRPr="00043C33">
        <w:t>consumers remained engaged and committed to working in competitive integrated employment (reducing the drop-out rate) and better ensured consumers achieved competitive integrated employment as quickly as possible (rapid placement). This also laid the groundwork for IPS providers to become comfortable with a milestone-based payment structure, thus paving the way for IPS providers to be successful if and when MRS begins purchasing IPS</w:t>
      </w:r>
      <w:r w:rsidR="008A405D">
        <w:t xml:space="preserve">-SE </w:t>
      </w:r>
      <w:r w:rsidRPr="00043C33">
        <w:t>services at a future point.</w:t>
      </w:r>
    </w:p>
    <w:p w14:paraId="30DB95DF" w14:textId="77777777" w:rsidR="004D4C63" w:rsidRPr="00043C33" w:rsidRDefault="004D4C63" w:rsidP="00B1367E">
      <w:r w:rsidRPr="00043C33">
        <w:t>OCHN worked with providers to go through the following process:</w:t>
      </w:r>
    </w:p>
    <w:p w14:paraId="731163AD" w14:textId="77777777" w:rsidR="004D4C63" w:rsidRPr="00043C33" w:rsidRDefault="004D4C63" w:rsidP="00D755C4">
      <w:pPr>
        <w:pStyle w:val="ListBullet"/>
      </w:pPr>
      <w:r w:rsidRPr="00043C33">
        <w:t>They started by identifying and agree</w:t>
      </w:r>
      <w:r w:rsidR="00E65503">
        <w:t>ing with</w:t>
      </w:r>
      <w:r w:rsidRPr="00043C33">
        <w:t xml:space="preserve"> the key milestones in the IPS process</w:t>
      </w:r>
      <w:r w:rsidR="005043F4">
        <w:t xml:space="preserve">. </w:t>
      </w:r>
    </w:p>
    <w:p w14:paraId="7D29D19D" w14:textId="77777777" w:rsidR="004D4C63" w:rsidRPr="00043C33" w:rsidRDefault="004D4C63" w:rsidP="00D755C4">
      <w:pPr>
        <w:pStyle w:val="ListBullet"/>
      </w:pPr>
      <w:r w:rsidRPr="00043C33">
        <w:t>They then used information from providers and their own claims data to arrive at the average number of hours of staff time needed to complete each milestone</w:t>
      </w:r>
      <w:r w:rsidR="005043F4">
        <w:t xml:space="preserve">. </w:t>
      </w:r>
    </w:p>
    <w:p w14:paraId="485B7849" w14:textId="77777777" w:rsidR="004D4C63" w:rsidRPr="00043C33" w:rsidRDefault="004D4C63" w:rsidP="00D755C4">
      <w:pPr>
        <w:pStyle w:val="ListBullet"/>
      </w:pPr>
      <w:r w:rsidRPr="00043C33">
        <w:t>They used provider cost and claims data to determine the hourly cost of staff time.</w:t>
      </w:r>
    </w:p>
    <w:p w14:paraId="782252EC" w14:textId="77777777" w:rsidR="004D4C63" w:rsidRPr="00043C33" w:rsidRDefault="004D4C63" w:rsidP="00D755C4">
      <w:pPr>
        <w:pStyle w:val="ListBullet"/>
      </w:pPr>
      <w:r w:rsidRPr="00043C33">
        <w:t>They multiplied the average number of hours needed to complete the milestone by the hourly cost of staff time to arrive at the base milestone payment.</w:t>
      </w:r>
    </w:p>
    <w:p w14:paraId="57D40FBC" w14:textId="60B21CD7" w:rsidR="004D4C63" w:rsidRPr="00F7360C" w:rsidRDefault="004D4C63" w:rsidP="00F7360C">
      <w:pPr>
        <w:pStyle w:val="ListBullet"/>
        <w:rPr>
          <w:sz w:val="24"/>
          <w:szCs w:val="24"/>
        </w:rPr>
      </w:pPr>
      <w:r w:rsidRPr="00043C33">
        <w:t>They factored in an adjustment to certain base milestone payments to account for an anticipated drop-out or failure rate</w:t>
      </w:r>
      <w:r w:rsidR="005D44AB">
        <w:t>,</w:t>
      </w:r>
      <w:r w:rsidRPr="00043C33">
        <w:t xml:space="preserve"> and to arrive at the final adopted milestone payments.</w:t>
      </w:r>
    </w:p>
    <w:p w14:paraId="7D6C7DA1" w14:textId="77777777" w:rsidR="004D4C63" w:rsidRPr="00043C33" w:rsidRDefault="004D4C63" w:rsidP="00B1367E">
      <w:r w:rsidRPr="00043C33">
        <w:t xml:space="preserve">As the </w:t>
      </w:r>
      <w:r w:rsidR="00414D38">
        <w:t>following table</w:t>
      </w:r>
      <w:r w:rsidRPr="00043C33">
        <w:t xml:space="preserve"> depicts, OCHN also incorporated </w:t>
      </w:r>
      <w:r w:rsidR="00414D38" w:rsidRPr="00043C33">
        <w:t xml:space="preserve">specific quality incentives </w:t>
      </w:r>
      <w:r w:rsidRPr="00043C33">
        <w:t>into the milestone-based reimbursement model</w:t>
      </w:r>
      <w:r w:rsidR="00414D38">
        <w:t>:</w:t>
      </w:r>
      <w:r w:rsidRPr="00043C33">
        <w:t xml:space="preserve"> </w:t>
      </w:r>
    </w:p>
    <w:p w14:paraId="461C7DA1" w14:textId="77777777" w:rsidR="004D4C63" w:rsidRPr="00043C33" w:rsidRDefault="004D4C63" w:rsidP="00086A85">
      <w:pPr>
        <w:pStyle w:val="ListNumber"/>
        <w:numPr>
          <w:ilvl w:val="0"/>
          <w:numId w:val="7"/>
        </w:numPr>
      </w:pPr>
      <w:r w:rsidRPr="00043C33">
        <w:t>They established a second set of adopted milestone payments that were set at a higher level for IPS</w:t>
      </w:r>
      <w:r w:rsidR="009806D0">
        <w:t xml:space="preserve">-SE </w:t>
      </w:r>
      <w:r w:rsidRPr="00043C33">
        <w:t>providers who achieved and sustained a higher than “Fair” fidelity in the annual fidelity reviews that are a</w:t>
      </w:r>
      <w:r w:rsidR="00A13477">
        <w:t xml:space="preserve"> key</w:t>
      </w:r>
      <w:r w:rsidR="00D4305D">
        <w:t xml:space="preserve"> </w:t>
      </w:r>
      <w:r w:rsidRPr="00043C33">
        <w:t>part of implementing the IPS</w:t>
      </w:r>
      <w:r w:rsidR="009806D0">
        <w:t xml:space="preserve">-SE </w:t>
      </w:r>
      <w:r w:rsidRPr="00043C33">
        <w:t>model. Higher fidelity (a score of 100 or higher) is associated with higher quality in both service delivery and outcomes.</w:t>
      </w:r>
    </w:p>
    <w:p w14:paraId="4E0C51F2" w14:textId="77777777" w:rsidR="004D4C63" w:rsidRPr="00043C33" w:rsidRDefault="004D4C63" w:rsidP="00086A85">
      <w:pPr>
        <w:pStyle w:val="ListNumber"/>
        <w:numPr>
          <w:ilvl w:val="0"/>
          <w:numId w:val="7"/>
        </w:numPr>
      </w:pPr>
      <w:r w:rsidRPr="00043C33">
        <w:t>They added specific quality incentive payments that could be earned in addition to the adopted milestone payments if the outcome for a consumer met specific requirements. These included:</w:t>
      </w:r>
    </w:p>
    <w:p w14:paraId="49B07D31" w14:textId="77777777" w:rsidR="004D4C63" w:rsidRPr="00516E0D" w:rsidRDefault="004D4C63" w:rsidP="00086A85">
      <w:pPr>
        <w:pStyle w:val="ListBullet"/>
        <w:numPr>
          <w:ilvl w:val="0"/>
          <w:numId w:val="9"/>
        </w:numPr>
      </w:pPr>
      <w:r w:rsidRPr="00516E0D">
        <w:t xml:space="preserve">If </w:t>
      </w:r>
      <w:r w:rsidR="00A100EE" w:rsidRPr="00516E0D">
        <w:t xml:space="preserve">a consumer obtained competitive integrated employment </w:t>
      </w:r>
      <w:r w:rsidRPr="00516E0D">
        <w:t>during the Vocational Assessment/Profile milestone, thereby making the Job Placement milestone payment unnecessary, OCHN paid a quality incentive in addition to the Vocational Assessment/Profile milestone. The quality incentive payment was also tiered based on fidelity score.</w:t>
      </w:r>
    </w:p>
    <w:p w14:paraId="12BF9732" w14:textId="77777777" w:rsidR="004D4C63" w:rsidRPr="00516E0D" w:rsidRDefault="004D4C63" w:rsidP="00086A85">
      <w:pPr>
        <w:pStyle w:val="ListBullet"/>
        <w:numPr>
          <w:ilvl w:val="0"/>
          <w:numId w:val="9"/>
        </w:numPr>
      </w:pPr>
      <w:r w:rsidRPr="00516E0D">
        <w:t xml:space="preserve">If </w:t>
      </w:r>
      <w:r w:rsidR="00FF7426" w:rsidRPr="00516E0D">
        <w:t xml:space="preserve">a consumer obtained competitive integrated employment that offered employer-provided healthcare and/or a wage of $13/hour or higher </w:t>
      </w:r>
      <w:r w:rsidRPr="00516E0D">
        <w:t>during the Job Placement milestone, OCHN paid a quality incentive in addition to the Job Placement milestone. The quality incentive payment was also tiered based on fidelity score.</w:t>
      </w:r>
    </w:p>
    <w:p w14:paraId="5B181D33" w14:textId="77777777" w:rsidR="004D4C63" w:rsidRPr="00E27124" w:rsidRDefault="004D4C63" w:rsidP="00086A85">
      <w:pPr>
        <w:pStyle w:val="ListBullet"/>
        <w:numPr>
          <w:ilvl w:val="0"/>
          <w:numId w:val="9"/>
        </w:numPr>
      </w:pPr>
      <w:r w:rsidRPr="00E27124">
        <w:t>For the Job Retention Milestone, OCHN implemented tiered rates based on the weekly average hours worked by the consumer to reflect higher support likely to be needed for consumers working higher hours and to remove any disincentive to assisting consumers to work at higher hours.</w:t>
      </w:r>
    </w:p>
    <w:p w14:paraId="472504AB" w14:textId="716DAF1B" w:rsidR="007C613C" w:rsidRDefault="004D4C63" w:rsidP="00086A85">
      <w:pPr>
        <w:pStyle w:val="ListBullet"/>
        <w:numPr>
          <w:ilvl w:val="0"/>
          <w:numId w:val="9"/>
        </w:numPr>
      </w:pPr>
      <w:r w:rsidRPr="00516E0D">
        <w:t>OCHN also chose to establish a milestone payment for reemployment after job loss. This could only be earned if reemployment was achieved within 90 days of job loss, thus incentivizing provider efforts to facilitate reemployment as quickly as possible after job loss</w:t>
      </w:r>
      <w:r w:rsidR="0037194D">
        <w:t xml:space="preserve">. </w:t>
      </w:r>
      <w:r w:rsidRPr="00516E0D">
        <w:t>This milestone also included tiered incentive payments, based on fidelity score, if a consumer got</w:t>
      </w:r>
      <w:r w:rsidR="005E5B06">
        <w:t xml:space="preserve"> a</w:t>
      </w:r>
      <w:r w:rsidRPr="00516E0D">
        <w:t xml:space="preserve"> job with employer-provided healthcare and/or wage of at least $13/hour.</w:t>
      </w:r>
    </w:p>
    <w:p w14:paraId="44AD2DB5" w14:textId="2B4551B5" w:rsidR="009B11B9" w:rsidRDefault="009B11B9" w:rsidP="002E5D11">
      <w:pPr>
        <w:spacing w:before="0" w:after="0" w:line="240" w:lineRule="auto"/>
      </w:pPr>
    </w:p>
    <w:tbl>
      <w:tblPr>
        <w:tblW w:w="9740" w:type="dxa"/>
        <w:jc w:val="center"/>
        <w:tblLook w:val="0420" w:firstRow="1" w:lastRow="0" w:firstColumn="0" w:lastColumn="0" w:noHBand="0" w:noVBand="1"/>
        <w:tblCaption w:val="Milestone by OCHN"/>
        <w:tblDescription w:val="As the following table depicts, OCHN also incorporated specific quality incentives into the milestone-based reimbursement model: "/>
      </w:tblPr>
      <w:tblGrid>
        <w:gridCol w:w="2360"/>
        <w:gridCol w:w="1620"/>
        <w:gridCol w:w="1620"/>
        <w:gridCol w:w="1530"/>
        <w:gridCol w:w="2610"/>
      </w:tblGrid>
      <w:tr w:rsidR="00EA18D7" w:rsidRPr="003F0F2E" w14:paraId="52AC5041" w14:textId="77777777" w:rsidTr="004C603D">
        <w:trPr>
          <w:trHeight w:val="368"/>
          <w:tblHeader/>
          <w:jc w:val="center"/>
        </w:trPr>
        <w:tc>
          <w:tcPr>
            <w:tcW w:w="2360" w:type="dxa"/>
            <w:shd w:val="clear" w:color="auto" w:fill="403152" w:themeFill="accent4" w:themeFillShade="80"/>
            <w:vAlign w:val="center"/>
          </w:tcPr>
          <w:p w14:paraId="5B92D79D" w14:textId="77777777" w:rsidR="009B11B9" w:rsidRPr="00D32289" w:rsidRDefault="009B11B9" w:rsidP="007202B3">
            <w:pPr>
              <w:spacing w:before="0" w:after="0" w:line="240" w:lineRule="auto"/>
              <w:rPr>
                <w:rFonts w:ascii="Optima" w:hAnsi="Optima"/>
                <w:b/>
                <w:bCs/>
                <w:color w:val="FFFFFF" w:themeColor="background1"/>
                <w:sz w:val="19"/>
                <w:szCs w:val="19"/>
              </w:rPr>
            </w:pPr>
            <w:r w:rsidRPr="00D32289">
              <w:rPr>
                <w:rFonts w:ascii="Optima" w:hAnsi="Optima"/>
                <w:b/>
                <w:bCs/>
                <w:color w:val="FFFFFF" w:themeColor="background1"/>
                <w:sz w:val="19"/>
                <w:szCs w:val="19"/>
              </w:rPr>
              <w:t>Milestone</w:t>
            </w:r>
          </w:p>
        </w:tc>
        <w:tc>
          <w:tcPr>
            <w:tcW w:w="1620" w:type="dxa"/>
            <w:shd w:val="clear" w:color="auto" w:fill="403152" w:themeFill="accent4" w:themeFillShade="80"/>
            <w:vAlign w:val="center"/>
          </w:tcPr>
          <w:p w14:paraId="2B668937" w14:textId="77777777" w:rsidR="009B11B9" w:rsidRPr="00D32289" w:rsidRDefault="009B11B9" w:rsidP="007202B3">
            <w:pPr>
              <w:spacing w:before="0" w:after="0" w:line="240" w:lineRule="auto"/>
              <w:jc w:val="center"/>
              <w:rPr>
                <w:rFonts w:ascii="Optima" w:hAnsi="Optima"/>
                <w:b/>
                <w:bCs/>
                <w:color w:val="FFFFFF" w:themeColor="background1"/>
                <w:sz w:val="19"/>
                <w:szCs w:val="19"/>
              </w:rPr>
            </w:pPr>
            <w:r w:rsidRPr="00D32289">
              <w:rPr>
                <w:rFonts w:ascii="Optima" w:hAnsi="Optima"/>
                <w:b/>
                <w:bCs/>
                <w:color w:val="FFFFFF" w:themeColor="background1"/>
                <w:sz w:val="19"/>
                <w:szCs w:val="19"/>
              </w:rPr>
              <w:t>Current Fidelity Score: 115-125</w:t>
            </w:r>
          </w:p>
        </w:tc>
        <w:tc>
          <w:tcPr>
            <w:tcW w:w="1620" w:type="dxa"/>
            <w:shd w:val="clear" w:color="auto" w:fill="403152" w:themeFill="accent4" w:themeFillShade="80"/>
            <w:tcMar>
              <w:top w:w="100" w:type="dxa"/>
              <w:left w:w="100" w:type="dxa"/>
              <w:bottom w:w="100" w:type="dxa"/>
              <w:right w:w="100" w:type="dxa"/>
            </w:tcMar>
            <w:vAlign w:val="center"/>
          </w:tcPr>
          <w:p w14:paraId="17AABB08" w14:textId="77777777" w:rsidR="009B11B9" w:rsidRPr="00D32289" w:rsidRDefault="009B11B9" w:rsidP="00D3434E">
            <w:pPr>
              <w:spacing w:before="0" w:after="0" w:line="240" w:lineRule="auto"/>
              <w:jc w:val="center"/>
              <w:rPr>
                <w:rFonts w:ascii="Optima" w:hAnsi="Optima"/>
                <w:b/>
                <w:bCs/>
                <w:color w:val="FFFFFF" w:themeColor="background1"/>
                <w:sz w:val="19"/>
                <w:szCs w:val="19"/>
              </w:rPr>
            </w:pPr>
            <w:r w:rsidRPr="00D32289">
              <w:rPr>
                <w:rFonts w:ascii="Optima" w:hAnsi="Optima"/>
                <w:b/>
                <w:bCs/>
                <w:color w:val="FFFFFF" w:themeColor="background1"/>
                <w:sz w:val="19"/>
                <w:szCs w:val="19"/>
              </w:rPr>
              <w:t>Current Fidelity Score: 100-114</w:t>
            </w:r>
          </w:p>
        </w:tc>
        <w:tc>
          <w:tcPr>
            <w:tcW w:w="1530" w:type="dxa"/>
            <w:shd w:val="clear" w:color="auto" w:fill="403152" w:themeFill="accent4" w:themeFillShade="80"/>
            <w:tcMar>
              <w:top w:w="100" w:type="dxa"/>
              <w:left w:w="100" w:type="dxa"/>
              <w:bottom w:w="100" w:type="dxa"/>
              <w:right w:w="100" w:type="dxa"/>
            </w:tcMar>
            <w:vAlign w:val="center"/>
          </w:tcPr>
          <w:p w14:paraId="0BD5D04A" w14:textId="77777777" w:rsidR="009B11B9" w:rsidRPr="00D32289" w:rsidRDefault="009B11B9">
            <w:pPr>
              <w:spacing w:before="0" w:after="0" w:line="240" w:lineRule="auto"/>
              <w:jc w:val="center"/>
              <w:rPr>
                <w:rFonts w:ascii="Optima" w:hAnsi="Optima"/>
                <w:b/>
                <w:bCs/>
                <w:color w:val="FFFFFF" w:themeColor="background1"/>
                <w:sz w:val="19"/>
                <w:szCs w:val="19"/>
              </w:rPr>
            </w:pPr>
            <w:r w:rsidRPr="00D32289">
              <w:rPr>
                <w:rFonts w:ascii="Optima" w:hAnsi="Optima"/>
                <w:b/>
                <w:bCs/>
                <w:color w:val="FFFFFF" w:themeColor="background1"/>
                <w:sz w:val="19"/>
                <w:szCs w:val="19"/>
              </w:rPr>
              <w:t>Current Fidelity Score: 74-99</w:t>
            </w:r>
          </w:p>
        </w:tc>
        <w:tc>
          <w:tcPr>
            <w:tcW w:w="2610" w:type="dxa"/>
            <w:shd w:val="clear" w:color="auto" w:fill="403152" w:themeFill="accent4" w:themeFillShade="80"/>
            <w:tcMar>
              <w:top w:w="100" w:type="dxa"/>
              <w:left w:w="100" w:type="dxa"/>
              <w:bottom w:w="100" w:type="dxa"/>
              <w:right w:w="100" w:type="dxa"/>
            </w:tcMar>
            <w:vAlign w:val="center"/>
          </w:tcPr>
          <w:p w14:paraId="24A46B12" w14:textId="77777777" w:rsidR="009B11B9" w:rsidRPr="00D32289" w:rsidRDefault="009B11B9">
            <w:pPr>
              <w:spacing w:before="0" w:after="0" w:line="240" w:lineRule="auto"/>
              <w:rPr>
                <w:rFonts w:ascii="Optima" w:hAnsi="Optima"/>
                <w:b/>
                <w:bCs/>
                <w:color w:val="FFFFFF" w:themeColor="background1"/>
                <w:sz w:val="19"/>
                <w:szCs w:val="19"/>
              </w:rPr>
            </w:pPr>
            <w:r w:rsidRPr="00D32289">
              <w:rPr>
                <w:rFonts w:ascii="Optima" w:hAnsi="Optima"/>
                <w:b/>
                <w:bCs/>
                <w:color w:val="FFFFFF" w:themeColor="background1"/>
                <w:sz w:val="19"/>
                <w:szCs w:val="19"/>
              </w:rPr>
              <w:t>Notes</w:t>
            </w:r>
          </w:p>
        </w:tc>
      </w:tr>
      <w:tr w:rsidR="00EA18D7" w:rsidRPr="00A34376" w14:paraId="5FF59CCE" w14:textId="77777777" w:rsidTr="004C603D">
        <w:trPr>
          <w:trHeight w:val="125"/>
          <w:tblHeader/>
          <w:jc w:val="center"/>
        </w:trPr>
        <w:tc>
          <w:tcPr>
            <w:tcW w:w="2360" w:type="dxa"/>
            <w:tcBorders>
              <w:bottom w:val="single" w:sz="2" w:space="0" w:color="BFBFBF" w:themeColor="background1" w:themeShade="BF"/>
            </w:tcBorders>
            <w:shd w:val="clear" w:color="auto" w:fill="FFFFFF" w:themeFill="background1"/>
          </w:tcPr>
          <w:p w14:paraId="378FA8BA"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Engagement</w:t>
            </w:r>
          </w:p>
        </w:tc>
        <w:tc>
          <w:tcPr>
            <w:tcW w:w="1620" w:type="dxa"/>
            <w:tcBorders>
              <w:bottom w:val="single" w:sz="2" w:space="0" w:color="BFBFBF" w:themeColor="background1" w:themeShade="BF"/>
            </w:tcBorders>
            <w:shd w:val="clear" w:color="auto" w:fill="FFFFFF" w:themeFill="background1"/>
          </w:tcPr>
          <w:p w14:paraId="1D48BC9E"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$ 260</w:t>
            </w:r>
          </w:p>
        </w:tc>
        <w:tc>
          <w:tcPr>
            <w:tcW w:w="1620" w:type="dxa"/>
            <w:tcBorders>
              <w:bottom w:val="single" w:sz="2" w:space="0" w:color="BFBFBF" w:themeColor="background1" w:themeShade="BF"/>
            </w:tcBorders>
            <w:shd w:val="clear" w:color="auto" w:fill="FFFFFF" w:themeFill="background1"/>
            <w:tcMar>
              <w:top w:w="100" w:type="dxa"/>
              <w:left w:w="100" w:type="dxa"/>
              <w:bottom w:w="100" w:type="dxa"/>
              <w:right w:w="100" w:type="dxa"/>
            </w:tcMar>
          </w:tcPr>
          <w:p w14:paraId="0A78B319"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$ 250</w:t>
            </w:r>
          </w:p>
        </w:tc>
        <w:tc>
          <w:tcPr>
            <w:tcW w:w="1530" w:type="dxa"/>
            <w:tcBorders>
              <w:bottom w:val="single" w:sz="2" w:space="0" w:color="BFBFBF" w:themeColor="background1" w:themeShade="BF"/>
            </w:tcBorders>
            <w:shd w:val="clear" w:color="auto" w:fill="FFFFFF" w:themeFill="background1"/>
            <w:tcMar>
              <w:top w:w="100" w:type="dxa"/>
              <w:left w:w="100" w:type="dxa"/>
              <w:bottom w:w="100" w:type="dxa"/>
              <w:right w:w="100" w:type="dxa"/>
            </w:tcMar>
          </w:tcPr>
          <w:p w14:paraId="537B7450"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$ 200</w:t>
            </w:r>
          </w:p>
        </w:tc>
        <w:tc>
          <w:tcPr>
            <w:tcW w:w="2610" w:type="dxa"/>
            <w:tcBorders>
              <w:bottom w:val="single" w:sz="2" w:space="0" w:color="BFBFBF" w:themeColor="background1" w:themeShade="BF"/>
            </w:tcBorders>
            <w:shd w:val="clear" w:color="auto" w:fill="FFFFFF" w:themeFill="background1"/>
            <w:tcMar>
              <w:top w:w="100" w:type="dxa"/>
              <w:left w:w="100" w:type="dxa"/>
              <w:bottom w:w="100" w:type="dxa"/>
              <w:right w:w="100" w:type="dxa"/>
            </w:tcMar>
          </w:tcPr>
          <w:p w14:paraId="4229FDAD"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Submission of Completed Engagement Smartsheet Form Required for Reimbursement.</w:t>
            </w:r>
          </w:p>
        </w:tc>
      </w:tr>
      <w:tr w:rsidR="00EA18D7" w:rsidRPr="00A34376" w14:paraId="6B71D689" w14:textId="77777777" w:rsidTr="004C603D">
        <w:trPr>
          <w:trHeight w:val="1245"/>
          <w:tblHeader/>
          <w:jc w:val="center"/>
        </w:trPr>
        <w:tc>
          <w:tcPr>
            <w:tcW w:w="236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6C8D6532"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Vocational Profile and Job Search Plan</w:t>
            </w:r>
          </w:p>
          <w:p w14:paraId="0770319E" w14:textId="77777777" w:rsidR="009B11B9" w:rsidRPr="00A34376" w:rsidRDefault="009B11B9" w:rsidP="00203E9A">
            <w:pPr>
              <w:spacing w:before="0" w:after="0" w:line="240" w:lineRule="auto"/>
              <w:rPr>
                <w:rFonts w:ascii="Optima" w:hAnsi="Optima"/>
                <w:color w:val="262626" w:themeColor="text1" w:themeTint="D9"/>
                <w:sz w:val="19"/>
                <w:szCs w:val="19"/>
              </w:rPr>
            </w:pPr>
          </w:p>
          <w:p w14:paraId="762C3703" w14:textId="77777777" w:rsidR="00DC4F27" w:rsidRPr="00A34376" w:rsidRDefault="00DC4F27" w:rsidP="00203E9A">
            <w:pPr>
              <w:spacing w:before="0" w:after="0" w:line="240" w:lineRule="auto"/>
              <w:rPr>
                <w:rFonts w:ascii="Optima" w:hAnsi="Optima"/>
                <w:color w:val="262626" w:themeColor="text1" w:themeTint="D9"/>
                <w:sz w:val="19"/>
                <w:szCs w:val="19"/>
              </w:rPr>
            </w:pPr>
          </w:p>
          <w:p w14:paraId="19476C46"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Bonus: Rapid Job Hire</w:t>
            </w:r>
          </w:p>
        </w:tc>
        <w:tc>
          <w:tcPr>
            <w:tcW w:w="162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64116868"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360</w:t>
            </w:r>
          </w:p>
          <w:p w14:paraId="0ADF59B7"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35818597"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44EECFF7" w14:textId="77777777" w:rsidR="00DC4F27" w:rsidRPr="00A34376" w:rsidRDefault="00DC4F27" w:rsidP="00203E9A">
            <w:pPr>
              <w:spacing w:before="0" w:after="0" w:line="240" w:lineRule="auto"/>
              <w:ind w:right="400"/>
              <w:rPr>
                <w:rFonts w:ascii="Optima" w:hAnsi="Optima"/>
                <w:color w:val="262626" w:themeColor="text1" w:themeTint="D9"/>
                <w:sz w:val="19"/>
                <w:szCs w:val="19"/>
              </w:rPr>
            </w:pPr>
          </w:p>
          <w:p w14:paraId="18AD15F8"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$ 840</w:t>
            </w:r>
          </w:p>
        </w:tc>
        <w:tc>
          <w:tcPr>
            <w:tcW w:w="1620" w:type="dxa"/>
            <w:tcBorders>
              <w:top w:val="single" w:sz="2" w:space="0" w:color="BFBFBF" w:themeColor="background1" w:themeShade="BF"/>
              <w:bottom w:val="single" w:sz="2" w:space="0" w:color="BFBFBF" w:themeColor="background1" w:themeShade="BF"/>
            </w:tcBorders>
            <w:shd w:val="clear" w:color="auto" w:fill="E5DFEC" w:themeFill="accent4" w:themeFillTint="33"/>
            <w:tcMar>
              <w:top w:w="100" w:type="dxa"/>
              <w:left w:w="100" w:type="dxa"/>
              <w:bottom w:w="100" w:type="dxa"/>
              <w:right w:w="100" w:type="dxa"/>
            </w:tcMar>
          </w:tcPr>
          <w:p w14:paraId="43307966"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300</w:t>
            </w:r>
          </w:p>
          <w:p w14:paraId="35AE21A3"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744D2D0C"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4FC62676" w14:textId="77777777" w:rsidR="00DC4F27" w:rsidRPr="00A34376" w:rsidRDefault="00DC4F27" w:rsidP="00203E9A">
            <w:pPr>
              <w:spacing w:before="0" w:after="0" w:line="240" w:lineRule="auto"/>
              <w:ind w:right="400"/>
              <w:rPr>
                <w:rFonts w:ascii="Optima" w:hAnsi="Optima"/>
                <w:color w:val="262626" w:themeColor="text1" w:themeTint="D9"/>
                <w:sz w:val="19"/>
                <w:szCs w:val="19"/>
              </w:rPr>
            </w:pPr>
          </w:p>
          <w:p w14:paraId="7FBE5581"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$ 800</w:t>
            </w:r>
          </w:p>
        </w:tc>
        <w:tc>
          <w:tcPr>
            <w:tcW w:w="1530" w:type="dxa"/>
            <w:tcBorders>
              <w:top w:val="single" w:sz="2" w:space="0" w:color="BFBFBF" w:themeColor="background1" w:themeShade="BF"/>
              <w:bottom w:val="single" w:sz="2" w:space="0" w:color="BFBFBF" w:themeColor="background1" w:themeShade="BF"/>
            </w:tcBorders>
            <w:shd w:val="clear" w:color="auto" w:fill="E5DFEC" w:themeFill="accent4" w:themeFillTint="33"/>
            <w:tcMar>
              <w:top w:w="100" w:type="dxa"/>
              <w:left w:w="100" w:type="dxa"/>
              <w:bottom w:w="100" w:type="dxa"/>
              <w:right w:w="100" w:type="dxa"/>
            </w:tcMar>
          </w:tcPr>
          <w:p w14:paraId="43E3317F"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000</w:t>
            </w:r>
          </w:p>
          <w:p w14:paraId="7DEEA3E2"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xml:space="preserve"> </w:t>
            </w:r>
          </w:p>
          <w:p w14:paraId="471211A2" w14:textId="77777777" w:rsidR="009B11B9" w:rsidRPr="00A34376" w:rsidRDefault="009B11B9" w:rsidP="00203E9A">
            <w:pPr>
              <w:spacing w:before="0" w:after="0" w:line="240" w:lineRule="auto"/>
              <w:ind w:right="400"/>
              <w:rPr>
                <w:rFonts w:ascii="Optima" w:hAnsi="Optima"/>
                <w:color w:val="262626" w:themeColor="text1" w:themeTint="D9"/>
                <w:sz w:val="19"/>
                <w:szCs w:val="19"/>
              </w:rPr>
            </w:pPr>
          </w:p>
          <w:p w14:paraId="1B3B497F" w14:textId="77777777" w:rsidR="00DC4F27" w:rsidRPr="00A34376" w:rsidRDefault="00DC4F27" w:rsidP="00203E9A">
            <w:pPr>
              <w:spacing w:before="0" w:after="0" w:line="240" w:lineRule="auto"/>
              <w:ind w:right="400"/>
              <w:jc w:val="right"/>
              <w:rPr>
                <w:rFonts w:ascii="Optima" w:hAnsi="Optima"/>
                <w:color w:val="262626" w:themeColor="text1" w:themeTint="D9"/>
                <w:sz w:val="19"/>
                <w:szCs w:val="19"/>
              </w:rPr>
            </w:pPr>
          </w:p>
          <w:p w14:paraId="4C7F5837"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$ 600</w:t>
            </w:r>
          </w:p>
        </w:tc>
        <w:tc>
          <w:tcPr>
            <w:tcW w:w="2610" w:type="dxa"/>
            <w:tcBorders>
              <w:top w:val="single" w:sz="2" w:space="0" w:color="BFBFBF" w:themeColor="background1" w:themeShade="BF"/>
              <w:bottom w:val="single" w:sz="2" w:space="0" w:color="BFBFBF" w:themeColor="background1" w:themeShade="BF"/>
            </w:tcBorders>
            <w:shd w:val="clear" w:color="auto" w:fill="E5DFEC" w:themeFill="accent4" w:themeFillTint="33"/>
            <w:tcMar>
              <w:top w:w="100" w:type="dxa"/>
              <w:left w:w="100" w:type="dxa"/>
              <w:bottom w:w="100" w:type="dxa"/>
              <w:right w:w="100" w:type="dxa"/>
            </w:tcMar>
          </w:tcPr>
          <w:p w14:paraId="4C680FF8"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Submission of Completed Vocational Profile and Job Search Plan Smartsheet Form Required for Reimbursement.</w:t>
            </w:r>
          </w:p>
          <w:p w14:paraId="4F397CB4"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No Job Placement Service Necessary.</w:t>
            </w:r>
          </w:p>
        </w:tc>
      </w:tr>
      <w:tr w:rsidR="00EA18D7" w:rsidRPr="00A34376" w14:paraId="585F4B37" w14:textId="77777777" w:rsidTr="004C603D">
        <w:trPr>
          <w:trHeight w:val="1623"/>
          <w:tblHeader/>
          <w:jc w:val="center"/>
        </w:trPr>
        <w:tc>
          <w:tcPr>
            <w:tcW w:w="2360" w:type="dxa"/>
            <w:tcBorders>
              <w:top w:val="single" w:sz="2" w:space="0" w:color="BFBFBF" w:themeColor="background1" w:themeShade="BF"/>
              <w:bottom w:val="single" w:sz="2" w:space="0" w:color="BFBFBF" w:themeColor="background1" w:themeShade="BF"/>
            </w:tcBorders>
            <w:shd w:val="clear" w:color="auto" w:fill="FFFFFF" w:themeFill="background1"/>
          </w:tcPr>
          <w:p w14:paraId="09403B1C"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Job Placement: 14 Days</w:t>
            </w:r>
          </w:p>
          <w:p w14:paraId="00286609" w14:textId="77777777" w:rsidR="009B11B9" w:rsidRPr="00A34376" w:rsidRDefault="009B11B9" w:rsidP="00203E9A">
            <w:pPr>
              <w:spacing w:before="0" w:after="0" w:line="240" w:lineRule="auto"/>
              <w:rPr>
                <w:rFonts w:ascii="Optima" w:hAnsi="Optima"/>
                <w:color w:val="262626" w:themeColor="text1" w:themeTint="D9"/>
                <w:sz w:val="19"/>
                <w:szCs w:val="19"/>
              </w:rPr>
            </w:pPr>
          </w:p>
          <w:p w14:paraId="28DF17FA" w14:textId="77777777" w:rsidR="009B11B9" w:rsidRPr="00A34376" w:rsidRDefault="009B11B9" w:rsidP="00203E9A">
            <w:pPr>
              <w:spacing w:before="0" w:after="0" w:line="240" w:lineRule="auto"/>
              <w:rPr>
                <w:rFonts w:ascii="Optima" w:hAnsi="Optima"/>
                <w:color w:val="262626" w:themeColor="text1" w:themeTint="D9"/>
                <w:sz w:val="19"/>
                <w:szCs w:val="19"/>
              </w:rPr>
            </w:pPr>
          </w:p>
          <w:p w14:paraId="11A787D9" w14:textId="77777777" w:rsidR="009B11B9" w:rsidRPr="00A34376" w:rsidRDefault="009B11B9" w:rsidP="00203E9A">
            <w:pPr>
              <w:spacing w:before="0" w:after="0" w:line="240" w:lineRule="auto"/>
              <w:rPr>
                <w:rFonts w:ascii="Optima" w:hAnsi="Optima"/>
                <w:color w:val="262626" w:themeColor="text1" w:themeTint="D9"/>
                <w:sz w:val="19"/>
                <w:szCs w:val="19"/>
              </w:rPr>
            </w:pPr>
          </w:p>
          <w:p w14:paraId="63135045" w14:textId="18959689"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Bonus: Wage is $</w:t>
            </w:r>
            <w:r w:rsidR="00FD52CC">
              <w:rPr>
                <w:rFonts w:ascii="Optima" w:hAnsi="Optima"/>
                <w:color w:val="262626" w:themeColor="text1" w:themeTint="D9"/>
                <w:sz w:val="19"/>
                <w:szCs w:val="19"/>
              </w:rPr>
              <w:t xml:space="preserve">13 per </w:t>
            </w:r>
            <w:r w:rsidR="00FD52CC" w:rsidRPr="00A34376">
              <w:rPr>
                <w:rFonts w:ascii="Optima" w:hAnsi="Optima"/>
                <w:color w:val="262626" w:themeColor="text1" w:themeTint="D9"/>
                <w:sz w:val="19"/>
                <w:szCs w:val="19"/>
              </w:rPr>
              <w:t>h</w:t>
            </w:r>
            <w:r w:rsidR="00FD52CC">
              <w:rPr>
                <w:rFonts w:ascii="Optima" w:hAnsi="Optima"/>
                <w:color w:val="262626" w:themeColor="text1" w:themeTint="D9"/>
                <w:sz w:val="19"/>
                <w:szCs w:val="19"/>
              </w:rPr>
              <w:t>ou</w:t>
            </w:r>
            <w:r w:rsidR="00FD52CC" w:rsidRPr="00A34376">
              <w:rPr>
                <w:rFonts w:ascii="Optima" w:hAnsi="Optima"/>
                <w:color w:val="262626" w:themeColor="text1" w:themeTint="D9"/>
                <w:sz w:val="19"/>
                <w:szCs w:val="19"/>
              </w:rPr>
              <w:t>r</w:t>
            </w:r>
            <w:r w:rsidR="00FD52CC">
              <w:rPr>
                <w:rFonts w:ascii="Optima" w:hAnsi="Optima"/>
                <w:color w:val="262626" w:themeColor="text1" w:themeTint="D9"/>
                <w:sz w:val="19"/>
                <w:szCs w:val="19"/>
              </w:rPr>
              <w:t xml:space="preserve"> or above</w:t>
            </w:r>
          </w:p>
        </w:tc>
        <w:tc>
          <w:tcPr>
            <w:tcW w:w="1620" w:type="dxa"/>
            <w:tcBorders>
              <w:top w:val="single" w:sz="2" w:space="0" w:color="BFBFBF" w:themeColor="background1" w:themeShade="BF"/>
              <w:bottom w:val="single" w:sz="2" w:space="0" w:color="BFBFBF" w:themeColor="background1" w:themeShade="BF"/>
            </w:tcBorders>
            <w:shd w:val="clear" w:color="auto" w:fill="FFFFFF" w:themeFill="background1"/>
          </w:tcPr>
          <w:p w14:paraId="76FB48FF"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$ 3</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310</w:t>
            </w:r>
          </w:p>
          <w:p w14:paraId="212C47FD"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3AD2775F"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373A55C6" w14:textId="77777777" w:rsidR="009B11B9" w:rsidRPr="00A34376" w:rsidRDefault="009B11B9" w:rsidP="00203E9A">
            <w:pPr>
              <w:spacing w:before="0" w:after="0" w:line="240" w:lineRule="auto"/>
              <w:ind w:right="400"/>
              <w:rPr>
                <w:rFonts w:ascii="Optima" w:hAnsi="Optima"/>
                <w:color w:val="262626" w:themeColor="text1" w:themeTint="D9"/>
                <w:sz w:val="19"/>
                <w:szCs w:val="19"/>
              </w:rPr>
            </w:pPr>
          </w:p>
          <w:p w14:paraId="53F953BC"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$ 645</w:t>
            </w:r>
          </w:p>
        </w:tc>
        <w:tc>
          <w:tcPr>
            <w:tcW w:w="1620" w:type="dxa"/>
            <w:tcBorders>
              <w:top w:val="single" w:sz="2" w:space="0" w:color="BFBFBF" w:themeColor="background1" w:themeShade="BF"/>
              <w:bottom w:val="single" w:sz="2" w:space="0" w:color="BFBFBF" w:themeColor="background1" w:themeShade="BF"/>
            </w:tcBorders>
            <w:shd w:val="clear" w:color="auto" w:fill="FFFFFF" w:themeFill="background1"/>
            <w:tcMar>
              <w:top w:w="100" w:type="dxa"/>
              <w:left w:w="100" w:type="dxa"/>
              <w:bottom w:w="100" w:type="dxa"/>
              <w:right w:w="100" w:type="dxa"/>
            </w:tcMar>
          </w:tcPr>
          <w:p w14:paraId="1F0E4617"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$ 3</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200</w:t>
            </w:r>
          </w:p>
          <w:p w14:paraId="01A39E53"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7CFD91F1"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26D4C8CF" w14:textId="77777777" w:rsidR="009B11B9" w:rsidRPr="00A34376" w:rsidRDefault="009B11B9" w:rsidP="00203E9A">
            <w:pPr>
              <w:spacing w:before="0" w:after="0" w:line="240" w:lineRule="auto"/>
              <w:ind w:right="400"/>
              <w:rPr>
                <w:rFonts w:ascii="Optima" w:hAnsi="Optima"/>
                <w:color w:val="262626" w:themeColor="text1" w:themeTint="D9"/>
                <w:sz w:val="19"/>
                <w:szCs w:val="19"/>
              </w:rPr>
            </w:pPr>
          </w:p>
          <w:p w14:paraId="4C286EC3"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$ 600</w:t>
            </w:r>
          </w:p>
        </w:tc>
        <w:tc>
          <w:tcPr>
            <w:tcW w:w="1530" w:type="dxa"/>
            <w:tcBorders>
              <w:top w:val="single" w:sz="2" w:space="0" w:color="BFBFBF" w:themeColor="background1" w:themeShade="BF"/>
              <w:bottom w:val="single" w:sz="2" w:space="0" w:color="BFBFBF" w:themeColor="background1" w:themeShade="BF"/>
            </w:tcBorders>
            <w:shd w:val="clear" w:color="auto" w:fill="FFFFFF" w:themeFill="background1"/>
            <w:tcMar>
              <w:top w:w="100" w:type="dxa"/>
              <w:left w:w="100" w:type="dxa"/>
              <w:bottom w:w="100" w:type="dxa"/>
              <w:right w:w="100" w:type="dxa"/>
            </w:tcMar>
          </w:tcPr>
          <w:p w14:paraId="462E0635"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$ 2</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600</w:t>
            </w:r>
          </w:p>
          <w:p w14:paraId="6EB0F126"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15202D1A"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0E6F0050" w14:textId="77777777" w:rsidR="009B11B9" w:rsidRPr="00A34376" w:rsidRDefault="009B11B9" w:rsidP="00203E9A">
            <w:pPr>
              <w:spacing w:before="0" w:after="0" w:line="240" w:lineRule="auto"/>
              <w:ind w:right="400"/>
              <w:rPr>
                <w:rFonts w:ascii="Optima" w:hAnsi="Optima"/>
                <w:color w:val="262626" w:themeColor="text1" w:themeTint="D9"/>
                <w:sz w:val="19"/>
                <w:szCs w:val="19"/>
              </w:rPr>
            </w:pPr>
          </w:p>
          <w:p w14:paraId="536BA393"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$ 400</w:t>
            </w:r>
          </w:p>
        </w:tc>
        <w:tc>
          <w:tcPr>
            <w:tcW w:w="2610" w:type="dxa"/>
            <w:tcBorders>
              <w:top w:val="single" w:sz="2" w:space="0" w:color="BFBFBF" w:themeColor="background1" w:themeShade="BF"/>
              <w:bottom w:val="single" w:sz="2" w:space="0" w:color="BFBFBF" w:themeColor="background1" w:themeShade="BF"/>
            </w:tcBorders>
            <w:shd w:val="clear" w:color="auto" w:fill="FFFFFF" w:themeFill="background1"/>
            <w:tcMar>
              <w:top w:w="100" w:type="dxa"/>
              <w:left w:w="100" w:type="dxa"/>
              <w:bottom w:w="100" w:type="dxa"/>
              <w:right w:w="100" w:type="dxa"/>
            </w:tcMar>
          </w:tcPr>
          <w:p w14:paraId="636F262D"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Submission of Completed Job Placement Form Required for Reimbursement. Paid after 14 days on the job.</w:t>
            </w:r>
          </w:p>
          <w:p w14:paraId="3A187C24" w14:textId="32EC3893"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Bonus Reimbursement:</w:t>
            </w:r>
            <w:r w:rsidR="007C4501" w:rsidRPr="00A34376">
              <w:rPr>
                <w:rFonts w:ascii="Optima" w:hAnsi="Optima"/>
                <w:color w:val="262626" w:themeColor="text1" w:themeTint="D9"/>
                <w:sz w:val="19"/>
                <w:szCs w:val="19"/>
              </w:rPr>
              <w:br/>
            </w:r>
            <w:r w:rsidRPr="00A34376">
              <w:rPr>
                <w:rFonts w:ascii="Optima" w:hAnsi="Optima"/>
                <w:color w:val="262626" w:themeColor="text1" w:themeTint="D9"/>
                <w:sz w:val="19"/>
                <w:szCs w:val="19"/>
              </w:rPr>
              <w:t>Paid if employee’s wage</w:t>
            </w:r>
            <w:r w:rsidR="00203E9A" w:rsidRPr="00A34376">
              <w:rPr>
                <w:rFonts w:ascii="Optima" w:hAnsi="Optima"/>
                <w:color w:val="262626" w:themeColor="text1" w:themeTint="D9"/>
                <w:sz w:val="19"/>
                <w:szCs w:val="19"/>
              </w:rPr>
              <w:t xml:space="preserve"> is</w:t>
            </w:r>
            <w:r w:rsidRPr="00A34376">
              <w:rPr>
                <w:rFonts w:ascii="Optima" w:hAnsi="Optima"/>
                <w:color w:val="262626" w:themeColor="text1" w:themeTint="D9"/>
                <w:sz w:val="19"/>
                <w:szCs w:val="19"/>
              </w:rPr>
              <w:t xml:space="preserve"> </w:t>
            </w:r>
            <w:r w:rsidR="007C4501" w:rsidRPr="00A34376">
              <w:rPr>
                <w:rFonts w:ascii="Optima" w:hAnsi="Optima"/>
                <w:color w:val="262626" w:themeColor="text1" w:themeTint="D9"/>
                <w:sz w:val="19"/>
                <w:szCs w:val="19"/>
              </w:rPr>
              <w:br/>
            </w:r>
            <w:r w:rsidRPr="00A34376">
              <w:rPr>
                <w:rFonts w:ascii="Optima" w:hAnsi="Optima"/>
                <w:color w:val="262626" w:themeColor="text1" w:themeTint="D9"/>
                <w:sz w:val="19"/>
                <w:szCs w:val="19"/>
              </w:rPr>
              <w:t>$13</w:t>
            </w:r>
            <w:r w:rsidR="00FD52CC">
              <w:rPr>
                <w:rFonts w:ascii="Optima" w:hAnsi="Optima"/>
                <w:color w:val="262626" w:themeColor="text1" w:themeTint="D9"/>
                <w:sz w:val="19"/>
                <w:szCs w:val="19"/>
              </w:rPr>
              <w:t xml:space="preserve"> per </w:t>
            </w:r>
            <w:r w:rsidR="00FD52CC" w:rsidRPr="00A34376">
              <w:rPr>
                <w:rFonts w:ascii="Optima" w:hAnsi="Optima"/>
                <w:color w:val="262626" w:themeColor="text1" w:themeTint="D9"/>
                <w:sz w:val="19"/>
                <w:szCs w:val="19"/>
              </w:rPr>
              <w:t>h</w:t>
            </w:r>
            <w:r w:rsidR="00FD52CC">
              <w:rPr>
                <w:rFonts w:ascii="Optima" w:hAnsi="Optima"/>
                <w:color w:val="262626" w:themeColor="text1" w:themeTint="D9"/>
                <w:sz w:val="19"/>
                <w:szCs w:val="19"/>
              </w:rPr>
              <w:t>ou</w:t>
            </w:r>
            <w:r w:rsidR="00FD52CC" w:rsidRPr="00A34376">
              <w:rPr>
                <w:rFonts w:ascii="Optima" w:hAnsi="Optima"/>
                <w:color w:val="262626" w:themeColor="text1" w:themeTint="D9"/>
                <w:sz w:val="19"/>
                <w:szCs w:val="19"/>
              </w:rPr>
              <w:t xml:space="preserve">r </w:t>
            </w:r>
            <w:r w:rsidRPr="00A34376">
              <w:rPr>
                <w:rFonts w:ascii="Optima" w:hAnsi="Optima"/>
                <w:color w:val="262626" w:themeColor="text1" w:themeTint="D9"/>
                <w:sz w:val="19"/>
                <w:szCs w:val="19"/>
              </w:rPr>
              <w:t>or above.</w:t>
            </w:r>
          </w:p>
        </w:tc>
      </w:tr>
      <w:tr w:rsidR="00EA18D7" w:rsidRPr="00A34376" w14:paraId="548C7766" w14:textId="77777777" w:rsidTr="004C603D">
        <w:trPr>
          <w:trHeight w:val="1515"/>
          <w:tblHeader/>
          <w:jc w:val="center"/>
        </w:trPr>
        <w:tc>
          <w:tcPr>
            <w:tcW w:w="236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5AD56A86"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Job Retention: 120 Days</w:t>
            </w:r>
          </w:p>
          <w:p w14:paraId="486485F3" w14:textId="77777777" w:rsidR="009B11B9" w:rsidRPr="00A34376" w:rsidRDefault="009B11B9" w:rsidP="00203E9A">
            <w:pPr>
              <w:spacing w:before="0" w:after="0" w:line="240" w:lineRule="auto"/>
              <w:rPr>
                <w:rFonts w:ascii="Optima" w:hAnsi="Optima"/>
                <w:color w:val="262626" w:themeColor="text1" w:themeTint="D9"/>
                <w:sz w:val="19"/>
                <w:szCs w:val="19"/>
              </w:rPr>
            </w:pPr>
          </w:p>
          <w:p w14:paraId="53738B00"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30+ hours a week</w:t>
            </w:r>
          </w:p>
          <w:p w14:paraId="12A86308" w14:textId="77777777" w:rsidR="009B11B9" w:rsidRPr="00A34376" w:rsidRDefault="009B11B9" w:rsidP="00203E9A">
            <w:pPr>
              <w:spacing w:before="0" w:after="0" w:line="240" w:lineRule="auto"/>
              <w:rPr>
                <w:rFonts w:ascii="Optima" w:hAnsi="Optima"/>
                <w:color w:val="262626" w:themeColor="text1" w:themeTint="D9"/>
                <w:sz w:val="19"/>
                <w:szCs w:val="19"/>
              </w:rPr>
            </w:pPr>
          </w:p>
          <w:p w14:paraId="60EBF030"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20-30 hours a week</w:t>
            </w:r>
          </w:p>
          <w:p w14:paraId="566A49D0" w14:textId="77777777" w:rsidR="009B11B9" w:rsidRPr="00A34376" w:rsidRDefault="009B11B9" w:rsidP="00203E9A">
            <w:pPr>
              <w:spacing w:before="0" w:after="0" w:line="240" w:lineRule="auto"/>
              <w:rPr>
                <w:rFonts w:ascii="Optima" w:hAnsi="Optima"/>
                <w:color w:val="262626" w:themeColor="text1" w:themeTint="D9"/>
                <w:sz w:val="19"/>
                <w:szCs w:val="19"/>
              </w:rPr>
            </w:pPr>
          </w:p>
          <w:p w14:paraId="469E8B60"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&lt;20 hours a week</w:t>
            </w:r>
          </w:p>
        </w:tc>
        <w:tc>
          <w:tcPr>
            <w:tcW w:w="1620" w:type="dxa"/>
            <w:tcBorders>
              <w:top w:val="single" w:sz="2" w:space="0" w:color="BFBFBF" w:themeColor="background1" w:themeShade="BF"/>
              <w:bottom w:val="single" w:sz="2" w:space="0" w:color="BFBFBF" w:themeColor="background1" w:themeShade="BF"/>
            </w:tcBorders>
            <w:shd w:val="clear" w:color="auto" w:fill="E5DFEC" w:themeFill="accent4" w:themeFillTint="33"/>
          </w:tcPr>
          <w:p w14:paraId="4B55C169"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33E9A353"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252B7A40"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655</w:t>
            </w:r>
          </w:p>
          <w:p w14:paraId="0FFDAD96"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11F92026"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260</w:t>
            </w:r>
          </w:p>
          <w:p w14:paraId="1D52FE51"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13F318DC"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$ 970</w:t>
            </w:r>
          </w:p>
        </w:tc>
        <w:tc>
          <w:tcPr>
            <w:tcW w:w="1620" w:type="dxa"/>
            <w:tcBorders>
              <w:top w:val="single" w:sz="2" w:space="0" w:color="BFBFBF" w:themeColor="background1" w:themeShade="BF"/>
              <w:bottom w:val="single" w:sz="2" w:space="0" w:color="BFBFBF" w:themeColor="background1" w:themeShade="BF"/>
            </w:tcBorders>
            <w:shd w:val="clear" w:color="auto" w:fill="E5DFEC" w:themeFill="accent4" w:themeFillTint="33"/>
            <w:tcMar>
              <w:top w:w="100" w:type="dxa"/>
              <w:left w:w="100" w:type="dxa"/>
              <w:bottom w:w="100" w:type="dxa"/>
              <w:right w:w="100" w:type="dxa"/>
            </w:tcMar>
          </w:tcPr>
          <w:p w14:paraId="700D6292"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4C8B7326"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1CCD593D"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600</w:t>
            </w:r>
          </w:p>
          <w:p w14:paraId="0CE54A3C"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535DA7CD"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200</w:t>
            </w:r>
          </w:p>
          <w:p w14:paraId="4AFB52AA"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269F32E1"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$ 900</w:t>
            </w:r>
          </w:p>
        </w:tc>
        <w:tc>
          <w:tcPr>
            <w:tcW w:w="1530" w:type="dxa"/>
            <w:tcBorders>
              <w:top w:val="single" w:sz="2" w:space="0" w:color="BFBFBF" w:themeColor="background1" w:themeShade="BF"/>
              <w:bottom w:val="single" w:sz="2" w:space="0" w:color="BFBFBF" w:themeColor="background1" w:themeShade="BF"/>
            </w:tcBorders>
            <w:shd w:val="clear" w:color="auto" w:fill="E5DFEC" w:themeFill="accent4" w:themeFillTint="33"/>
            <w:tcMar>
              <w:top w:w="100" w:type="dxa"/>
              <w:left w:w="100" w:type="dxa"/>
              <w:bottom w:w="100" w:type="dxa"/>
              <w:right w:w="100" w:type="dxa"/>
            </w:tcMar>
          </w:tcPr>
          <w:p w14:paraId="446FA386"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09E137F4"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202C512D"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300</w:t>
            </w:r>
          </w:p>
          <w:p w14:paraId="5F32F467"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40D6F114"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$ 900</w:t>
            </w:r>
          </w:p>
          <w:p w14:paraId="10EB680E"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p>
          <w:p w14:paraId="3203A81E" w14:textId="77777777" w:rsidR="009B11B9" w:rsidRPr="00A34376" w:rsidRDefault="009B11B9" w:rsidP="00203E9A">
            <w:pPr>
              <w:spacing w:before="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$ 600</w:t>
            </w:r>
          </w:p>
        </w:tc>
        <w:tc>
          <w:tcPr>
            <w:tcW w:w="2610" w:type="dxa"/>
            <w:tcBorders>
              <w:top w:val="single" w:sz="2" w:space="0" w:color="BFBFBF" w:themeColor="background1" w:themeShade="BF"/>
              <w:bottom w:val="single" w:sz="2" w:space="0" w:color="BFBFBF" w:themeColor="background1" w:themeShade="BF"/>
            </w:tcBorders>
            <w:shd w:val="clear" w:color="auto" w:fill="E5DFEC" w:themeFill="accent4" w:themeFillTint="33"/>
            <w:tcMar>
              <w:top w:w="100" w:type="dxa"/>
              <w:left w:w="100" w:type="dxa"/>
              <w:bottom w:w="100" w:type="dxa"/>
              <w:right w:w="100" w:type="dxa"/>
            </w:tcMar>
          </w:tcPr>
          <w:p w14:paraId="5155683B" w14:textId="77777777" w:rsidR="009B11B9" w:rsidRPr="00A34376" w:rsidRDefault="009B11B9" w:rsidP="00203E9A">
            <w:pPr>
              <w:spacing w:before="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Submission of Completed Job Retention Form Required for Reimbursement. Reimbursement Paid after 120 days on the job.</w:t>
            </w:r>
          </w:p>
        </w:tc>
      </w:tr>
      <w:tr w:rsidR="00EA18D7" w:rsidRPr="00A34376" w14:paraId="753BCC21" w14:textId="77777777" w:rsidTr="004C603D">
        <w:trPr>
          <w:trHeight w:val="1236"/>
          <w:tblHeader/>
          <w:jc w:val="center"/>
        </w:trPr>
        <w:tc>
          <w:tcPr>
            <w:tcW w:w="2360" w:type="dxa"/>
            <w:tcBorders>
              <w:top w:val="single" w:sz="2" w:space="0" w:color="BFBFBF" w:themeColor="background1" w:themeShade="BF"/>
              <w:bottom w:val="single" w:sz="2" w:space="0" w:color="BFBFBF" w:themeColor="background1" w:themeShade="BF"/>
            </w:tcBorders>
            <w:shd w:val="clear" w:color="auto" w:fill="FFFFFF" w:themeFill="background1"/>
          </w:tcPr>
          <w:p w14:paraId="2BCD6756" w14:textId="105446EF" w:rsidR="009B11B9" w:rsidRPr="00A34376" w:rsidRDefault="009B11B9" w:rsidP="005C15E2">
            <w:pPr>
              <w:spacing w:before="2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 xml:space="preserve">Job Leave and Re-employment Within 90 </w:t>
            </w:r>
            <w:r w:rsidR="00FD52CC">
              <w:rPr>
                <w:rFonts w:ascii="Optima" w:hAnsi="Optima"/>
                <w:color w:val="262626" w:themeColor="text1" w:themeTint="D9"/>
                <w:sz w:val="19"/>
                <w:szCs w:val="19"/>
              </w:rPr>
              <w:t>d</w:t>
            </w:r>
            <w:r w:rsidRPr="00A34376">
              <w:rPr>
                <w:rFonts w:ascii="Optima" w:hAnsi="Optima"/>
                <w:color w:val="262626" w:themeColor="text1" w:themeTint="D9"/>
                <w:sz w:val="19"/>
                <w:szCs w:val="19"/>
              </w:rPr>
              <w:t>ays of Leave Date</w:t>
            </w:r>
          </w:p>
          <w:p w14:paraId="25E874E6" w14:textId="21278FB6" w:rsidR="009B11B9" w:rsidRPr="00A34376" w:rsidRDefault="009B11B9" w:rsidP="00442FE9">
            <w:pPr>
              <w:spacing w:before="4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Re-employment Bonus: Wage is $13</w:t>
            </w:r>
            <w:r w:rsidR="00FD52CC">
              <w:rPr>
                <w:rFonts w:ascii="Optima" w:hAnsi="Optima"/>
                <w:color w:val="262626" w:themeColor="text1" w:themeTint="D9"/>
                <w:sz w:val="19"/>
                <w:szCs w:val="19"/>
              </w:rPr>
              <w:t xml:space="preserve"> per </w:t>
            </w:r>
            <w:r w:rsidRPr="00A34376">
              <w:rPr>
                <w:rFonts w:ascii="Optima" w:hAnsi="Optima"/>
                <w:color w:val="262626" w:themeColor="text1" w:themeTint="D9"/>
                <w:sz w:val="19"/>
                <w:szCs w:val="19"/>
              </w:rPr>
              <w:t>h</w:t>
            </w:r>
            <w:r w:rsidR="00FD52CC">
              <w:rPr>
                <w:rFonts w:ascii="Optima" w:hAnsi="Optima"/>
                <w:color w:val="262626" w:themeColor="text1" w:themeTint="D9"/>
                <w:sz w:val="19"/>
                <w:szCs w:val="19"/>
              </w:rPr>
              <w:t>ou</w:t>
            </w:r>
            <w:r w:rsidRPr="00A34376">
              <w:rPr>
                <w:rFonts w:ascii="Optima" w:hAnsi="Optima"/>
                <w:color w:val="262626" w:themeColor="text1" w:themeTint="D9"/>
                <w:sz w:val="19"/>
                <w:szCs w:val="19"/>
              </w:rPr>
              <w:t>r or above</w:t>
            </w:r>
          </w:p>
        </w:tc>
        <w:tc>
          <w:tcPr>
            <w:tcW w:w="1620" w:type="dxa"/>
            <w:tcBorders>
              <w:top w:val="single" w:sz="2" w:space="0" w:color="BFBFBF" w:themeColor="background1" w:themeShade="BF"/>
              <w:bottom w:val="single" w:sz="2" w:space="0" w:color="BFBFBF" w:themeColor="background1" w:themeShade="BF"/>
            </w:tcBorders>
            <w:shd w:val="clear" w:color="auto" w:fill="FFFFFF" w:themeFill="background1"/>
          </w:tcPr>
          <w:p w14:paraId="61D9729F"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040</w:t>
            </w:r>
          </w:p>
          <w:p w14:paraId="6E0F3126"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p>
          <w:p w14:paraId="57DD7484"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p>
          <w:p w14:paraId="7FEAD424" w14:textId="32783A69" w:rsidR="009B11B9" w:rsidRPr="00A34376" w:rsidRDefault="009B11B9" w:rsidP="00442FE9">
            <w:pPr>
              <w:spacing w:before="4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w:t>
            </w:r>
            <w:r w:rsidR="00442FE9"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550</w:t>
            </w:r>
          </w:p>
        </w:tc>
        <w:tc>
          <w:tcPr>
            <w:tcW w:w="1620" w:type="dxa"/>
            <w:tcBorders>
              <w:top w:val="single" w:sz="2" w:space="0" w:color="BFBFBF" w:themeColor="background1" w:themeShade="BF"/>
              <w:bottom w:val="single" w:sz="2" w:space="0" w:color="BFBFBF" w:themeColor="background1" w:themeShade="BF"/>
            </w:tcBorders>
            <w:shd w:val="clear" w:color="auto" w:fill="FFFFFF" w:themeFill="background1"/>
            <w:tcMar>
              <w:top w:w="100" w:type="dxa"/>
              <w:left w:w="100" w:type="dxa"/>
              <w:bottom w:w="100" w:type="dxa"/>
              <w:right w:w="100" w:type="dxa"/>
            </w:tcMar>
          </w:tcPr>
          <w:p w14:paraId="6ED955DF"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$ 1</w:t>
            </w:r>
            <w:r w:rsidR="007C4501" w:rsidRPr="00A34376">
              <w:rPr>
                <w:rFonts w:ascii="Optima" w:hAnsi="Optima"/>
                <w:color w:val="262626" w:themeColor="text1" w:themeTint="D9"/>
                <w:sz w:val="19"/>
                <w:szCs w:val="19"/>
              </w:rPr>
              <w:t>,</w:t>
            </w:r>
            <w:r w:rsidRPr="00A34376">
              <w:rPr>
                <w:rFonts w:ascii="Optima" w:hAnsi="Optima"/>
                <w:color w:val="262626" w:themeColor="text1" w:themeTint="D9"/>
                <w:sz w:val="19"/>
                <w:szCs w:val="19"/>
              </w:rPr>
              <w:t>000</w:t>
            </w:r>
          </w:p>
          <w:p w14:paraId="22C04253"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p>
          <w:p w14:paraId="44BD3CCC"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p>
          <w:p w14:paraId="40B9EC19" w14:textId="77777777" w:rsidR="009B11B9" w:rsidRPr="00A34376" w:rsidRDefault="009B11B9" w:rsidP="00442FE9">
            <w:pPr>
              <w:spacing w:before="4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$ 500</w:t>
            </w:r>
          </w:p>
        </w:tc>
        <w:tc>
          <w:tcPr>
            <w:tcW w:w="1530" w:type="dxa"/>
            <w:tcBorders>
              <w:top w:val="single" w:sz="2" w:space="0" w:color="BFBFBF" w:themeColor="background1" w:themeShade="BF"/>
              <w:bottom w:val="single" w:sz="2" w:space="0" w:color="BFBFBF" w:themeColor="background1" w:themeShade="BF"/>
            </w:tcBorders>
            <w:shd w:val="clear" w:color="auto" w:fill="FFFFFF" w:themeFill="background1"/>
            <w:tcMar>
              <w:top w:w="100" w:type="dxa"/>
              <w:left w:w="100" w:type="dxa"/>
              <w:bottom w:w="100" w:type="dxa"/>
              <w:right w:w="100" w:type="dxa"/>
            </w:tcMar>
          </w:tcPr>
          <w:p w14:paraId="37A33FA4"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$ 800</w:t>
            </w:r>
          </w:p>
          <w:p w14:paraId="0CCD5823"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p>
          <w:p w14:paraId="3CBAFD39" w14:textId="77777777" w:rsidR="009B11B9" w:rsidRPr="00A34376" w:rsidRDefault="009B11B9" w:rsidP="005C15E2">
            <w:pPr>
              <w:spacing w:before="20" w:after="0" w:line="240" w:lineRule="auto"/>
              <w:ind w:right="400"/>
              <w:jc w:val="right"/>
              <w:rPr>
                <w:rFonts w:ascii="Optima" w:hAnsi="Optima"/>
                <w:color w:val="262626" w:themeColor="text1" w:themeTint="D9"/>
                <w:sz w:val="19"/>
                <w:szCs w:val="19"/>
              </w:rPr>
            </w:pPr>
          </w:p>
          <w:p w14:paraId="24E4AA23" w14:textId="77777777" w:rsidR="009B11B9" w:rsidRPr="00A34376" w:rsidRDefault="009B11B9" w:rsidP="00442FE9">
            <w:pPr>
              <w:spacing w:before="40" w:after="0" w:line="240" w:lineRule="auto"/>
              <w:ind w:right="400"/>
              <w:jc w:val="right"/>
              <w:rPr>
                <w:rFonts w:ascii="Optima" w:hAnsi="Optima"/>
                <w:color w:val="262626" w:themeColor="text1" w:themeTint="D9"/>
                <w:sz w:val="19"/>
                <w:szCs w:val="19"/>
              </w:rPr>
            </w:pPr>
            <w:r w:rsidRPr="00A34376">
              <w:rPr>
                <w:rFonts w:ascii="Optima" w:hAnsi="Optima"/>
                <w:color w:val="262626" w:themeColor="text1" w:themeTint="D9"/>
                <w:sz w:val="19"/>
                <w:szCs w:val="19"/>
              </w:rPr>
              <w:t>$ 300</w:t>
            </w:r>
          </w:p>
        </w:tc>
        <w:tc>
          <w:tcPr>
            <w:tcW w:w="2610" w:type="dxa"/>
            <w:tcBorders>
              <w:top w:val="single" w:sz="2" w:space="0" w:color="BFBFBF" w:themeColor="background1" w:themeShade="BF"/>
              <w:bottom w:val="single" w:sz="2" w:space="0" w:color="BFBFBF" w:themeColor="background1" w:themeShade="BF"/>
            </w:tcBorders>
            <w:shd w:val="clear" w:color="auto" w:fill="FFFFFF" w:themeFill="background1"/>
            <w:tcMar>
              <w:top w:w="100" w:type="dxa"/>
              <w:left w:w="100" w:type="dxa"/>
              <w:bottom w:w="100" w:type="dxa"/>
              <w:right w:w="100" w:type="dxa"/>
            </w:tcMar>
          </w:tcPr>
          <w:p w14:paraId="735FC74B" w14:textId="77777777" w:rsidR="009B11B9" w:rsidRPr="00A34376" w:rsidRDefault="009B11B9" w:rsidP="005C15E2">
            <w:pPr>
              <w:spacing w:before="2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Submission of Completed Re-employment Form Required for Reimbursement.</w:t>
            </w:r>
          </w:p>
          <w:p w14:paraId="51B3AE8A" w14:textId="69E3B818" w:rsidR="009B11B9" w:rsidRPr="00A34376" w:rsidRDefault="009B11B9" w:rsidP="00442FE9">
            <w:pPr>
              <w:spacing w:before="40" w:after="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 xml:space="preserve">Bonus Reimbursement: </w:t>
            </w:r>
            <w:r w:rsidR="007C4501" w:rsidRPr="00A34376">
              <w:rPr>
                <w:rFonts w:ascii="Optima" w:hAnsi="Optima"/>
                <w:color w:val="262626" w:themeColor="text1" w:themeTint="D9"/>
                <w:sz w:val="19"/>
                <w:szCs w:val="19"/>
              </w:rPr>
              <w:br/>
              <w:t>P</w:t>
            </w:r>
            <w:r w:rsidRPr="00A34376">
              <w:rPr>
                <w:rFonts w:ascii="Optima" w:hAnsi="Optima"/>
                <w:color w:val="262626" w:themeColor="text1" w:themeTint="D9"/>
                <w:sz w:val="19"/>
                <w:szCs w:val="19"/>
              </w:rPr>
              <w:t>aid if employee’s wage</w:t>
            </w:r>
            <w:r w:rsidR="007C4501" w:rsidRPr="00A34376">
              <w:rPr>
                <w:rFonts w:ascii="Optima" w:hAnsi="Optima"/>
                <w:color w:val="262626" w:themeColor="text1" w:themeTint="D9"/>
                <w:sz w:val="19"/>
                <w:szCs w:val="19"/>
              </w:rPr>
              <w:br/>
            </w:r>
            <w:r w:rsidRPr="00A34376">
              <w:rPr>
                <w:rFonts w:ascii="Optima" w:hAnsi="Optima"/>
                <w:color w:val="262626" w:themeColor="text1" w:themeTint="D9"/>
                <w:sz w:val="19"/>
                <w:szCs w:val="19"/>
              </w:rPr>
              <w:t>is $13</w:t>
            </w:r>
            <w:r w:rsidR="00FD52CC">
              <w:rPr>
                <w:rFonts w:ascii="Optima" w:hAnsi="Optima"/>
                <w:color w:val="262626" w:themeColor="text1" w:themeTint="D9"/>
                <w:sz w:val="19"/>
                <w:szCs w:val="19"/>
              </w:rPr>
              <w:t xml:space="preserve"> per </w:t>
            </w:r>
            <w:r w:rsidRPr="00A34376">
              <w:rPr>
                <w:rFonts w:ascii="Optima" w:hAnsi="Optima"/>
                <w:color w:val="262626" w:themeColor="text1" w:themeTint="D9"/>
                <w:sz w:val="19"/>
                <w:szCs w:val="19"/>
              </w:rPr>
              <w:t>h</w:t>
            </w:r>
            <w:r w:rsidR="00FD52CC">
              <w:rPr>
                <w:rFonts w:ascii="Optima" w:hAnsi="Optima"/>
                <w:color w:val="262626" w:themeColor="text1" w:themeTint="D9"/>
                <w:sz w:val="19"/>
                <w:szCs w:val="19"/>
              </w:rPr>
              <w:t>ou</w:t>
            </w:r>
            <w:r w:rsidRPr="00A34376">
              <w:rPr>
                <w:rFonts w:ascii="Optima" w:hAnsi="Optima"/>
                <w:color w:val="262626" w:themeColor="text1" w:themeTint="D9"/>
                <w:sz w:val="19"/>
                <w:szCs w:val="19"/>
              </w:rPr>
              <w:t>r or above.</w:t>
            </w:r>
          </w:p>
        </w:tc>
      </w:tr>
    </w:tbl>
    <w:p w14:paraId="121312B0" w14:textId="77777777" w:rsidR="009B11B9" w:rsidRPr="00D42701" w:rsidRDefault="009B11B9" w:rsidP="001839A3">
      <w:pPr>
        <w:pStyle w:val="EndnoteText"/>
        <w:jc w:val="center"/>
      </w:pPr>
      <w:r w:rsidRPr="00D42701">
        <w:t>Source</w:t>
      </w:r>
      <w:r w:rsidR="00D10210" w:rsidRPr="00D42701">
        <w:t xml:space="preserve">: </w:t>
      </w:r>
      <w:r w:rsidRPr="00D42701">
        <w:t xml:space="preserve">OCHN; originally implemented </w:t>
      </w:r>
      <w:r w:rsidR="00772052" w:rsidRPr="00D42701">
        <w:t xml:space="preserve">in </w:t>
      </w:r>
      <w:r w:rsidRPr="00D42701">
        <w:t>October 2017; updated October 1, 2018.</w:t>
      </w:r>
    </w:p>
    <w:p w14:paraId="40935703" w14:textId="31F69E16" w:rsidR="001E6128" w:rsidRDefault="004D4C63" w:rsidP="004F4E01">
      <w:r w:rsidRPr="00043C33">
        <w:t>In the first nine months of implementation, OCHN saw a meaningful increase in the number of individuals receiving I</w:t>
      </w:r>
      <w:r w:rsidR="003C1D9E">
        <w:t>PS</w:t>
      </w:r>
      <w:r w:rsidR="009806D0">
        <w:t xml:space="preserve">-SE </w:t>
      </w:r>
      <w:r w:rsidRPr="00043C33">
        <w:t xml:space="preserve">services and the number of milestones that were being met in the IPS process. </w:t>
      </w:r>
      <w:r w:rsidRPr="00B537C7">
        <w:t xml:space="preserve">The chart below illustrates the data and demonstrates </w:t>
      </w:r>
      <w:r w:rsidR="00B537C7">
        <w:t xml:space="preserve">that </w:t>
      </w:r>
      <w:r w:rsidRPr="00B537C7">
        <w:t>the goals of increasing capacity to serve and increasing outcomes achieved were both realized.</w:t>
      </w:r>
    </w:p>
    <w:p w14:paraId="2F46C28C" w14:textId="1A878C98" w:rsidR="004F4E01" w:rsidRPr="005835A7" w:rsidRDefault="004F4E01" w:rsidP="005835A7">
      <w:pPr>
        <w:pStyle w:val="NoSpacing"/>
      </w:pPr>
    </w:p>
    <w:p w14:paraId="2B93158F" w14:textId="77777777" w:rsidR="0038269A" w:rsidRDefault="0038269A" w:rsidP="005835A7">
      <w:pPr>
        <w:spacing w:before="0"/>
        <w:jc w:val="center"/>
      </w:pPr>
      <w:r w:rsidRPr="00DF69A2">
        <w:rPr>
          <w:rFonts w:ascii="Optima" w:eastAsia="Times New Roman" w:hAnsi="Optima" w:cs="Calibri"/>
          <w:b/>
          <w:bCs/>
          <w:color w:val="1F497D" w:themeColor="text2"/>
          <w:sz w:val="28"/>
          <w:szCs w:val="28"/>
        </w:rPr>
        <w:t>What can we</w:t>
      </w:r>
      <w:r>
        <w:rPr>
          <w:rFonts w:ascii="Optima" w:eastAsia="Times New Roman" w:hAnsi="Optima" w:cs="Calibri"/>
          <w:b/>
          <w:bCs/>
          <w:color w:val="1F497D" w:themeColor="text2"/>
          <w:sz w:val="28"/>
          <w:szCs w:val="28"/>
        </w:rPr>
        <w:t xml:space="preserve"> te</w:t>
      </w:r>
      <w:r w:rsidRPr="00DF69A2">
        <w:rPr>
          <w:rFonts w:ascii="Optima" w:eastAsia="Times New Roman" w:hAnsi="Optima" w:cs="Calibri"/>
          <w:b/>
          <w:bCs/>
          <w:color w:val="1F497D" w:themeColor="text2"/>
          <w:sz w:val="28"/>
          <w:szCs w:val="28"/>
        </w:rPr>
        <w:t>ll from the data?</w:t>
      </w:r>
    </w:p>
    <w:tbl>
      <w:tblPr>
        <w:tblW w:w="7636" w:type="dxa"/>
        <w:jc w:val="center"/>
        <w:tblLook w:val="0460" w:firstRow="1" w:lastRow="1" w:firstColumn="0" w:lastColumn="0" w:noHBand="0" w:noVBand="1"/>
        <w:tblCaption w:val="Milestone by people."/>
        <w:tblDescription w:val="Shows grand total of people meeting milestones, and milestones met."/>
      </w:tblPr>
      <w:tblGrid>
        <w:gridCol w:w="2970"/>
        <w:gridCol w:w="2520"/>
        <w:gridCol w:w="2146"/>
      </w:tblGrid>
      <w:tr w:rsidR="0038269A" w:rsidRPr="00106C86" w14:paraId="32C35101" w14:textId="77777777" w:rsidTr="00106C86">
        <w:trPr>
          <w:trHeight w:val="355"/>
          <w:tblHeader/>
          <w:jc w:val="center"/>
        </w:trPr>
        <w:tc>
          <w:tcPr>
            <w:tcW w:w="2970" w:type="dxa"/>
            <w:tcBorders>
              <w:top w:val="nil"/>
              <w:left w:val="nil"/>
              <w:bottom w:val="nil"/>
              <w:right w:val="nil"/>
            </w:tcBorders>
            <w:shd w:val="clear" w:color="auto" w:fill="215868" w:themeFill="accent5" w:themeFillShade="80"/>
            <w:noWrap/>
            <w:vAlign w:val="center"/>
            <w:hideMark/>
          </w:tcPr>
          <w:p w14:paraId="44AED4A2" w14:textId="77777777" w:rsidR="0038269A" w:rsidRPr="00106C86" w:rsidRDefault="0038269A" w:rsidP="00CA1889">
            <w:pPr>
              <w:spacing w:before="60" w:after="60" w:line="240" w:lineRule="auto"/>
              <w:rPr>
                <w:rFonts w:ascii="Optima" w:eastAsia="Times New Roman" w:hAnsi="Optima" w:cs="Calibri"/>
                <w:b/>
                <w:bCs/>
                <w:color w:val="FFFFFF"/>
                <w:sz w:val="19"/>
                <w:szCs w:val="19"/>
              </w:rPr>
            </w:pPr>
            <w:r w:rsidRPr="00106C86">
              <w:rPr>
                <w:rFonts w:ascii="Optima" w:eastAsia="Times New Roman" w:hAnsi="Optima" w:cs="Calibri"/>
                <w:b/>
                <w:bCs/>
                <w:color w:val="FFFFFF"/>
                <w:sz w:val="19"/>
                <w:szCs w:val="19"/>
              </w:rPr>
              <w:t>Milestone</w:t>
            </w:r>
          </w:p>
        </w:tc>
        <w:tc>
          <w:tcPr>
            <w:tcW w:w="2520" w:type="dxa"/>
            <w:tcBorders>
              <w:top w:val="nil"/>
              <w:left w:val="nil"/>
              <w:bottom w:val="nil"/>
              <w:right w:val="nil"/>
            </w:tcBorders>
            <w:shd w:val="clear" w:color="auto" w:fill="215868" w:themeFill="accent5" w:themeFillShade="80"/>
            <w:noWrap/>
            <w:vAlign w:val="center"/>
            <w:hideMark/>
          </w:tcPr>
          <w:p w14:paraId="022021D9" w14:textId="77777777" w:rsidR="0038269A" w:rsidRPr="00106C86" w:rsidRDefault="0038269A" w:rsidP="00CA1889">
            <w:pPr>
              <w:spacing w:before="60" w:after="60" w:line="240" w:lineRule="auto"/>
              <w:jc w:val="center"/>
              <w:rPr>
                <w:rFonts w:ascii="Optima" w:eastAsia="Times New Roman" w:hAnsi="Optima" w:cs="Calibri"/>
                <w:b/>
                <w:bCs/>
                <w:color w:val="FFFFFF"/>
                <w:sz w:val="19"/>
                <w:szCs w:val="19"/>
              </w:rPr>
            </w:pPr>
            <w:r w:rsidRPr="00106C86">
              <w:rPr>
                <w:rFonts w:ascii="Optima" w:eastAsia="Times New Roman" w:hAnsi="Optima" w:cs="Calibri"/>
                <w:b/>
                <w:bCs/>
                <w:color w:val="FFFFFF"/>
                <w:sz w:val="19"/>
                <w:szCs w:val="19"/>
              </w:rPr>
              <w:t>People Meeting Milestones</w:t>
            </w:r>
          </w:p>
        </w:tc>
        <w:tc>
          <w:tcPr>
            <w:tcW w:w="2146" w:type="dxa"/>
            <w:tcBorders>
              <w:top w:val="nil"/>
              <w:left w:val="nil"/>
              <w:bottom w:val="nil"/>
              <w:right w:val="nil"/>
            </w:tcBorders>
            <w:shd w:val="clear" w:color="auto" w:fill="215868" w:themeFill="accent5" w:themeFillShade="80"/>
            <w:noWrap/>
            <w:vAlign w:val="center"/>
            <w:hideMark/>
          </w:tcPr>
          <w:p w14:paraId="25BF30E4" w14:textId="77777777" w:rsidR="0038269A" w:rsidRPr="00106C86" w:rsidRDefault="0038269A" w:rsidP="00CA1889">
            <w:pPr>
              <w:spacing w:before="60" w:after="60" w:line="240" w:lineRule="auto"/>
              <w:jc w:val="right"/>
              <w:rPr>
                <w:rFonts w:ascii="Optima" w:eastAsia="Times New Roman" w:hAnsi="Optima" w:cs="Calibri"/>
                <w:b/>
                <w:bCs/>
                <w:color w:val="FFFFFF"/>
                <w:sz w:val="19"/>
                <w:szCs w:val="19"/>
              </w:rPr>
            </w:pPr>
            <w:r w:rsidRPr="00106C86">
              <w:rPr>
                <w:rFonts w:ascii="Optima" w:eastAsia="Times New Roman" w:hAnsi="Optima" w:cs="Calibri"/>
                <w:b/>
                <w:bCs/>
                <w:color w:val="FFFFFF"/>
                <w:sz w:val="19"/>
                <w:szCs w:val="19"/>
              </w:rPr>
              <w:t>Milestones Met</w:t>
            </w:r>
          </w:p>
        </w:tc>
      </w:tr>
      <w:tr w:rsidR="0038269A" w:rsidRPr="00313A66" w14:paraId="4A2B15E9" w14:textId="77777777" w:rsidTr="00106C86">
        <w:trPr>
          <w:trHeight w:val="355"/>
          <w:tblHeader/>
          <w:jc w:val="center"/>
        </w:trPr>
        <w:tc>
          <w:tcPr>
            <w:tcW w:w="2970" w:type="dxa"/>
            <w:tcBorders>
              <w:top w:val="nil"/>
              <w:left w:val="nil"/>
              <w:bottom w:val="single" w:sz="4" w:space="0" w:color="D9D9D9"/>
              <w:right w:val="nil"/>
            </w:tcBorders>
            <w:shd w:val="clear" w:color="000000" w:fill="FFFFFF"/>
            <w:noWrap/>
            <w:vAlign w:val="center"/>
            <w:hideMark/>
          </w:tcPr>
          <w:p w14:paraId="0A076A5C" w14:textId="77777777" w:rsidR="0038269A" w:rsidRPr="00313A66" w:rsidRDefault="0038269A" w:rsidP="00CA1889">
            <w:pPr>
              <w:spacing w:before="60" w:after="60" w:line="240" w:lineRule="auto"/>
              <w:rPr>
                <w:rFonts w:ascii="Optima" w:eastAsia="Times New Roman" w:hAnsi="Optima" w:cs="Calibri"/>
                <w:color w:val="000000"/>
                <w:sz w:val="19"/>
                <w:szCs w:val="19"/>
              </w:rPr>
            </w:pPr>
            <w:r w:rsidRPr="00313A66">
              <w:rPr>
                <w:rFonts w:ascii="Optima" w:eastAsia="Times New Roman" w:hAnsi="Optima" w:cs="Calibri"/>
                <w:color w:val="000000"/>
                <w:sz w:val="19"/>
                <w:szCs w:val="19"/>
              </w:rPr>
              <w:t>1. Engagement</w:t>
            </w:r>
          </w:p>
        </w:tc>
        <w:tc>
          <w:tcPr>
            <w:tcW w:w="2520" w:type="dxa"/>
            <w:tcBorders>
              <w:top w:val="nil"/>
              <w:left w:val="nil"/>
              <w:bottom w:val="single" w:sz="4" w:space="0" w:color="D9D9D9"/>
              <w:right w:val="nil"/>
            </w:tcBorders>
            <w:shd w:val="clear" w:color="000000" w:fill="FFFFFF"/>
            <w:noWrap/>
            <w:vAlign w:val="center"/>
            <w:hideMark/>
          </w:tcPr>
          <w:p w14:paraId="5987FA7A" w14:textId="77777777" w:rsidR="0038269A" w:rsidRPr="00313A66" w:rsidRDefault="0038269A" w:rsidP="00CA1889">
            <w:pPr>
              <w:spacing w:before="60" w:after="60" w:line="240" w:lineRule="auto"/>
              <w:ind w:left="-1105" w:right="1170" w:firstLineChars="800" w:firstLine="152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494</w:t>
            </w:r>
          </w:p>
        </w:tc>
        <w:tc>
          <w:tcPr>
            <w:tcW w:w="2146" w:type="dxa"/>
            <w:tcBorders>
              <w:top w:val="nil"/>
              <w:left w:val="nil"/>
              <w:bottom w:val="single" w:sz="4" w:space="0" w:color="D9D9D9"/>
              <w:right w:val="nil"/>
            </w:tcBorders>
            <w:shd w:val="clear" w:color="000000" w:fill="FFFFFF"/>
            <w:noWrap/>
            <w:vAlign w:val="center"/>
            <w:hideMark/>
          </w:tcPr>
          <w:p w14:paraId="50A0F6DB" w14:textId="77777777" w:rsidR="0038269A" w:rsidRPr="00313A66" w:rsidRDefault="0038269A" w:rsidP="00CA1889">
            <w:pPr>
              <w:spacing w:before="60" w:after="60" w:line="240" w:lineRule="auto"/>
              <w:ind w:left="-680" w:right="149" w:firstLineChars="400" w:firstLine="76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535</w:t>
            </w:r>
          </w:p>
        </w:tc>
      </w:tr>
      <w:tr w:rsidR="0038269A" w:rsidRPr="00313A66" w14:paraId="40EB8398" w14:textId="77777777" w:rsidTr="00106C86">
        <w:trPr>
          <w:trHeight w:val="355"/>
          <w:tblHeader/>
          <w:jc w:val="center"/>
        </w:trPr>
        <w:tc>
          <w:tcPr>
            <w:tcW w:w="2970" w:type="dxa"/>
            <w:tcBorders>
              <w:top w:val="nil"/>
              <w:left w:val="nil"/>
              <w:bottom w:val="nil"/>
              <w:right w:val="nil"/>
            </w:tcBorders>
            <w:shd w:val="clear" w:color="000000" w:fill="DAF0F3"/>
            <w:noWrap/>
            <w:vAlign w:val="center"/>
            <w:hideMark/>
          </w:tcPr>
          <w:p w14:paraId="71F46A20" w14:textId="77777777" w:rsidR="0038269A" w:rsidRPr="00313A66" w:rsidRDefault="0038269A" w:rsidP="00CA1889">
            <w:pPr>
              <w:spacing w:before="60" w:after="60" w:line="240" w:lineRule="auto"/>
              <w:rPr>
                <w:rFonts w:ascii="Optima" w:eastAsia="Times New Roman" w:hAnsi="Optima" w:cs="Calibri"/>
                <w:color w:val="000000"/>
                <w:sz w:val="19"/>
                <w:szCs w:val="19"/>
              </w:rPr>
            </w:pPr>
            <w:r w:rsidRPr="00313A66">
              <w:rPr>
                <w:rFonts w:ascii="Optima" w:eastAsia="Times New Roman" w:hAnsi="Optima" w:cs="Calibri"/>
                <w:color w:val="000000"/>
                <w:sz w:val="19"/>
                <w:szCs w:val="19"/>
              </w:rPr>
              <w:t>2. Voc</w:t>
            </w:r>
            <w:r>
              <w:rPr>
                <w:rFonts w:ascii="Optima" w:eastAsia="Times New Roman" w:hAnsi="Optima" w:cs="Calibri"/>
                <w:color w:val="000000"/>
                <w:sz w:val="19"/>
                <w:szCs w:val="19"/>
              </w:rPr>
              <w:t>ational</w:t>
            </w:r>
            <w:r w:rsidRPr="00313A66">
              <w:rPr>
                <w:rFonts w:ascii="Optima" w:eastAsia="Times New Roman" w:hAnsi="Optima" w:cs="Calibri"/>
                <w:color w:val="000000"/>
                <w:sz w:val="19"/>
                <w:szCs w:val="19"/>
              </w:rPr>
              <w:t xml:space="preserve"> Profile</w:t>
            </w:r>
          </w:p>
        </w:tc>
        <w:tc>
          <w:tcPr>
            <w:tcW w:w="2520" w:type="dxa"/>
            <w:tcBorders>
              <w:top w:val="nil"/>
              <w:left w:val="nil"/>
              <w:bottom w:val="nil"/>
              <w:right w:val="nil"/>
            </w:tcBorders>
            <w:shd w:val="clear" w:color="000000" w:fill="DAF0F3"/>
            <w:noWrap/>
            <w:vAlign w:val="center"/>
            <w:hideMark/>
          </w:tcPr>
          <w:p w14:paraId="48984FB3" w14:textId="77777777" w:rsidR="0038269A" w:rsidRPr="00313A66" w:rsidRDefault="0038269A" w:rsidP="00CA1889">
            <w:pPr>
              <w:spacing w:before="60" w:after="60" w:line="240" w:lineRule="auto"/>
              <w:ind w:left="-1105" w:right="1170" w:firstLineChars="800" w:firstLine="152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260</w:t>
            </w:r>
          </w:p>
        </w:tc>
        <w:tc>
          <w:tcPr>
            <w:tcW w:w="2146" w:type="dxa"/>
            <w:tcBorders>
              <w:top w:val="nil"/>
              <w:left w:val="nil"/>
              <w:bottom w:val="nil"/>
              <w:right w:val="nil"/>
            </w:tcBorders>
            <w:shd w:val="clear" w:color="000000" w:fill="DAF0F3"/>
            <w:noWrap/>
            <w:vAlign w:val="center"/>
            <w:hideMark/>
          </w:tcPr>
          <w:p w14:paraId="16366C75" w14:textId="77777777" w:rsidR="0038269A" w:rsidRPr="00313A66" w:rsidRDefault="0038269A" w:rsidP="00CA1889">
            <w:pPr>
              <w:spacing w:before="60" w:after="60" w:line="240" w:lineRule="auto"/>
              <w:ind w:left="-680" w:right="149" w:firstLineChars="400" w:firstLine="76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26</w:t>
            </w:r>
          </w:p>
        </w:tc>
      </w:tr>
      <w:tr w:rsidR="0038269A" w:rsidRPr="00313A66" w14:paraId="6619A5CF" w14:textId="77777777" w:rsidTr="00FD52CC">
        <w:trPr>
          <w:trHeight w:val="355"/>
          <w:tblHeader/>
          <w:jc w:val="center"/>
        </w:trPr>
        <w:tc>
          <w:tcPr>
            <w:tcW w:w="2970" w:type="dxa"/>
            <w:tcBorders>
              <w:top w:val="single" w:sz="4" w:space="0" w:color="D9D9D9"/>
              <w:bottom w:val="single" w:sz="4" w:space="0" w:color="D9D9D9"/>
              <w:right w:val="nil"/>
            </w:tcBorders>
            <w:shd w:val="clear" w:color="000000" w:fill="FFFFFF"/>
            <w:noWrap/>
            <w:vAlign w:val="center"/>
            <w:hideMark/>
          </w:tcPr>
          <w:p w14:paraId="262435D0" w14:textId="77777777" w:rsidR="0038269A" w:rsidRPr="00313A66" w:rsidRDefault="0038269A" w:rsidP="00CA1889">
            <w:pPr>
              <w:spacing w:before="60" w:after="60" w:line="240" w:lineRule="auto"/>
              <w:rPr>
                <w:rFonts w:ascii="Optima" w:eastAsia="Times New Roman" w:hAnsi="Optima" w:cs="Calibri"/>
                <w:color w:val="000000"/>
                <w:sz w:val="19"/>
                <w:szCs w:val="19"/>
              </w:rPr>
            </w:pPr>
            <w:r w:rsidRPr="00313A66">
              <w:rPr>
                <w:rFonts w:ascii="Optima" w:eastAsia="Times New Roman" w:hAnsi="Optima" w:cs="Calibri"/>
                <w:color w:val="000000"/>
                <w:sz w:val="19"/>
                <w:szCs w:val="19"/>
              </w:rPr>
              <w:t>3. Job Placement</w:t>
            </w:r>
          </w:p>
        </w:tc>
        <w:tc>
          <w:tcPr>
            <w:tcW w:w="2520" w:type="dxa"/>
            <w:tcBorders>
              <w:top w:val="single" w:sz="4" w:space="0" w:color="D9D9D9"/>
              <w:left w:val="nil"/>
              <w:bottom w:val="single" w:sz="4" w:space="0" w:color="D9D9D9"/>
              <w:right w:val="nil"/>
            </w:tcBorders>
            <w:shd w:val="clear" w:color="000000" w:fill="FFFFFF"/>
            <w:noWrap/>
            <w:vAlign w:val="center"/>
            <w:hideMark/>
          </w:tcPr>
          <w:p w14:paraId="56312D00" w14:textId="77777777" w:rsidR="0038269A" w:rsidRPr="00313A66" w:rsidRDefault="0038269A" w:rsidP="00CA1889">
            <w:pPr>
              <w:spacing w:before="60" w:after="60" w:line="240" w:lineRule="auto"/>
              <w:ind w:left="-1105" w:right="1170" w:firstLineChars="800" w:firstLine="152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129</w:t>
            </w:r>
          </w:p>
        </w:tc>
        <w:tc>
          <w:tcPr>
            <w:tcW w:w="2146" w:type="dxa"/>
            <w:tcBorders>
              <w:top w:val="single" w:sz="4" w:space="0" w:color="D9D9D9"/>
              <w:left w:val="nil"/>
              <w:bottom w:val="single" w:sz="4" w:space="0" w:color="D9D9D9"/>
            </w:tcBorders>
            <w:shd w:val="clear" w:color="000000" w:fill="FFFFFF"/>
            <w:noWrap/>
            <w:vAlign w:val="center"/>
            <w:hideMark/>
          </w:tcPr>
          <w:p w14:paraId="37983AEF" w14:textId="77777777" w:rsidR="0038269A" w:rsidRPr="00313A66" w:rsidRDefault="0038269A" w:rsidP="00CA1889">
            <w:pPr>
              <w:spacing w:before="60" w:after="60" w:line="240" w:lineRule="auto"/>
              <w:ind w:left="-680" w:right="149" w:firstLineChars="400" w:firstLine="76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138</w:t>
            </w:r>
          </w:p>
        </w:tc>
      </w:tr>
      <w:tr w:rsidR="0038269A" w:rsidRPr="00313A66" w14:paraId="4ADF2F72" w14:textId="77777777" w:rsidTr="004C603D">
        <w:trPr>
          <w:trHeight w:val="355"/>
          <w:tblHeader/>
          <w:jc w:val="center"/>
        </w:trPr>
        <w:tc>
          <w:tcPr>
            <w:tcW w:w="2970" w:type="dxa"/>
            <w:tcBorders>
              <w:top w:val="nil"/>
              <w:left w:val="nil"/>
              <w:bottom w:val="single" w:sz="4" w:space="0" w:color="D9D9D9"/>
              <w:right w:val="nil"/>
            </w:tcBorders>
            <w:shd w:val="clear" w:color="000000" w:fill="DAF0F3"/>
            <w:noWrap/>
            <w:vAlign w:val="center"/>
            <w:hideMark/>
          </w:tcPr>
          <w:p w14:paraId="00FADEE1" w14:textId="77777777" w:rsidR="0038269A" w:rsidRPr="00313A66" w:rsidRDefault="0038269A" w:rsidP="00CA1889">
            <w:pPr>
              <w:spacing w:before="60" w:after="60" w:line="240" w:lineRule="auto"/>
              <w:rPr>
                <w:rFonts w:ascii="Optima" w:eastAsia="Times New Roman" w:hAnsi="Optima" w:cs="Calibri"/>
                <w:color w:val="000000"/>
                <w:sz w:val="19"/>
                <w:szCs w:val="19"/>
              </w:rPr>
            </w:pPr>
            <w:r w:rsidRPr="00313A66">
              <w:rPr>
                <w:rFonts w:ascii="Optima" w:eastAsia="Times New Roman" w:hAnsi="Optima" w:cs="Calibri"/>
                <w:color w:val="000000"/>
                <w:sz w:val="19"/>
                <w:szCs w:val="19"/>
              </w:rPr>
              <w:t>4. Retention</w:t>
            </w:r>
          </w:p>
        </w:tc>
        <w:tc>
          <w:tcPr>
            <w:tcW w:w="2520" w:type="dxa"/>
            <w:tcBorders>
              <w:top w:val="nil"/>
              <w:left w:val="nil"/>
              <w:bottom w:val="single" w:sz="4" w:space="0" w:color="D9D9D9"/>
              <w:right w:val="nil"/>
            </w:tcBorders>
            <w:shd w:val="clear" w:color="000000" w:fill="DAF0F3"/>
            <w:noWrap/>
            <w:vAlign w:val="center"/>
            <w:hideMark/>
          </w:tcPr>
          <w:p w14:paraId="334507B3" w14:textId="77777777" w:rsidR="0038269A" w:rsidRPr="00313A66" w:rsidRDefault="0038269A" w:rsidP="00CA1889">
            <w:pPr>
              <w:spacing w:before="60" w:after="60" w:line="240" w:lineRule="auto"/>
              <w:ind w:left="-1105" w:right="1170" w:firstLineChars="800" w:firstLine="152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67</w:t>
            </w:r>
          </w:p>
        </w:tc>
        <w:tc>
          <w:tcPr>
            <w:tcW w:w="2146" w:type="dxa"/>
            <w:tcBorders>
              <w:top w:val="nil"/>
              <w:left w:val="nil"/>
              <w:bottom w:val="single" w:sz="4" w:space="0" w:color="D9D9D9"/>
              <w:right w:val="nil"/>
            </w:tcBorders>
            <w:shd w:val="clear" w:color="000000" w:fill="DAF0F3"/>
            <w:noWrap/>
            <w:vAlign w:val="center"/>
            <w:hideMark/>
          </w:tcPr>
          <w:p w14:paraId="7A452D13" w14:textId="77777777" w:rsidR="0038269A" w:rsidRPr="00313A66" w:rsidRDefault="0038269A" w:rsidP="00CA1889">
            <w:pPr>
              <w:spacing w:before="60" w:after="60" w:line="240" w:lineRule="auto"/>
              <w:ind w:left="-680" w:right="149" w:firstLineChars="400" w:firstLine="76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69</w:t>
            </w:r>
          </w:p>
        </w:tc>
      </w:tr>
      <w:tr w:rsidR="0038269A" w:rsidRPr="00313A66" w14:paraId="3CED5E3E" w14:textId="77777777" w:rsidTr="004C603D">
        <w:trPr>
          <w:trHeight w:val="355"/>
          <w:tblHeader/>
          <w:jc w:val="center"/>
        </w:trPr>
        <w:tc>
          <w:tcPr>
            <w:tcW w:w="2970" w:type="dxa"/>
            <w:tcBorders>
              <w:top w:val="single" w:sz="4" w:space="0" w:color="D9D9D9"/>
              <w:left w:val="nil"/>
              <w:bottom w:val="single" w:sz="2" w:space="0" w:color="92CDDC" w:themeColor="accent5" w:themeTint="99"/>
              <w:right w:val="nil"/>
            </w:tcBorders>
            <w:shd w:val="clear" w:color="000000" w:fill="FFFFFF"/>
            <w:noWrap/>
            <w:vAlign w:val="center"/>
            <w:hideMark/>
          </w:tcPr>
          <w:p w14:paraId="6F2BFC1B" w14:textId="77777777" w:rsidR="0038269A" w:rsidRPr="00313A66" w:rsidRDefault="0038269A" w:rsidP="00CA1889">
            <w:pPr>
              <w:spacing w:before="60" w:after="60" w:line="240" w:lineRule="auto"/>
              <w:rPr>
                <w:rFonts w:ascii="Optima" w:eastAsia="Times New Roman" w:hAnsi="Optima" w:cs="Calibri"/>
                <w:color w:val="000000"/>
                <w:sz w:val="19"/>
                <w:szCs w:val="19"/>
              </w:rPr>
            </w:pPr>
            <w:r w:rsidRPr="00313A66">
              <w:rPr>
                <w:rFonts w:ascii="Optima" w:eastAsia="Times New Roman" w:hAnsi="Optima" w:cs="Calibri"/>
                <w:color w:val="000000"/>
                <w:sz w:val="19"/>
                <w:szCs w:val="19"/>
              </w:rPr>
              <w:t>5. 90-Day Re-Employment</w:t>
            </w:r>
          </w:p>
        </w:tc>
        <w:tc>
          <w:tcPr>
            <w:tcW w:w="2520" w:type="dxa"/>
            <w:tcBorders>
              <w:top w:val="single" w:sz="4" w:space="0" w:color="D9D9D9"/>
              <w:left w:val="nil"/>
              <w:bottom w:val="single" w:sz="2" w:space="0" w:color="92CDDC" w:themeColor="accent5" w:themeTint="99"/>
              <w:right w:val="nil"/>
            </w:tcBorders>
            <w:shd w:val="clear" w:color="000000" w:fill="FFFFFF"/>
            <w:noWrap/>
            <w:vAlign w:val="center"/>
            <w:hideMark/>
          </w:tcPr>
          <w:p w14:paraId="057393E5" w14:textId="77777777" w:rsidR="0038269A" w:rsidRPr="00313A66" w:rsidRDefault="0038269A" w:rsidP="00CA1889">
            <w:pPr>
              <w:spacing w:before="60" w:after="60" w:line="240" w:lineRule="auto"/>
              <w:ind w:left="-1105" w:right="1170" w:firstLineChars="800" w:firstLine="152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21</w:t>
            </w:r>
          </w:p>
        </w:tc>
        <w:tc>
          <w:tcPr>
            <w:tcW w:w="2146" w:type="dxa"/>
            <w:tcBorders>
              <w:top w:val="single" w:sz="4" w:space="0" w:color="D9D9D9"/>
              <w:left w:val="nil"/>
              <w:bottom w:val="single" w:sz="2" w:space="0" w:color="92CDDC" w:themeColor="accent5" w:themeTint="99"/>
              <w:right w:val="nil"/>
            </w:tcBorders>
            <w:shd w:val="clear" w:color="000000" w:fill="FFFFFF"/>
            <w:noWrap/>
            <w:vAlign w:val="center"/>
            <w:hideMark/>
          </w:tcPr>
          <w:p w14:paraId="3DFD63E0" w14:textId="77777777" w:rsidR="0038269A" w:rsidRPr="00313A66" w:rsidRDefault="0038269A" w:rsidP="00CA1889">
            <w:pPr>
              <w:spacing w:before="60" w:after="60" w:line="240" w:lineRule="auto"/>
              <w:ind w:left="-680" w:right="149" w:firstLineChars="400" w:firstLine="760"/>
              <w:jc w:val="right"/>
              <w:rPr>
                <w:rFonts w:ascii="Optima" w:eastAsia="Times New Roman" w:hAnsi="Optima" w:cs="Calibri"/>
                <w:color w:val="000000"/>
                <w:sz w:val="19"/>
                <w:szCs w:val="19"/>
              </w:rPr>
            </w:pPr>
            <w:r w:rsidRPr="00313A66">
              <w:rPr>
                <w:rFonts w:ascii="Optima" w:eastAsia="Times New Roman" w:hAnsi="Optima" w:cs="Calibri"/>
                <w:color w:val="000000"/>
                <w:sz w:val="19"/>
                <w:szCs w:val="19"/>
              </w:rPr>
              <w:t>21</w:t>
            </w:r>
          </w:p>
        </w:tc>
      </w:tr>
      <w:tr w:rsidR="0038269A" w:rsidRPr="00313A66" w14:paraId="0BB9081F" w14:textId="77777777" w:rsidTr="004C603D">
        <w:trPr>
          <w:trHeight w:val="247"/>
          <w:tblHeader/>
          <w:jc w:val="center"/>
        </w:trPr>
        <w:tc>
          <w:tcPr>
            <w:tcW w:w="2970" w:type="dxa"/>
            <w:tcBorders>
              <w:top w:val="single" w:sz="2" w:space="0" w:color="92CDDC" w:themeColor="accent5" w:themeTint="99"/>
              <w:left w:val="nil"/>
              <w:bottom w:val="single" w:sz="4" w:space="0" w:color="D9D9D9"/>
              <w:right w:val="nil"/>
            </w:tcBorders>
            <w:shd w:val="clear" w:color="000000" w:fill="DAF0F3"/>
            <w:noWrap/>
            <w:vAlign w:val="center"/>
            <w:hideMark/>
          </w:tcPr>
          <w:p w14:paraId="79455081" w14:textId="77777777" w:rsidR="0038269A" w:rsidRPr="00313A66" w:rsidRDefault="0038269A" w:rsidP="00CA1889">
            <w:pPr>
              <w:spacing w:before="60" w:after="60" w:line="240" w:lineRule="auto"/>
              <w:rPr>
                <w:rFonts w:ascii="Optima" w:eastAsia="Times New Roman" w:hAnsi="Optima" w:cs="Calibri"/>
                <w:b/>
                <w:bCs/>
                <w:color w:val="000000"/>
                <w:sz w:val="19"/>
                <w:szCs w:val="19"/>
              </w:rPr>
            </w:pPr>
            <w:r w:rsidRPr="00313A66">
              <w:rPr>
                <w:rFonts w:ascii="Optima" w:eastAsia="Times New Roman" w:hAnsi="Optima" w:cs="Calibri"/>
                <w:b/>
                <w:bCs/>
                <w:color w:val="000000"/>
                <w:sz w:val="19"/>
                <w:szCs w:val="19"/>
              </w:rPr>
              <w:t>Grand Total</w:t>
            </w:r>
          </w:p>
        </w:tc>
        <w:tc>
          <w:tcPr>
            <w:tcW w:w="2520" w:type="dxa"/>
            <w:tcBorders>
              <w:top w:val="single" w:sz="2" w:space="0" w:color="92CDDC" w:themeColor="accent5" w:themeTint="99"/>
              <w:left w:val="nil"/>
              <w:bottom w:val="single" w:sz="4" w:space="0" w:color="D9D9D9"/>
              <w:right w:val="nil"/>
            </w:tcBorders>
            <w:shd w:val="clear" w:color="000000" w:fill="DAF0F3"/>
            <w:noWrap/>
            <w:vAlign w:val="center"/>
            <w:hideMark/>
          </w:tcPr>
          <w:p w14:paraId="732E58D9" w14:textId="77777777" w:rsidR="0038269A" w:rsidRPr="00313A66" w:rsidRDefault="0038269A" w:rsidP="00CA1889">
            <w:pPr>
              <w:spacing w:before="60" w:after="60" w:line="240" w:lineRule="auto"/>
              <w:ind w:left="-1105" w:right="1170" w:firstLineChars="800" w:firstLine="1526"/>
              <w:jc w:val="right"/>
              <w:rPr>
                <w:rFonts w:ascii="Optima" w:eastAsia="Times New Roman" w:hAnsi="Optima" w:cs="Calibri"/>
                <w:b/>
                <w:bCs/>
                <w:color w:val="000000"/>
                <w:sz w:val="19"/>
                <w:szCs w:val="19"/>
              </w:rPr>
            </w:pPr>
            <w:r w:rsidRPr="00313A66">
              <w:rPr>
                <w:rFonts w:ascii="Optima" w:eastAsia="Times New Roman" w:hAnsi="Optima" w:cs="Calibri"/>
                <w:b/>
                <w:bCs/>
                <w:color w:val="000000"/>
                <w:sz w:val="19"/>
                <w:szCs w:val="19"/>
              </w:rPr>
              <w:t>597</w:t>
            </w:r>
          </w:p>
        </w:tc>
        <w:tc>
          <w:tcPr>
            <w:tcW w:w="2146" w:type="dxa"/>
            <w:tcBorders>
              <w:top w:val="single" w:sz="2" w:space="0" w:color="92CDDC" w:themeColor="accent5" w:themeTint="99"/>
              <w:left w:val="nil"/>
              <w:bottom w:val="single" w:sz="4" w:space="0" w:color="D9D9D9"/>
              <w:right w:val="nil"/>
            </w:tcBorders>
            <w:shd w:val="clear" w:color="000000" w:fill="DAF0F3"/>
            <w:noWrap/>
            <w:vAlign w:val="center"/>
            <w:hideMark/>
          </w:tcPr>
          <w:p w14:paraId="541383ED" w14:textId="77777777" w:rsidR="0038269A" w:rsidRPr="00313A66" w:rsidRDefault="0038269A" w:rsidP="00CA1889">
            <w:pPr>
              <w:spacing w:before="60" w:after="60" w:line="240" w:lineRule="auto"/>
              <w:ind w:left="-680" w:right="149" w:firstLineChars="400" w:firstLine="763"/>
              <w:jc w:val="right"/>
              <w:rPr>
                <w:rFonts w:ascii="Optima" w:eastAsia="Times New Roman" w:hAnsi="Optima" w:cs="Calibri"/>
                <w:b/>
                <w:bCs/>
                <w:color w:val="000000"/>
                <w:sz w:val="19"/>
                <w:szCs w:val="19"/>
              </w:rPr>
            </w:pPr>
            <w:r w:rsidRPr="00313A66">
              <w:rPr>
                <w:rFonts w:ascii="Optima" w:eastAsia="Times New Roman" w:hAnsi="Optima" w:cs="Calibri"/>
                <w:b/>
                <w:bCs/>
                <w:color w:val="000000"/>
                <w:sz w:val="19"/>
                <w:szCs w:val="19"/>
              </w:rPr>
              <w:t>1,028</w:t>
            </w:r>
          </w:p>
        </w:tc>
      </w:tr>
    </w:tbl>
    <w:p w14:paraId="54794BC0" w14:textId="77777777" w:rsidR="0038269A" w:rsidRPr="00D42701" w:rsidRDefault="0038269A" w:rsidP="0038269A">
      <w:pPr>
        <w:pStyle w:val="EndnoteText"/>
        <w:jc w:val="center"/>
      </w:pPr>
      <w:r w:rsidRPr="00D42701">
        <w:t>Source: OCHN; originally implemented in October 2017; updated October 1, 2018.</w:t>
      </w:r>
    </w:p>
    <w:p w14:paraId="5D296D3F" w14:textId="37849AA2" w:rsidR="0038269A" w:rsidRPr="0038269A" w:rsidRDefault="0038269A" w:rsidP="00D42701">
      <w:pPr>
        <w:pStyle w:val="NoSpacing"/>
        <w:rPr>
          <w:b/>
          <w:bCs/>
        </w:rPr>
      </w:pPr>
    </w:p>
    <w:p w14:paraId="5BAE1677" w14:textId="65CF7E9F" w:rsidR="00D259E6" w:rsidRPr="00837BFC" w:rsidRDefault="00D259E6" w:rsidP="00B11115">
      <w:pPr>
        <w:pStyle w:val="Heading3"/>
      </w:pPr>
      <w:bookmarkStart w:id="60" w:name="_Toc70944207"/>
      <w:r w:rsidRPr="00837BFC">
        <w:t>Moving to Outcome-Based Reimbursement for Individual Supported Employment Job Coaching for Individuals with IDD</w:t>
      </w:r>
      <w:bookmarkEnd w:id="60"/>
    </w:p>
    <w:p w14:paraId="40A0C8B8" w14:textId="245284D4" w:rsidR="004D4C63" w:rsidRPr="00043C33" w:rsidRDefault="004D4C63" w:rsidP="00B1367E">
      <w:r w:rsidRPr="00043C33">
        <w:t xml:space="preserve">After learning about the potential advantages of outcome-based reimbursement, </w:t>
      </w:r>
      <w:r w:rsidR="003175D1">
        <w:t>OCHN</w:t>
      </w:r>
      <w:r w:rsidRPr="00043C33">
        <w:t xml:space="preserve"> also chose to undertake a process with its IDD Supported Employment providers to develop an outcome-based reimbursement for Individual Supported Employment Job Coaching services that enabled consumers with IDD to work in competitive integrated employment. </w:t>
      </w:r>
      <w:r w:rsidRPr="00C2346A">
        <w:t xml:space="preserve">Like Oregon, </w:t>
      </w:r>
      <w:r w:rsidR="003175D1" w:rsidRPr="00C2346A">
        <w:t>OCHN</w:t>
      </w:r>
      <w:r w:rsidRPr="00C2346A">
        <w:t xml:space="preserve"> began with the Wisconsin (Inclusa) model as a starting point and engaged in a similar process with providers, including similar data collection and analysis</w:t>
      </w:r>
      <w:r w:rsidR="003218A3" w:rsidRPr="00C2346A">
        <w:t>,</w:t>
      </w:r>
      <w:r w:rsidRPr="00C2346A">
        <w:t xml:space="preserve"> to build a new outcome-based reimbursement model that paid Supported Employment Job Coaching providers based on the hours worked by supported employees rather than hours of Job Coaching service.</w:t>
      </w:r>
    </w:p>
    <w:p w14:paraId="73410D7D" w14:textId="77777777" w:rsidR="004D4C63" w:rsidRPr="00D42701" w:rsidRDefault="004D4C63" w:rsidP="00B11115">
      <w:pPr>
        <w:pStyle w:val="Heading4"/>
      </w:pPr>
      <w:r w:rsidRPr="00D42701">
        <w:t xml:space="preserve">Determining Cost </w:t>
      </w:r>
      <w:r w:rsidR="00554AA5" w:rsidRPr="00D42701">
        <w:t xml:space="preserve">per </w:t>
      </w:r>
      <w:r w:rsidRPr="00D42701">
        <w:t>Hour of Job Coaching</w:t>
      </w:r>
    </w:p>
    <w:p w14:paraId="21AF5BAA" w14:textId="78ADD4DA" w:rsidR="001F6FF2" w:rsidRDefault="004D4C63" w:rsidP="00756D49">
      <w:r w:rsidRPr="00043C33">
        <w:t>Based on Job Coach staffing costs submitted by each provider agency, OCH</w:t>
      </w:r>
      <w:r w:rsidR="00A6164C">
        <w:t>N</w:t>
      </w:r>
      <w:r w:rsidRPr="00043C33">
        <w:t xml:space="preserve"> determined the cost per billable hour to be $38.61. This includes the assumption that the hourly wage is $13.50</w:t>
      </w:r>
      <w:r w:rsidR="00483C7D">
        <w:t>,</w:t>
      </w:r>
      <w:r w:rsidRPr="00043C33">
        <w:t xml:space="preserve"> and 69.25% of Job Coach time is billable based on provider-reported productivity adjustments. The detailed table below also includes figures for annual staff training and transportation.</w:t>
      </w:r>
    </w:p>
    <w:p w14:paraId="3FCB9D7D" w14:textId="77777777" w:rsidR="00040F28" w:rsidRPr="001F6FF2" w:rsidRDefault="00040F28" w:rsidP="00040F28">
      <w:pPr>
        <w:pStyle w:val="NoSpacing"/>
      </w:pPr>
    </w:p>
    <w:tbl>
      <w:tblPr>
        <w:tblW w:w="9270" w:type="dxa"/>
        <w:jc w:val="center"/>
        <w:tblLook w:val="0460" w:firstRow="1" w:lastRow="1" w:firstColumn="0" w:lastColumn="0" w:noHBand="0" w:noVBand="1"/>
        <w:tblCaption w:val="Determining Cost per Hour of Job Coaching"/>
        <w:tblDescription w:val="Staffing Reimbursement Rate (per billable hour): Job Coach, sase Staffing Cost (wages + benefits, etc.) per billable hour, and Productivity Cost per hour"/>
      </w:tblPr>
      <w:tblGrid>
        <w:gridCol w:w="7920"/>
        <w:gridCol w:w="1350"/>
      </w:tblGrid>
      <w:tr w:rsidR="00FC1D23" w:rsidRPr="00700B5F" w14:paraId="1D64AAEE" w14:textId="77777777" w:rsidTr="001839A3">
        <w:trPr>
          <w:trHeight w:val="459"/>
          <w:jc w:val="center"/>
        </w:trPr>
        <w:tc>
          <w:tcPr>
            <w:tcW w:w="7920" w:type="dxa"/>
            <w:tcBorders>
              <w:top w:val="nil"/>
              <w:left w:val="nil"/>
              <w:bottom w:val="nil"/>
              <w:right w:val="nil"/>
            </w:tcBorders>
            <w:shd w:val="clear" w:color="auto" w:fill="215868" w:themeFill="accent5" w:themeFillShade="80"/>
            <w:vAlign w:val="center"/>
            <w:hideMark/>
          </w:tcPr>
          <w:p w14:paraId="5F5C47EC" w14:textId="77777777" w:rsidR="004D4C63" w:rsidRPr="00700B5F" w:rsidRDefault="006D37EF" w:rsidP="007503A3">
            <w:pPr>
              <w:spacing w:before="60" w:after="60" w:line="240" w:lineRule="auto"/>
              <w:rPr>
                <w:rFonts w:ascii="Optima" w:hAnsi="Optima"/>
                <w:b/>
                <w:bCs/>
                <w:color w:val="FFFFFF" w:themeColor="background1"/>
                <w:sz w:val="19"/>
                <w:szCs w:val="19"/>
              </w:rPr>
            </w:pPr>
            <w:r>
              <w:rPr>
                <w:rFonts w:ascii="Optima" w:hAnsi="Optima"/>
                <w:b/>
                <w:bCs/>
                <w:color w:val="FFFFFF" w:themeColor="background1"/>
                <w:sz w:val="19"/>
                <w:szCs w:val="19"/>
              </w:rPr>
              <w:t>Staffing Reimbursement Rate</w:t>
            </w:r>
            <w:r w:rsidR="00F57DD3" w:rsidRPr="00F57DD3">
              <w:rPr>
                <w:rFonts w:ascii="Optima" w:hAnsi="Optima"/>
                <w:b/>
                <w:bCs/>
                <w:color w:val="FFFFFF" w:themeColor="background1"/>
                <w:sz w:val="19"/>
                <w:szCs w:val="19"/>
              </w:rPr>
              <w:t xml:space="preserve"> </w:t>
            </w:r>
            <w:r w:rsidR="00F57DD3">
              <w:rPr>
                <w:rFonts w:ascii="Optima" w:hAnsi="Optima"/>
                <w:b/>
                <w:bCs/>
                <w:color w:val="FFFFFF" w:themeColor="background1"/>
                <w:sz w:val="19"/>
                <w:szCs w:val="19"/>
              </w:rPr>
              <w:t>(per billable hour):</w:t>
            </w:r>
            <w:r w:rsidR="004D4C63" w:rsidRPr="00700B5F">
              <w:rPr>
                <w:rFonts w:ascii="Optima" w:hAnsi="Optima"/>
                <w:b/>
                <w:bCs/>
                <w:color w:val="FFFFFF" w:themeColor="background1"/>
                <w:sz w:val="19"/>
                <w:szCs w:val="19"/>
              </w:rPr>
              <w:t xml:space="preserve"> </w:t>
            </w:r>
            <w:r>
              <w:rPr>
                <w:rFonts w:ascii="Optima" w:hAnsi="Optima"/>
                <w:b/>
                <w:bCs/>
                <w:color w:val="FFFFFF" w:themeColor="background1"/>
                <w:sz w:val="19"/>
                <w:szCs w:val="19"/>
              </w:rPr>
              <w:t>Job Coach</w:t>
            </w:r>
          </w:p>
        </w:tc>
        <w:tc>
          <w:tcPr>
            <w:tcW w:w="1350" w:type="dxa"/>
            <w:tcBorders>
              <w:top w:val="nil"/>
              <w:left w:val="nil"/>
              <w:bottom w:val="nil"/>
              <w:right w:val="nil"/>
            </w:tcBorders>
            <w:shd w:val="clear" w:color="auto" w:fill="215868" w:themeFill="accent5" w:themeFillShade="80"/>
            <w:vAlign w:val="center"/>
            <w:hideMark/>
          </w:tcPr>
          <w:p w14:paraId="7240074B" w14:textId="77777777" w:rsidR="004D4C63" w:rsidRPr="00700B5F" w:rsidRDefault="004D4C63" w:rsidP="007503A3">
            <w:pPr>
              <w:spacing w:before="60" w:after="60" w:line="240" w:lineRule="auto"/>
              <w:rPr>
                <w:rFonts w:ascii="Optima" w:hAnsi="Optima"/>
                <w:b/>
                <w:bCs/>
                <w:color w:val="FFFFFF" w:themeColor="background1"/>
                <w:sz w:val="19"/>
                <w:szCs w:val="19"/>
              </w:rPr>
            </w:pPr>
          </w:p>
        </w:tc>
      </w:tr>
      <w:tr w:rsidR="00175C4B" w:rsidRPr="00951554" w14:paraId="1B5AF7D9" w14:textId="77777777" w:rsidTr="00FD52CC">
        <w:trPr>
          <w:trHeight w:val="360"/>
          <w:jc w:val="center"/>
        </w:trPr>
        <w:tc>
          <w:tcPr>
            <w:tcW w:w="7920" w:type="dxa"/>
            <w:tcBorders>
              <w:top w:val="nil"/>
              <w:left w:val="nil"/>
              <w:bottom w:val="nil"/>
              <w:right w:val="nil"/>
            </w:tcBorders>
            <w:shd w:val="clear" w:color="auto" w:fill="DAEEF3" w:themeFill="accent5" w:themeFillTint="33"/>
            <w:noWrap/>
            <w:vAlign w:val="center"/>
            <w:hideMark/>
          </w:tcPr>
          <w:p w14:paraId="39FE287B" w14:textId="77777777" w:rsidR="004D4C63" w:rsidRPr="00951554" w:rsidRDefault="004D4C63" w:rsidP="007503A3">
            <w:pPr>
              <w:pStyle w:val="ListParagraph"/>
              <w:numPr>
                <w:ilvl w:val="0"/>
                <w:numId w:val="20"/>
              </w:numPr>
              <w:spacing w:before="60" w:after="60" w:line="240" w:lineRule="auto"/>
              <w:ind w:left="341" w:hanging="270"/>
              <w:rPr>
                <w:rFonts w:ascii="Optima" w:hAnsi="Optima"/>
                <w:b/>
                <w:bCs/>
                <w:color w:val="215868" w:themeColor="accent5" w:themeShade="80"/>
                <w:sz w:val="19"/>
                <w:szCs w:val="19"/>
              </w:rPr>
            </w:pPr>
            <w:r w:rsidRPr="00951554">
              <w:rPr>
                <w:rFonts w:ascii="Optima" w:hAnsi="Optima"/>
                <w:b/>
                <w:bCs/>
                <w:color w:val="215868" w:themeColor="accent5" w:themeShade="80"/>
                <w:sz w:val="19"/>
                <w:szCs w:val="19"/>
              </w:rPr>
              <w:t>Base Staffing Cost (Wages, Benefits &amp; Administration)</w:t>
            </w:r>
            <w:r w:rsidR="00742DF5" w:rsidRPr="00951554">
              <w:rPr>
                <w:rFonts w:ascii="Optima" w:hAnsi="Optima"/>
                <w:b/>
                <w:bCs/>
                <w:color w:val="215868" w:themeColor="accent5" w:themeShade="80"/>
                <w:sz w:val="19"/>
                <w:szCs w:val="19"/>
              </w:rPr>
              <w:t xml:space="preserve"> per </w:t>
            </w:r>
            <w:r w:rsidR="00F14770" w:rsidRPr="00951554">
              <w:rPr>
                <w:rFonts w:ascii="Optima" w:hAnsi="Optima"/>
                <w:b/>
                <w:bCs/>
                <w:color w:val="215868" w:themeColor="accent5" w:themeShade="80"/>
                <w:sz w:val="19"/>
                <w:szCs w:val="19"/>
              </w:rPr>
              <w:t>hour</w:t>
            </w:r>
          </w:p>
        </w:tc>
        <w:tc>
          <w:tcPr>
            <w:tcW w:w="1350" w:type="dxa"/>
            <w:tcBorders>
              <w:top w:val="nil"/>
              <w:left w:val="nil"/>
              <w:bottom w:val="nil"/>
              <w:right w:val="nil"/>
            </w:tcBorders>
            <w:shd w:val="clear" w:color="auto" w:fill="DAEEF3" w:themeFill="accent5" w:themeFillTint="33"/>
            <w:noWrap/>
            <w:vAlign w:val="center"/>
            <w:hideMark/>
          </w:tcPr>
          <w:p w14:paraId="6663BD1D" w14:textId="77777777" w:rsidR="004D4C63" w:rsidRPr="00951554" w:rsidRDefault="004D4C63" w:rsidP="007503A3">
            <w:pPr>
              <w:spacing w:before="60" w:after="60" w:line="240" w:lineRule="auto"/>
              <w:jc w:val="right"/>
              <w:rPr>
                <w:rFonts w:ascii="Optima" w:hAnsi="Optima"/>
                <w:b/>
                <w:bCs/>
                <w:color w:val="215868" w:themeColor="accent5" w:themeShade="80"/>
                <w:sz w:val="19"/>
                <w:szCs w:val="19"/>
              </w:rPr>
            </w:pPr>
            <w:r w:rsidRPr="00951554">
              <w:rPr>
                <w:rFonts w:ascii="Optima" w:hAnsi="Optima"/>
                <w:b/>
                <w:bCs/>
                <w:color w:val="215868" w:themeColor="accent5" w:themeShade="80"/>
                <w:sz w:val="19"/>
                <w:szCs w:val="19"/>
              </w:rPr>
              <w:t>$24.29</w:t>
            </w:r>
          </w:p>
        </w:tc>
      </w:tr>
      <w:tr w:rsidR="00175C4B" w:rsidRPr="00951554" w14:paraId="0FBD9188" w14:textId="77777777" w:rsidTr="00FD52CC">
        <w:trPr>
          <w:trHeight w:val="360"/>
          <w:jc w:val="center"/>
        </w:trPr>
        <w:tc>
          <w:tcPr>
            <w:tcW w:w="7920" w:type="dxa"/>
            <w:tcBorders>
              <w:top w:val="nil"/>
              <w:left w:val="nil"/>
              <w:bottom w:val="nil"/>
              <w:right w:val="nil"/>
            </w:tcBorders>
            <w:shd w:val="clear" w:color="auto" w:fill="E5DFEC" w:themeFill="accent4" w:themeFillTint="33"/>
            <w:noWrap/>
            <w:vAlign w:val="center"/>
            <w:hideMark/>
          </w:tcPr>
          <w:p w14:paraId="0BE31268" w14:textId="77777777" w:rsidR="004D4C63" w:rsidRPr="00951554" w:rsidRDefault="004D4C63" w:rsidP="007503A3">
            <w:pPr>
              <w:pStyle w:val="ListParagraph"/>
              <w:numPr>
                <w:ilvl w:val="0"/>
                <w:numId w:val="20"/>
              </w:numPr>
              <w:spacing w:before="60" w:after="60" w:line="240" w:lineRule="auto"/>
              <w:ind w:left="341" w:hanging="270"/>
              <w:rPr>
                <w:rFonts w:ascii="Optima" w:hAnsi="Optima"/>
                <w:b/>
                <w:bCs/>
                <w:color w:val="5F497A" w:themeColor="accent4" w:themeShade="BF"/>
                <w:sz w:val="19"/>
                <w:szCs w:val="19"/>
              </w:rPr>
            </w:pPr>
            <w:r w:rsidRPr="00951554">
              <w:rPr>
                <w:rFonts w:ascii="Optima" w:hAnsi="Optima"/>
                <w:b/>
                <w:bCs/>
                <w:color w:val="5F497A" w:themeColor="accent4" w:themeShade="BF"/>
                <w:sz w:val="19"/>
                <w:szCs w:val="19"/>
              </w:rPr>
              <w:t xml:space="preserve">Productivity </w:t>
            </w:r>
            <w:r w:rsidR="00577F48" w:rsidRPr="00951554">
              <w:rPr>
                <w:rFonts w:ascii="Optima" w:hAnsi="Optima"/>
                <w:b/>
                <w:bCs/>
                <w:color w:val="5F497A" w:themeColor="accent4" w:themeShade="BF"/>
                <w:sz w:val="19"/>
                <w:szCs w:val="19"/>
              </w:rPr>
              <w:t>Cost</w:t>
            </w:r>
            <w:r w:rsidR="00742DF5" w:rsidRPr="00951554">
              <w:rPr>
                <w:rFonts w:ascii="Optima" w:hAnsi="Optima"/>
                <w:b/>
                <w:bCs/>
                <w:color w:val="5F497A" w:themeColor="accent4" w:themeShade="BF"/>
                <w:sz w:val="19"/>
                <w:szCs w:val="19"/>
              </w:rPr>
              <w:t xml:space="preserve"> per </w:t>
            </w:r>
            <w:r w:rsidR="00F14770" w:rsidRPr="00951554">
              <w:rPr>
                <w:rFonts w:ascii="Optima" w:hAnsi="Optima"/>
                <w:b/>
                <w:bCs/>
                <w:color w:val="5F497A" w:themeColor="accent4" w:themeShade="BF"/>
                <w:sz w:val="19"/>
                <w:szCs w:val="19"/>
              </w:rPr>
              <w:t>hour</w:t>
            </w:r>
          </w:p>
        </w:tc>
        <w:tc>
          <w:tcPr>
            <w:tcW w:w="1350" w:type="dxa"/>
            <w:tcBorders>
              <w:top w:val="nil"/>
              <w:left w:val="nil"/>
              <w:bottom w:val="nil"/>
              <w:right w:val="nil"/>
            </w:tcBorders>
            <w:shd w:val="clear" w:color="auto" w:fill="E5DFEC" w:themeFill="accent4" w:themeFillTint="33"/>
            <w:noWrap/>
            <w:vAlign w:val="center"/>
            <w:hideMark/>
          </w:tcPr>
          <w:p w14:paraId="2145D9B4" w14:textId="77777777" w:rsidR="004D4C63" w:rsidRPr="00951554" w:rsidRDefault="004D4C63" w:rsidP="007503A3">
            <w:pPr>
              <w:spacing w:before="60" w:after="60" w:line="240" w:lineRule="auto"/>
              <w:jc w:val="right"/>
              <w:rPr>
                <w:rFonts w:ascii="Optima" w:hAnsi="Optima"/>
                <w:b/>
                <w:bCs/>
                <w:color w:val="5F497A" w:themeColor="accent4" w:themeShade="BF"/>
                <w:sz w:val="19"/>
                <w:szCs w:val="19"/>
              </w:rPr>
            </w:pPr>
            <w:r w:rsidRPr="00951554">
              <w:rPr>
                <w:rFonts w:ascii="Optima" w:hAnsi="Optima"/>
                <w:b/>
                <w:bCs/>
                <w:color w:val="5F497A" w:themeColor="accent4" w:themeShade="BF"/>
                <w:sz w:val="19"/>
                <w:szCs w:val="19"/>
              </w:rPr>
              <w:t>$10.78</w:t>
            </w:r>
          </w:p>
        </w:tc>
      </w:tr>
      <w:tr w:rsidR="00542B38" w:rsidRPr="00542B38" w14:paraId="559DAF77" w14:textId="77777777" w:rsidTr="00FD52CC">
        <w:trPr>
          <w:trHeight w:val="360"/>
          <w:jc w:val="center"/>
        </w:trPr>
        <w:tc>
          <w:tcPr>
            <w:tcW w:w="7920" w:type="dxa"/>
            <w:tcBorders>
              <w:top w:val="nil"/>
              <w:left w:val="nil"/>
              <w:right w:val="nil"/>
            </w:tcBorders>
            <w:shd w:val="clear" w:color="auto" w:fill="FDE9D9" w:themeFill="accent6" w:themeFillTint="33"/>
            <w:noWrap/>
            <w:vAlign w:val="center"/>
            <w:hideMark/>
          </w:tcPr>
          <w:p w14:paraId="7684B84A" w14:textId="77777777" w:rsidR="004D4C63" w:rsidRPr="00542B38" w:rsidRDefault="004D4C63" w:rsidP="007503A3">
            <w:pPr>
              <w:pStyle w:val="ListParagraph"/>
              <w:numPr>
                <w:ilvl w:val="0"/>
                <w:numId w:val="20"/>
              </w:numPr>
              <w:spacing w:before="60" w:after="60" w:line="240" w:lineRule="auto"/>
              <w:ind w:left="341" w:hanging="270"/>
              <w:rPr>
                <w:rFonts w:ascii="Optima" w:hAnsi="Optima"/>
                <w:b/>
                <w:bCs/>
                <w:color w:val="984806" w:themeColor="accent6" w:themeShade="80"/>
                <w:sz w:val="19"/>
                <w:szCs w:val="19"/>
              </w:rPr>
            </w:pPr>
            <w:r w:rsidRPr="00542B38">
              <w:rPr>
                <w:rFonts w:ascii="Optima" w:hAnsi="Optima"/>
                <w:b/>
                <w:bCs/>
                <w:color w:val="984806" w:themeColor="accent6" w:themeShade="80"/>
                <w:sz w:val="19"/>
                <w:szCs w:val="19"/>
              </w:rPr>
              <w:t>Staff Training Cost</w:t>
            </w:r>
            <w:r w:rsidR="00742DF5" w:rsidRPr="00542B38">
              <w:rPr>
                <w:rFonts w:ascii="Optima" w:hAnsi="Optima"/>
                <w:b/>
                <w:bCs/>
                <w:color w:val="984806" w:themeColor="accent6" w:themeShade="80"/>
                <w:sz w:val="19"/>
                <w:szCs w:val="19"/>
              </w:rPr>
              <w:t xml:space="preserve"> per </w:t>
            </w:r>
            <w:r w:rsidR="00A5075F" w:rsidRPr="00542B38">
              <w:rPr>
                <w:rFonts w:ascii="Optima" w:hAnsi="Optima"/>
                <w:b/>
                <w:bCs/>
                <w:color w:val="984806" w:themeColor="accent6" w:themeShade="80"/>
                <w:sz w:val="19"/>
                <w:szCs w:val="19"/>
              </w:rPr>
              <w:t>h</w:t>
            </w:r>
            <w:r w:rsidRPr="00542B38">
              <w:rPr>
                <w:rFonts w:ascii="Optima" w:hAnsi="Optima"/>
                <w:b/>
                <w:bCs/>
                <w:color w:val="984806" w:themeColor="accent6" w:themeShade="80"/>
                <w:sz w:val="19"/>
                <w:szCs w:val="19"/>
              </w:rPr>
              <w:t>our</w:t>
            </w:r>
          </w:p>
        </w:tc>
        <w:tc>
          <w:tcPr>
            <w:tcW w:w="1350" w:type="dxa"/>
            <w:tcBorders>
              <w:top w:val="nil"/>
              <w:left w:val="nil"/>
              <w:right w:val="nil"/>
            </w:tcBorders>
            <w:shd w:val="clear" w:color="auto" w:fill="FDE9D9" w:themeFill="accent6" w:themeFillTint="33"/>
            <w:noWrap/>
            <w:vAlign w:val="center"/>
            <w:hideMark/>
          </w:tcPr>
          <w:p w14:paraId="5C9EDD53" w14:textId="77777777" w:rsidR="004D4C63" w:rsidRPr="00542B38" w:rsidRDefault="004D4C63" w:rsidP="007503A3">
            <w:pPr>
              <w:spacing w:before="60" w:after="60" w:line="240" w:lineRule="auto"/>
              <w:jc w:val="right"/>
              <w:rPr>
                <w:rFonts w:ascii="Optima" w:hAnsi="Optima"/>
                <w:b/>
                <w:bCs/>
                <w:color w:val="984806" w:themeColor="accent6" w:themeShade="80"/>
                <w:sz w:val="19"/>
                <w:szCs w:val="19"/>
              </w:rPr>
            </w:pPr>
            <w:r w:rsidRPr="00542B38">
              <w:rPr>
                <w:rFonts w:ascii="Optima" w:hAnsi="Optima"/>
                <w:b/>
                <w:bCs/>
                <w:color w:val="984806" w:themeColor="accent6" w:themeShade="80"/>
                <w:sz w:val="19"/>
                <w:szCs w:val="19"/>
              </w:rPr>
              <w:t>$0.14</w:t>
            </w:r>
          </w:p>
        </w:tc>
      </w:tr>
      <w:tr w:rsidR="00542B38" w:rsidRPr="00542B38" w14:paraId="11B8979E" w14:textId="77777777" w:rsidTr="00FD52CC">
        <w:trPr>
          <w:trHeight w:val="360"/>
          <w:jc w:val="center"/>
        </w:trPr>
        <w:tc>
          <w:tcPr>
            <w:tcW w:w="7920" w:type="dxa"/>
            <w:tcBorders>
              <w:top w:val="nil"/>
              <w:left w:val="nil"/>
              <w:right w:val="nil"/>
            </w:tcBorders>
            <w:shd w:val="clear" w:color="auto" w:fill="EAF1DD" w:themeFill="accent3" w:themeFillTint="33"/>
            <w:noWrap/>
            <w:vAlign w:val="center"/>
            <w:hideMark/>
          </w:tcPr>
          <w:p w14:paraId="1D613ACE" w14:textId="77777777" w:rsidR="004D4C63" w:rsidRPr="00542B38" w:rsidRDefault="004D4C63" w:rsidP="007503A3">
            <w:pPr>
              <w:pStyle w:val="ListParagraph"/>
              <w:numPr>
                <w:ilvl w:val="0"/>
                <w:numId w:val="20"/>
              </w:numPr>
              <w:spacing w:before="60" w:after="60" w:line="240" w:lineRule="auto"/>
              <w:ind w:left="341" w:hanging="270"/>
              <w:rPr>
                <w:rFonts w:ascii="Optima" w:hAnsi="Optima"/>
                <w:b/>
                <w:bCs/>
                <w:color w:val="4F6228" w:themeColor="accent3" w:themeShade="80"/>
                <w:sz w:val="19"/>
                <w:szCs w:val="19"/>
              </w:rPr>
            </w:pPr>
            <w:r w:rsidRPr="00542B38">
              <w:rPr>
                <w:rFonts w:ascii="Optima" w:hAnsi="Optima"/>
                <w:b/>
                <w:bCs/>
                <w:color w:val="4F6228" w:themeColor="accent3" w:themeShade="80"/>
                <w:sz w:val="19"/>
                <w:szCs w:val="19"/>
              </w:rPr>
              <w:t>Transportation</w:t>
            </w:r>
            <w:r w:rsidR="00742DF5" w:rsidRPr="00542B38">
              <w:rPr>
                <w:rFonts w:ascii="Optima" w:hAnsi="Optima"/>
                <w:b/>
                <w:bCs/>
                <w:color w:val="4F6228" w:themeColor="accent3" w:themeShade="80"/>
                <w:sz w:val="19"/>
                <w:szCs w:val="19"/>
              </w:rPr>
              <w:t xml:space="preserve"> </w:t>
            </w:r>
            <w:r w:rsidR="00577F48" w:rsidRPr="00542B38">
              <w:rPr>
                <w:rFonts w:ascii="Optima" w:hAnsi="Optima"/>
                <w:b/>
                <w:bCs/>
                <w:color w:val="4F6228" w:themeColor="accent3" w:themeShade="80"/>
                <w:sz w:val="19"/>
                <w:szCs w:val="19"/>
              </w:rPr>
              <w:t>Cost p</w:t>
            </w:r>
            <w:r w:rsidR="00742DF5" w:rsidRPr="00542B38">
              <w:rPr>
                <w:rFonts w:ascii="Optima" w:hAnsi="Optima"/>
                <w:b/>
                <w:bCs/>
                <w:color w:val="4F6228" w:themeColor="accent3" w:themeShade="80"/>
                <w:sz w:val="19"/>
                <w:szCs w:val="19"/>
              </w:rPr>
              <w:t>er h</w:t>
            </w:r>
            <w:r w:rsidR="00F14770" w:rsidRPr="00542B38">
              <w:rPr>
                <w:rFonts w:ascii="Optima" w:hAnsi="Optima"/>
                <w:b/>
                <w:bCs/>
                <w:color w:val="4F6228" w:themeColor="accent3" w:themeShade="80"/>
                <w:sz w:val="19"/>
                <w:szCs w:val="19"/>
              </w:rPr>
              <w:t>our</w:t>
            </w:r>
          </w:p>
        </w:tc>
        <w:tc>
          <w:tcPr>
            <w:tcW w:w="1350" w:type="dxa"/>
            <w:tcBorders>
              <w:top w:val="nil"/>
              <w:left w:val="nil"/>
              <w:right w:val="nil"/>
            </w:tcBorders>
            <w:shd w:val="clear" w:color="auto" w:fill="EAF1DD" w:themeFill="accent3" w:themeFillTint="33"/>
            <w:noWrap/>
            <w:vAlign w:val="center"/>
            <w:hideMark/>
          </w:tcPr>
          <w:p w14:paraId="3619AAC2" w14:textId="77777777" w:rsidR="004D4C63" w:rsidRPr="00542B38" w:rsidRDefault="004D4C63" w:rsidP="007503A3">
            <w:pPr>
              <w:spacing w:before="60" w:after="60" w:line="240" w:lineRule="auto"/>
              <w:jc w:val="right"/>
              <w:rPr>
                <w:rFonts w:ascii="Optima" w:hAnsi="Optima"/>
                <w:b/>
                <w:bCs/>
                <w:color w:val="4F6228" w:themeColor="accent3" w:themeShade="80"/>
                <w:sz w:val="19"/>
                <w:szCs w:val="19"/>
              </w:rPr>
            </w:pPr>
            <w:r w:rsidRPr="00542B38">
              <w:rPr>
                <w:rFonts w:ascii="Optima" w:hAnsi="Optima"/>
                <w:b/>
                <w:bCs/>
                <w:color w:val="4F6228" w:themeColor="accent3" w:themeShade="80"/>
                <w:sz w:val="19"/>
                <w:szCs w:val="19"/>
              </w:rPr>
              <w:t>$3.40</w:t>
            </w:r>
          </w:p>
        </w:tc>
      </w:tr>
      <w:tr w:rsidR="00D85E0C" w:rsidRPr="00D85E0C" w14:paraId="0867FDE6" w14:textId="77777777" w:rsidTr="00FD52CC">
        <w:trPr>
          <w:trHeight w:val="360"/>
          <w:jc w:val="center"/>
        </w:trPr>
        <w:tc>
          <w:tcPr>
            <w:tcW w:w="7920" w:type="dxa"/>
            <w:tcBorders>
              <w:left w:val="nil"/>
              <w:bottom w:val="single" w:sz="4" w:space="0" w:color="215868" w:themeColor="accent5" w:themeShade="80"/>
              <w:right w:val="nil"/>
            </w:tcBorders>
            <w:shd w:val="clear" w:color="auto" w:fill="auto"/>
            <w:noWrap/>
            <w:vAlign w:val="center"/>
            <w:hideMark/>
          </w:tcPr>
          <w:p w14:paraId="719D3248" w14:textId="77777777" w:rsidR="004D4C63" w:rsidRPr="00D85E0C" w:rsidRDefault="005A6AB0" w:rsidP="00D85E0C">
            <w:pPr>
              <w:spacing w:before="60" w:after="60" w:line="240" w:lineRule="auto"/>
              <w:ind w:left="341"/>
              <w:jc w:val="right"/>
              <w:rPr>
                <w:rFonts w:ascii="Optima" w:hAnsi="Optima"/>
                <w:b/>
                <w:bCs/>
                <w:color w:val="000000" w:themeColor="text1"/>
                <w:sz w:val="19"/>
                <w:szCs w:val="19"/>
              </w:rPr>
            </w:pPr>
            <w:r w:rsidRPr="00D85E0C">
              <w:rPr>
                <w:rFonts w:ascii="Optima" w:hAnsi="Optima"/>
                <w:b/>
                <w:bCs/>
                <w:color w:val="000000" w:themeColor="text1"/>
                <w:sz w:val="19"/>
                <w:szCs w:val="19"/>
              </w:rPr>
              <w:t xml:space="preserve">Total </w:t>
            </w:r>
            <w:r w:rsidR="004D4C63" w:rsidRPr="00D85E0C">
              <w:rPr>
                <w:rFonts w:ascii="Optima" w:hAnsi="Optima"/>
                <w:b/>
                <w:bCs/>
                <w:color w:val="000000" w:themeColor="text1"/>
                <w:sz w:val="19"/>
                <w:szCs w:val="19"/>
              </w:rPr>
              <w:t xml:space="preserve">Staffing </w:t>
            </w:r>
            <w:r w:rsidR="00DA6143" w:rsidRPr="00D85E0C">
              <w:rPr>
                <w:rFonts w:ascii="Optima" w:hAnsi="Optima"/>
                <w:b/>
                <w:bCs/>
                <w:color w:val="000000" w:themeColor="text1"/>
                <w:sz w:val="19"/>
                <w:szCs w:val="19"/>
              </w:rPr>
              <w:t xml:space="preserve">Reimbursement </w:t>
            </w:r>
            <w:r w:rsidR="004D4C63" w:rsidRPr="00D85E0C">
              <w:rPr>
                <w:rFonts w:ascii="Optima" w:hAnsi="Optima"/>
                <w:b/>
                <w:bCs/>
                <w:color w:val="000000" w:themeColor="text1"/>
                <w:sz w:val="19"/>
                <w:szCs w:val="19"/>
              </w:rPr>
              <w:t xml:space="preserve">Rate per </w:t>
            </w:r>
            <w:r w:rsidR="00742DF5" w:rsidRPr="00D85E0C">
              <w:rPr>
                <w:rFonts w:ascii="Optima" w:hAnsi="Optima"/>
                <w:b/>
                <w:bCs/>
                <w:color w:val="000000" w:themeColor="text1"/>
                <w:sz w:val="19"/>
                <w:szCs w:val="19"/>
              </w:rPr>
              <w:t>b</w:t>
            </w:r>
            <w:r w:rsidR="004D4C63" w:rsidRPr="00D85E0C">
              <w:rPr>
                <w:rFonts w:ascii="Optima" w:hAnsi="Optima"/>
                <w:b/>
                <w:bCs/>
                <w:color w:val="000000" w:themeColor="text1"/>
                <w:sz w:val="19"/>
                <w:szCs w:val="19"/>
              </w:rPr>
              <w:t xml:space="preserve">illable </w:t>
            </w:r>
            <w:r w:rsidR="00742DF5" w:rsidRPr="00D85E0C">
              <w:rPr>
                <w:rFonts w:ascii="Optima" w:hAnsi="Optima"/>
                <w:b/>
                <w:bCs/>
                <w:color w:val="000000" w:themeColor="text1"/>
                <w:sz w:val="19"/>
                <w:szCs w:val="19"/>
              </w:rPr>
              <w:t>h</w:t>
            </w:r>
            <w:r w:rsidR="004D4C63" w:rsidRPr="00D85E0C">
              <w:rPr>
                <w:rFonts w:ascii="Optima" w:hAnsi="Optima"/>
                <w:b/>
                <w:bCs/>
                <w:color w:val="000000" w:themeColor="text1"/>
                <w:sz w:val="19"/>
                <w:szCs w:val="19"/>
              </w:rPr>
              <w:t>our</w:t>
            </w:r>
          </w:p>
        </w:tc>
        <w:tc>
          <w:tcPr>
            <w:tcW w:w="1350" w:type="dxa"/>
            <w:tcBorders>
              <w:left w:val="nil"/>
              <w:bottom w:val="single" w:sz="4" w:space="0" w:color="215868" w:themeColor="accent5" w:themeShade="80"/>
              <w:right w:val="nil"/>
            </w:tcBorders>
            <w:shd w:val="clear" w:color="auto" w:fill="auto"/>
            <w:noWrap/>
            <w:vAlign w:val="center"/>
            <w:hideMark/>
          </w:tcPr>
          <w:p w14:paraId="369EE29A" w14:textId="77777777" w:rsidR="004D4C63" w:rsidRPr="00D85E0C" w:rsidRDefault="004D4C63" w:rsidP="007503A3">
            <w:pPr>
              <w:spacing w:before="60" w:after="60" w:line="240" w:lineRule="auto"/>
              <w:jc w:val="right"/>
              <w:rPr>
                <w:rFonts w:ascii="Optima" w:hAnsi="Optima"/>
                <w:b/>
                <w:bCs/>
                <w:color w:val="000000" w:themeColor="text1"/>
                <w:sz w:val="19"/>
                <w:szCs w:val="19"/>
              </w:rPr>
            </w:pPr>
            <w:r w:rsidRPr="00D85E0C">
              <w:rPr>
                <w:rFonts w:ascii="Optima" w:hAnsi="Optima"/>
                <w:b/>
                <w:bCs/>
                <w:color w:val="000000" w:themeColor="text1"/>
                <w:sz w:val="19"/>
                <w:szCs w:val="19"/>
              </w:rPr>
              <w:t>$38.61</w:t>
            </w:r>
          </w:p>
        </w:tc>
      </w:tr>
    </w:tbl>
    <w:p w14:paraId="6DFDF8F7" w14:textId="77777777" w:rsidR="00040F28" w:rsidRDefault="00040F28"/>
    <w:tbl>
      <w:tblPr>
        <w:tblW w:w="9270" w:type="dxa"/>
        <w:jc w:val="center"/>
        <w:tblLook w:val="0420" w:firstRow="1" w:lastRow="0" w:firstColumn="0" w:lastColumn="0" w:noHBand="0" w:noVBand="1"/>
        <w:tblCaption w:val="Determining Cost per Hour of Job Coaching"/>
        <w:tblDescription w:val="Staffing Reimbursement Rate (per billable hour): Job Coach, sase Staffing Cost (wages + benefits, etc.) per billable hour, and Productivity Cost per hour"/>
      </w:tblPr>
      <w:tblGrid>
        <w:gridCol w:w="7920"/>
        <w:gridCol w:w="1350"/>
      </w:tblGrid>
      <w:tr w:rsidR="001F6FF2" w:rsidRPr="00700B5F" w14:paraId="699C0FC2" w14:textId="77777777" w:rsidTr="001839A3">
        <w:trPr>
          <w:trHeight w:val="360"/>
          <w:jc w:val="center"/>
        </w:trPr>
        <w:tc>
          <w:tcPr>
            <w:tcW w:w="7920" w:type="dxa"/>
            <w:tcBorders>
              <w:left w:val="nil"/>
              <w:bottom w:val="single" w:sz="4" w:space="0" w:color="215868" w:themeColor="accent5" w:themeShade="80"/>
              <w:right w:val="nil"/>
            </w:tcBorders>
            <w:shd w:val="clear" w:color="auto" w:fill="215868" w:themeFill="accent5" w:themeFillShade="80"/>
            <w:noWrap/>
            <w:vAlign w:val="center"/>
            <w:hideMark/>
          </w:tcPr>
          <w:p w14:paraId="18840CC4" w14:textId="77777777" w:rsidR="001F6FF2" w:rsidRPr="00700B5F" w:rsidRDefault="001F6FF2" w:rsidP="00D85E0C">
            <w:pPr>
              <w:spacing w:before="60" w:after="60" w:line="240" w:lineRule="auto"/>
              <w:rPr>
                <w:rFonts w:ascii="Optima" w:hAnsi="Optima"/>
                <w:b/>
                <w:bCs/>
                <w:color w:val="FFFFFF" w:themeColor="background1"/>
                <w:sz w:val="19"/>
                <w:szCs w:val="19"/>
              </w:rPr>
            </w:pPr>
            <w:r>
              <w:rPr>
                <w:rFonts w:ascii="Optima" w:hAnsi="Optima"/>
                <w:b/>
                <w:bCs/>
                <w:color w:val="FFFFFF" w:themeColor="background1"/>
                <w:sz w:val="19"/>
                <w:szCs w:val="19"/>
              </w:rPr>
              <w:t>Details for Staffing Reimbursement Rate</w:t>
            </w:r>
            <w:r w:rsidRPr="00F57DD3">
              <w:rPr>
                <w:rFonts w:ascii="Optima" w:hAnsi="Optima"/>
                <w:b/>
                <w:bCs/>
                <w:color w:val="FFFFFF" w:themeColor="background1"/>
                <w:sz w:val="19"/>
                <w:szCs w:val="19"/>
              </w:rPr>
              <w:t xml:space="preserve"> </w:t>
            </w:r>
            <w:r>
              <w:rPr>
                <w:rFonts w:ascii="Optima" w:hAnsi="Optima"/>
                <w:b/>
                <w:bCs/>
                <w:color w:val="FFFFFF" w:themeColor="background1"/>
                <w:sz w:val="19"/>
                <w:szCs w:val="19"/>
              </w:rPr>
              <w:t>(per billable hour):</w:t>
            </w:r>
            <w:r w:rsidRPr="00700B5F">
              <w:rPr>
                <w:rFonts w:ascii="Optima" w:hAnsi="Optima"/>
                <w:b/>
                <w:bCs/>
                <w:color w:val="FFFFFF" w:themeColor="background1"/>
                <w:sz w:val="19"/>
                <w:szCs w:val="19"/>
              </w:rPr>
              <w:t xml:space="preserve"> </w:t>
            </w:r>
            <w:r>
              <w:rPr>
                <w:rFonts w:ascii="Optima" w:hAnsi="Optima"/>
                <w:b/>
                <w:bCs/>
                <w:color w:val="FFFFFF" w:themeColor="background1"/>
                <w:sz w:val="19"/>
                <w:szCs w:val="19"/>
              </w:rPr>
              <w:t>Job Coach</w:t>
            </w:r>
          </w:p>
        </w:tc>
        <w:tc>
          <w:tcPr>
            <w:tcW w:w="1350" w:type="dxa"/>
            <w:tcBorders>
              <w:left w:val="nil"/>
              <w:bottom w:val="single" w:sz="4" w:space="0" w:color="215868" w:themeColor="accent5" w:themeShade="80"/>
              <w:right w:val="nil"/>
            </w:tcBorders>
            <w:shd w:val="clear" w:color="auto" w:fill="215868" w:themeFill="accent5" w:themeFillShade="80"/>
            <w:noWrap/>
            <w:vAlign w:val="center"/>
            <w:hideMark/>
          </w:tcPr>
          <w:p w14:paraId="1CEA7520" w14:textId="77777777" w:rsidR="001F6FF2" w:rsidRPr="00700B5F" w:rsidRDefault="001F6FF2" w:rsidP="001F6FF2">
            <w:pPr>
              <w:spacing w:before="60" w:after="60" w:line="240" w:lineRule="auto"/>
              <w:jc w:val="right"/>
              <w:rPr>
                <w:rFonts w:ascii="Optima" w:hAnsi="Optima"/>
                <w:b/>
                <w:bCs/>
                <w:color w:val="FFFFFF" w:themeColor="background1"/>
                <w:sz w:val="19"/>
                <w:szCs w:val="19"/>
              </w:rPr>
            </w:pPr>
          </w:p>
        </w:tc>
      </w:tr>
      <w:tr w:rsidR="009A6F59" w:rsidRPr="00040F28" w14:paraId="4509067C" w14:textId="77777777" w:rsidTr="001839A3">
        <w:trPr>
          <w:trHeight w:val="315"/>
          <w:jc w:val="center"/>
        </w:trPr>
        <w:tc>
          <w:tcPr>
            <w:tcW w:w="7920" w:type="dxa"/>
            <w:tcBorders>
              <w:top w:val="single" w:sz="2" w:space="0" w:color="31849B" w:themeColor="accent5" w:themeShade="BF"/>
              <w:left w:val="nil"/>
              <w:bottom w:val="single" w:sz="2" w:space="0" w:color="BFBFBF" w:themeColor="background1" w:themeShade="BF"/>
              <w:right w:val="nil"/>
            </w:tcBorders>
            <w:shd w:val="clear" w:color="auto" w:fill="DAEEF3" w:themeFill="accent5" w:themeFillTint="33"/>
            <w:hideMark/>
          </w:tcPr>
          <w:p w14:paraId="23157C17" w14:textId="77777777" w:rsidR="004D4C63" w:rsidRPr="00040F28" w:rsidRDefault="00594263" w:rsidP="007503A3">
            <w:pPr>
              <w:pStyle w:val="ListParagraph"/>
              <w:numPr>
                <w:ilvl w:val="0"/>
                <w:numId w:val="22"/>
              </w:numPr>
              <w:spacing w:before="60" w:after="60" w:line="240" w:lineRule="auto"/>
              <w:rPr>
                <w:rFonts w:ascii="Optima" w:hAnsi="Optima"/>
                <w:b/>
                <w:bCs/>
                <w:color w:val="18424E"/>
                <w:sz w:val="19"/>
                <w:szCs w:val="19"/>
              </w:rPr>
            </w:pPr>
            <w:r w:rsidRPr="00040F28">
              <w:rPr>
                <w:rFonts w:ascii="Optima" w:hAnsi="Optima"/>
                <w:b/>
                <w:bCs/>
                <w:color w:val="18424E"/>
                <w:sz w:val="19"/>
                <w:szCs w:val="19"/>
              </w:rPr>
              <w:t>Base Staffing Cost</w:t>
            </w:r>
            <w:r w:rsidR="00D20F23" w:rsidRPr="00040F28">
              <w:rPr>
                <w:rFonts w:ascii="Optima" w:hAnsi="Optima"/>
                <w:b/>
                <w:bCs/>
                <w:color w:val="18424E"/>
                <w:sz w:val="19"/>
                <w:szCs w:val="19"/>
              </w:rPr>
              <w:t xml:space="preserve"> (wages + benefits, etc.)</w:t>
            </w:r>
            <w:r w:rsidR="00263D8D" w:rsidRPr="00040F28">
              <w:rPr>
                <w:rFonts w:ascii="Optima" w:hAnsi="Optima"/>
                <w:b/>
                <w:bCs/>
                <w:color w:val="18424E"/>
                <w:sz w:val="19"/>
                <w:szCs w:val="19"/>
              </w:rPr>
              <w:t xml:space="preserve"> per </w:t>
            </w:r>
            <w:r w:rsidR="00A5075F" w:rsidRPr="00040F28">
              <w:rPr>
                <w:rFonts w:ascii="Optima" w:hAnsi="Optima"/>
                <w:b/>
                <w:bCs/>
                <w:color w:val="18424E"/>
                <w:sz w:val="19"/>
                <w:szCs w:val="19"/>
              </w:rPr>
              <w:t>b</w:t>
            </w:r>
            <w:r w:rsidR="00263D8D" w:rsidRPr="00040F28">
              <w:rPr>
                <w:rFonts w:ascii="Optima" w:hAnsi="Optima"/>
                <w:b/>
                <w:bCs/>
                <w:color w:val="18424E"/>
                <w:sz w:val="19"/>
                <w:szCs w:val="19"/>
              </w:rPr>
              <w:t xml:space="preserve">illable </w:t>
            </w:r>
            <w:r w:rsidR="00A5075F" w:rsidRPr="00040F28">
              <w:rPr>
                <w:rFonts w:ascii="Optima" w:hAnsi="Optima"/>
                <w:b/>
                <w:bCs/>
                <w:color w:val="18424E"/>
                <w:sz w:val="19"/>
                <w:szCs w:val="19"/>
              </w:rPr>
              <w:t>h</w:t>
            </w:r>
            <w:r w:rsidR="00263D8D" w:rsidRPr="00040F28">
              <w:rPr>
                <w:rFonts w:ascii="Optima" w:hAnsi="Optima"/>
                <w:b/>
                <w:bCs/>
                <w:color w:val="18424E"/>
                <w:sz w:val="19"/>
                <w:szCs w:val="19"/>
              </w:rPr>
              <w:t>our</w:t>
            </w:r>
          </w:p>
        </w:tc>
        <w:tc>
          <w:tcPr>
            <w:tcW w:w="1350" w:type="dxa"/>
            <w:tcBorders>
              <w:top w:val="single" w:sz="2" w:space="0" w:color="31849B" w:themeColor="accent5" w:themeShade="BF"/>
              <w:left w:val="nil"/>
              <w:bottom w:val="single" w:sz="2" w:space="0" w:color="BFBFBF" w:themeColor="background1" w:themeShade="BF"/>
              <w:right w:val="nil"/>
            </w:tcBorders>
            <w:shd w:val="clear" w:color="auto" w:fill="DAEEF3" w:themeFill="accent5" w:themeFillTint="33"/>
            <w:hideMark/>
          </w:tcPr>
          <w:p w14:paraId="0A464671" w14:textId="77777777" w:rsidR="004D4C63" w:rsidRPr="00040F28" w:rsidRDefault="003A2F41" w:rsidP="005835A7">
            <w:pPr>
              <w:spacing w:before="60" w:after="60" w:line="240" w:lineRule="auto"/>
              <w:jc w:val="right"/>
              <w:rPr>
                <w:rFonts w:ascii="Optima" w:hAnsi="Optima"/>
                <w:b/>
                <w:bCs/>
                <w:color w:val="18424E"/>
                <w:sz w:val="19"/>
                <w:szCs w:val="19"/>
              </w:rPr>
            </w:pPr>
            <w:r w:rsidRPr="00040F28">
              <w:rPr>
                <w:rFonts w:ascii="Optima" w:hAnsi="Optima"/>
                <w:b/>
                <w:bCs/>
                <w:color w:val="18424E"/>
                <w:sz w:val="19"/>
                <w:szCs w:val="19"/>
              </w:rPr>
              <w:t>$24.29</w:t>
            </w:r>
          </w:p>
        </w:tc>
      </w:tr>
      <w:tr w:rsidR="00FC1D23" w:rsidRPr="00A34376" w14:paraId="7D970B10" w14:textId="77777777" w:rsidTr="001839A3">
        <w:trPr>
          <w:trHeight w:val="315"/>
          <w:jc w:val="center"/>
        </w:trPr>
        <w:tc>
          <w:tcPr>
            <w:tcW w:w="7920" w:type="dxa"/>
            <w:tcBorders>
              <w:top w:val="single" w:sz="2" w:space="0" w:color="BFBFBF" w:themeColor="background1" w:themeShade="BF"/>
              <w:left w:val="nil"/>
              <w:bottom w:val="nil"/>
              <w:right w:val="nil"/>
            </w:tcBorders>
            <w:shd w:val="clear" w:color="auto" w:fill="auto"/>
            <w:noWrap/>
            <w:hideMark/>
          </w:tcPr>
          <w:p w14:paraId="064AAE0C" w14:textId="77777777" w:rsidR="004D4C63" w:rsidRPr="00A34376" w:rsidRDefault="004D4C63"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Hourly Wage</w:t>
            </w:r>
          </w:p>
        </w:tc>
        <w:tc>
          <w:tcPr>
            <w:tcW w:w="1350" w:type="dxa"/>
            <w:tcBorders>
              <w:top w:val="single" w:sz="2" w:space="0" w:color="BFBFBF" w:themeColor="background1" w:themeShade="BF"/>
              <w:left w:val="nil"/>
              <w:bottom w:val="nil"/>
              <w:right w:val="nil"/>
            </w:tcBorders>
            <w:shd w:val="clear" w:color="auto" w:fill="auto"/>
            <w:noWrap/>
            <w:hideMark/>
          </w:tcPr>
          <w:p w14:paraId="7A03C485" w14:textId="77777777" w:rsidR="004D4C63" w:rsidRPr="00A34376" w:rsidRDefault="004D4C63" w:rsidP="005835A7">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$13.50</w:t>
            </w:r>
          </w:p>
        </w:tc>
      </w:tr>
      <w:tr w:rsidR="00FA1B77" w:rsidRPr="00A34376" w14:paraId="60F97462" w14:textId="77777777" w:rsidTr="001839A3">
        <w:trPr>
          <w:trHeight w:val="79"/>
          <w:jc w:val="center"/>
        </w:trPr>
        <w:tc>
          <w:tcPr>
            <w:tcW w:w="7920" w:type="dxa"/>
            <w:tcBorders>
              <w:top w:val="nil"/>
              <w:left w:val="nil"/>
              <w:right w:val="nil"/>
            </w:tcBorders>
            <w:shd w:val="clear" w:color="auto" w:fill="auto"/>
            <w:noWrap/>
            <w:hideMark/>
          </w:tcPr>
          <w:p w14:paraId="2690629E" w14:textId="77777777" w:rsidR="004D4C63" w:rsidRPr="00A34376" w:rsidRDefault="003175D1"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OCHN</w:t>
            </w:r>
            <w:r w:rsidR="004D4C63" w:rsidRPr="00A34376">
              <w:rPr>
                <w:rFonts w:ascii="Optima" w:hAnsi="Optima"/>
                <w:color w:val="262626" w:themeColor="text1" w:themeTint="D9"/>
                <w:sz w:val="19"/>
                <w:szCs w:val="19"/>
              </w:rPr>
              <w:t xml:space="preserve"> DCW (continuation)</w:t>
            </w:r>
          </w:p>
        </w:tc>
        <w:tc>
          <w:tcPr>
            <w:tcW w:w="1350" w:type="dxa"/>
            <w:tcBorders>
              <w:top w:val="nil"/>
              <w:left w:val="nil"/>
              <w:right w:val="nil"/>
            </w:tcBorders>
            <w:shd w:val="clear" w:color="auto" w:fill="auto"/>
            <w:noWrap/>
            <w:hideMark/>
          </w:tcPr>
          <w:p w14:paraId="0C242058" w14:textId="77777777" w:rsidR="004D4C63" w:rsidRPr="00A34376" w:rsidRDefault="004D4C63" w:rsidP="005835A7">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$0.50</w:t>
            </w:r>
          </w:p>
        </w:tc>
      </w:tr>
      <w:tr w:rsidR="00A10692" w:rsidRPr="00A34376" w14:paraId="41C8E412" w14:textId="77777777" w:rsidTr="001839A3">
        <w:trPr>
          <w:trHeight w:val="315"/>
          <w:jc w:val="center"/>
        </w:trPr>
        <w:tc>
          <w:tcPr>
            <w:tcW w:w="7920" w:type="dxa"/>
            <w:tcBorders>
              <w:top w:val="nil"/>
              <w:left w:val="nil"/>
              <w:bottom w:val="single" w:sz="2" w:space="0" w:color="BFBFBF" w:themeColor="background1" w:themeShade="BF"/>
              <w:right w:val="nil"/>
            </w:tcBorders>
            <w:shd w:val="clear" w:color="auto" w:fill="auto"/>
            <w:noWrap/>
            <w:hideMark/>
          </w:tcPr>
          <w:p w14:paraId="5CF2B814" w14:textId="77777777" w:rsidR="004D4C63" w:rsidRPr="00A34376" w:rsidRDefault="004D4C63"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MDHHS DCW (state portion)</w:t>
            </w:r>
          </w:p>
        </w:tc>
        <w:tc>
          <w:tcPr>
            <w:tcW w:w="1350" w:type="dxa"/>
            <w:tcBorders>
              <w:top w:val="nil"/>
              <w:left w:val="nil"/>
              <w:bottom w:val="single" w:sz="2" w:space="0" w:color="BFBFBF" w:themeColor="background1" w:themeShade="BF"/>
              <w:right w:val="nil"/>
            </w:tcBorders>
            <w:shd w:val="clear" w:color="auto" w:fill="auto"/>
            <w:noWrap/>
            <w:hideMark/>
          </w:tcPr>
          <w:p w14:paraId="668CC75B" w14:textId="77777777" w:rsidR="004D4C63" w:rsidRPr="00A34376" w:rsidRDefault="004D4C63" w:rsidP="005835A7">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$0.50</w:t>
            </w:r>
          </w:p>
        </w:tc>
      </w:tr>
      <w:tr w:rsidR="00FC1D23" w:rsidRPr="00A34376" w14:paraId="5DEC9F55" w14:textId="77777777" w:rsidTr="001839A3">
        <w:trPr>
          <w:trHeight w:val="315"/>
          <w:jc w:val="center"/>
        </w:trPr>
        <w:tc>
          <w:tcPr>
            <w:tcW w:w="7920" w:type="dxa"/>
            <w:tcBorders>
              <w:top w:val="single" w:sz="2" w:space="0" w:color="BFBFBF" w:themeColor="background1" w:themeShade="BF"/>
              <w:left w:val="nil"/>
              <w:bottom w:val="nil"/>
              <w:right w:val="nil"/>
            </w:tcBorders>
            <w:shd w:val="clear" w:color="auto" w:fill="auto"/>
            <w:noWrap/>
            <w:hideMark/>
          </w:tcPr>
          <w:p w14:paraId="52E26399" w14:textId="77777777" w:rsidR="004D4C63" w:rsidRPr="00A34376" w:rsidRDefault="004D4C63" w:rsidP="007503A3">
            <w:pPr>
              <w:spacing w:before="60" w:after="60" w:line="240" w:lineRule="auto"/>
              <w:ind w:left="341"/>
              <w:rPr>
                <w:rFonts w:ascii="Optima" w:hAnsi="Optima"/>
                <w:b/>
                <w:bCs/>
                <w:color w:val="262626" w:themeColor="text1" w:themeTint="D9"/>
                <w:sz w:val="19"/>
                <w:szCs w:val="19"/>
              </w:rPr>
            </w:pPr>
            <w:r w:rsidRPr="00A34376">
              <w:rPr>
                <w:rFonts w:ascii="Optima" w:hAnsi="Optima"/>
                <w:b/>
                <w:bCs/>
                <w:color w:val="262626" w:themeColor="text1" w:themeTint="D9"/>
                <w:sz w:val="19"/>
                <w:szCs w:val="19"/>
              </w:rPr>
              <w:t>Total</w:t>
            </w:r>
            <w:r w:rsidR="008D2F27" w:rsidRPr="00A34376">
              <w:rPr>
                <w:rFonts w:ascii="Optima" w:hAnsi="Optima"/>
                <w:b/>
                <w:bCs/>
                <w:color w:val="262626" w:themeColor="text1" w:themeTint="D9"/>
                <w:sz w:val="19"/>
                <w:szCs w:val="19"/>
              </w:rPr>
              <w:t>,</w:t>
            </w:r>
            <w:r w:rsidRPr="00A34376">
              <w:rPr>
                <w:rFonts w:ascii="Optima" w:hAnsi="Optima"/>
                <w:b/>
                <w:bCs/>
                <w:color w:val="262626" w:themeColor="text1" w:themeTint="D9"/>
                <w:sz w:val="19"/>
                <w:szCs w:val="19"/>
              </w:rPr>
              <w:t xml:space="preserve"> Hourly Wage</w:t>
            </w:r>
          </w:p>
        </w:tc>
        <w:tc>
          <w:tcPr>
            <w:tcW w:w="1350" w:type="dxa"/>
            <w:tcBorders>
              <w:top w:val="single" w:sz="2" w:space="0" w:color="BFBFBF" w:themeColor="background1" w:themeShade="BF"/>
              <w:left w:val="nil"/>
              <w:bottom w:val="nil"/>
              <w:right w:val="nil"/>
            </w:tcBorders>
            <w:shd w:val="clear" w:color="auto" w:fill="auto"/>
            <w:noWrap/>
            <w:hideMark/>
          </w:tcPr>
          <w:p w14:paraId="5213D559" w14:textId="77777777" w:rsidR="004D4C63" w:rsidRPr="00A34376" w:rsidRDefault="004D4C63" w:rsidP="005835A7">
            <w:pPr>
              <w:spacing w:before="60" w:after="60" w:line="240" w:lineRule="auto"/>
              <w:ind w:right="160"/>
              <w:jc w:val="right"/>
              <w:rPr>
                <w:rFonts w:ascii="Optima" w:hAnsi="Optima"/>
                <w:b/>
                <w:bCs/>
                <w:color w:val="262626" w:themeColor="text1" w:themeTint="D9"/>
                <w:sz w:val="19"/>
                <w:szCs w:val="19"/>
              </w:rPr>
            </w:pPr>
            <w:r w:rsidRPr="00A34376">
              <w:rPr>
                <w:rFonts w:ascii="Optima" w:hAnsi="Optima"/>
                <w:b/>
                <w:bCs/>
                <w:color w:val="262626" w:themeColor="text1" w:themeTint="D9"/>
                <w:sz w:val="19"/>
                <w:szCs w:val="19"/>
              </w:rPr>
              <w:t>$14.50</w:t>
            </w:r>
          </w:p>
        </w:tc>
      </w:tr>
      <w:tr w:rsidR="00FA1B77" w:rsidRPr="00A34376" w14:paraId="23D1A7C9" w14:textId="77777777" w:rsidTr="001839A3">
        <w:trPr>
          <w:trHeight w:val="79"/>
          <w:jc w:val="center"/>
        </w:trPr>
        <w:tc>
          <w:tcPr>
            <w:tcW w:w="7920" w:type="dxa"/>
            <w:tcBorders>
              <w:top w:val="nil"/>
              <w:left w:val="nil"/>
              <w:bottom w:val="single" w:sz="2" w:space="0" w:color="BFBFBF" w:themeColor="background1" w:themeShade="BF"/>
              <w:right w:val="nil"/>
            </w:tcBorders>
            <w:shd w:val="clear" w:color="auto" w:fill="auto"/>
            <w:noWrap/>
            <w:hideMark/>
          </w:tcPr>
          <w:p w14:paraId="59A95E36" w14:textId="77777777" w:rsidR="004D4C63" w:rsidRPr="00A34376" w:rsidRDefault="004D4C63" w:rsidP="00553C3B">
            <w:pPr>
              <w:spacing w:before="0" w:after="60" w:line="240" w:lineRule="auto"/>
              <w:jc w:val="right"/>
              <w:rPr>
                <w:rFonts w:ascii="Optima" w:hAnsi="Optima"/>
                <w:color w:val="262626" w:themeColor="text1" w:themeTint="D9"/>
                <w:sz w:val="19"/>
                <w:szCs w:val="19"/>
              </w:rPr>
            </w:pPr>
            <w:r w:rsidRPr="00A34376">
              <w:rPr>
                <w:rFonts w:ascii="Optima" w:hAnsi="Optima"/>
                <w:color w:val="262626" w:themeColor="text1" w:themeTint="D9"/>
                <w:sz w:val="19"/>
                <w:szCs w:val="19"/>
              </w:rPr>
              <w:t>Benefits, payroll taxes, workers comp, unemployment, FICA</w:t>
            </w:r>
            <w:r w:rsidR="009E39A6" w:rsidRPr="00A34376">
              <w:rPr>
                <w:rFonts w:ascii="Optima" w:hAnsi="Optima"/>
                <w:color w:val="262626" w:themeColor="text1" w:themeTint="D9"/>
                <w:sz w:val="19"/>
                <w:szCs w:val="19"/>
              </w:rPr>
              <w:t xml:space="preserve"> (</w:t>
            </w:r>
            <w:r w:rsidR="00FB1925" w:rsidRPr="00A34376">
              <w:rPr>
                <w:rFonts w:ascii="Optima" w:hAnsi="Optima"/>
                <w:color w:val="262626" w:themeColor="text1" w:themeTint="D9"/>
                <w:sz w:val="19"/>
                <w:szCs w:val="19"/>
              </w:rPr>
              <w:t>34</w:t>
            </w:r>
            <w:r w:rsidR="009E39A6" w:rsidRPr="00A34376">
              <w:rPr>
                <w:rFonts w:ascii="Optima" w:hAnsi="Optima"/>
                <w:color w:val="262626" w:themeColor="text1" w:themeTint="D9"/>
                <w:sz w:val="19"/>
                <w:szCs w:val="19"/>
              </w:rPr>
              <w:t>%)</w:t>
            </w:r>
          </w:p>
        </w:tc>
        <w:tc>
          <w:tcPr>
            <w:tcW w:w="1350" w:type="dxa"/>
            <w:tcBorders>
              <w:top w:val="nil"/>
              <w:left w:val="nil"/>
              <w:bottom w:val="single" w:sz="2" w:space="0" w:color="BFBFBF" w:themeColor="background1" w:themeShade="BF"/>
              <w:right w:val="nil"/>
            </w:tcBorders>
            <w:shd w:val="clear" w:color="auto" w:fill="auto"/>
            <w:noWrap/>
            <w:hideMark/>
          </w:tcPr>
          <w:p w14:paraId="519031C1" w14:textId="77777777" w:rsidR="004D4C63" w:rsidRPr="00A34376" w:rsidRDefault="002973D9" w:rsidP="00553C3B">
            <w:pPr>
              <w:spacing w:before="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$4.93</w:t>
            </w:r>
          </w:p>
        </w:tc>
      </w:tr>
      <w:tr w:rsidR="00FC1D23" w:rsidRPr="00A34376" w14:paraId="680ED2BC" w14:textId="77777777" w:rsidTr="001839A3">
        <w:trPr>
          <w:trHeight w:val="139"/>
          <w:jc w:val="center"/>
        </w:trPr>
        <w:tc>
          <w:tcPr>
            <w:tcW w:w="7920" w:type="dxa"/>
            <w:tcBorders>
              <w:top w:val="single" w:sz="2" w:space="0" w:color="BFBFBF" w:themeColor="background1" w:themeShade="BF"/>
              <w:left w:val="nil"/>
              <w:bottom w:val="nil"/>
              <w:right w:val="nil"/>
            </w:tcBorders>
            <w:shd w:val="clear" w:color="auto" w:fill="auto"/>
            <w:noWrap/>
            <w:hideMark/>
          </w:tcPr>
          <w:p w14:paraId="3D1E885C" w14:textId="77777777" w:rsidR="004D4C63" w:rsidRPr="00A34376" w:rsidRDefault="00EB3F75" w:rsidP="007503A3">
            <w:pPr>
              <w:spacing w:before="60" w:after="60" w:line="240" w:lineRule="auto"/>
              <w:ind w:left="341"/>
              <w:rPr>
                <w:rFonts w:ascii="Optima" w:hAnsi="Optima"/>
                <w:b/>
                <w:bCs/>
                <w:color w:val="262626" w:themeColor="text1" w:themeTint="D9"/>
                <w:sz w:val="19"/>
                <w:szCs w:val="19"/>
              </w:rPr>
            </w:pPr>
            <w:r w:rsidRPr="00A34376">
              <w:rPr>
                <w:rFonts w:ascii="Optima" w:hAnsi="Optima"/>
                <w:b/>
                <w:bCs/>
                <w:color w:val="262626" w:themeColor="text1" w:themeTint="D9"/>
                <w:sz w:val="19"/>
                <w:szCs w:val="19"/>
              </w:rPr>
              <w:t xml:space="preserve">Total Hourly </w:t>
            </w:r>
            <w:r w:rsidR="004D4C63" w:rsidRPr="00A34376">
              <w:rPr>
                <w:rFonts w:ascii="Optima" w:hAnsi="Optima"/>
                <w:b/>
                <w:bCs/>
                <w:color w:val="262626" w:themeColor="text1" w:themeTint="D9"/>
                <w:sz w:val="19"/>
                <w:szCs w:val="19"/>
              </w:rPr>
              <w:t>Wage</w:t>
            </w:r>
            <w:r w:rsidR="009D0D8D" w:rsidRPr="00A34376">
              <w:rPr>
                <w:rFonts w:ascii="Optima" w:hAnsi="Optima"/>
                <w:b/>
                <w:bCs/>
                <w:color w:val="262626" w:themeColor="text1" w:themeTint="D9"/>
                <w:sz w:val="19"/>
                <w:szCs w:val="19"/>
              </w:rPr>
              <w:t xml:space="preserve"> </w:t>
            </w:r>
            <w:r w:rsidR="00192908" w:rsidRPr="00A34376">
              <w:rPr>
                <w:rFonts w:ascii="Optima" w:hAnsi="Optima"/>
                <w:b/>
                <w:bCs/>
                <w:color w:val="262626" w:themeColor="text1" w:themeTint="D9"/>
                <w:sz w:val="19"/>
                <w:szCs w:val="19"/>
              </w:rPr>
              <w:t>+</w:t>
            </w:r>
            <w:r w:rsidR="004D4C63" w:rsidRPr="00A34376">
              <w:rPr>
                <w:rFonts w:ascii="Optima" w:hAnsi="Optima"/>
                <w:b/>
                <w:bCs/>
                <w:color w:val="262626" w:themeColor="text1" w:themeTint="D9"/>
                <w:sz w:val="19"/>
                <w:szCs w:val="19"/>
              </w:rPr>
              <w:t xml:space="preserve"> Benefits, etc.</w:t>
            </w:r>
          </w:p>
        </w:tc>
        <w:tc>
          <w:tcPr>
            <w:tcW w:w="1350" w:type="dxa"/>
            <w:tcBorders>
              <w:top w:val="single" w:sz="2" w:space="0" w:color="BFBFBF" w:themeColor="background1" w:themeShade="BF"/>
              <w:left w:val="nil"/>
              <w:bottom w:val="nil"/>
              <w:right w:val="nil"/>
            </w:tcBorders>
            <w:shd w:val="clear" w:color="auto" w:fill="auto"/>
            <w:noWrap/>
            <w:hideMark/>
          </w:tcPr>
          <w:p w14:paraId="5762100E" w14:textId="77777777" w:rsidR="004D4C63" w:rsidRPr="00A34376" w:rsidRDefault="004D4C63" w:rsidP="005835A7">
            <w:pPr>
              <w:spacing w:before="60" w:after="60" w:line="240" w:lineRule="auto"/>
              <w:ind w:right="160"/>
              <w:jc w:val="right"/>
              <w:rPr>
                <w:rFonts w:ascii="Optima" w:hAnsi="Optima"/>
                <w:b/>
                <w:bCs/>
                <w:color w:val="262626" w:themeColor="text1" w:themeTint="D9"/>
                <w:sz w:val="19"/>
                <w:szCs w:val="19"/>
              </w:rPr>
            </w:pPr>
            <w:r w:rsidRPr="00A34376">
              <w:rPr>
                <w:rFonts w:ascii="Optima" w:hAnsi="Optima"/>
                <w:b/>
                <w:bCs/>
                <w:color w:val="262626" w:themeColor="text1" w:themeTint="D9"/>
                <w:sz w:val="19"/>
                <w:szCs w:val="19"/>
              </w:rPr>
              <w:t>$19.43</w:t>
            </w:r>
          </w:p>
        </w:tc>
      </w:tr>
      <w:tr w:rsidR="00FA1B77" w:rsidRPr="00A34376" w14:paraId="63FD4D03" w14:textId="77777777" w:rsidTr="001839A3">
        <w:trPr>
          <w:trHeight w:val="79"/>
          <w:jc w:val="center"/>
        </w:trPr>
        <w:tc>
          <w:tcPr>
            <w:tcW w:w="7920" w:type="dxa"/>
            <w:tcBorders>
              <w:top w:val="nil"/>
              <w:left w:val="nil"/>
              <w:bottom w:val="single" w:sz="2" w:space="0" w:color="BFBFBF" w:themeColor="background1" w:themeShade="BF"/>
              <w:right w:val="nil"/>
            </w:tcBorders>
            <w:shd w:val="clear" w:color="auto" w:fill="auto"/>
            <w:noWrap/>
            <w:hideMark/>
          </w:tcPr>
          <w:p w14:paraId="1BB7547C" w14:textId="77777777" w:rsidR="004D4C63" w:rsidRPr="00A34376" w:rsidRDefault="004D4C63" w:rsidP="00553C3B">
            <w:pPr>
              <w:spacing w:before="0" w:after="60" w:line="240" w:lineRule="auto"/>
              <w:jc w:val="right"/>
              <w:rPr>
                <w:rFonts w:ascii="Optima" w:hAnsi="Optima"/>
                <w:color w:val="262626" w:themeColor="text1" w:themeTint="D9"/>
                <w:sz w:val="19"/>
                <w:szCs w:val="19"/>
              </w:rPr>
            </w:pPr>
            <w:r w:rsidRPr="00A34376">
              <w:rPr>
                <w:rFonts w:ascii="Optima" w:hAnsi="Optima"/>
                <w:color w:val="262626" w:themeColor="text1" w:themeTint="D9"/>
                <w:sz w:val="19"/>
                <w:szCs w:val="19"/>
              </w:rPr>
              <w:t>Overhead / Administration</w:t>
            </w:r>
            <w:r w:rsidR="00192908" w:rsidRPr="00A34376">
              <w:rPr>
                <w:rFonts w:ascii="Optima" w:hAnsi="Optima"/>
                <w:color w:val="262626" w:themeColor="text1" w:themeTint="D9"/>
                <w:sz w:val="19"/>
                <w:szCs w:val="19"/>
              </w:rPr>
              <w:t xml:space="preserve"> (</w:t>
            </w:r>
            <w:r w:rsidR="006E3597" w:rsidRPr="00A34376">
              <w:rPr>
                <w:rFonts w:ascii="Optima" w:hAnsi="Optima"/>
                <w:color w:val="262626" w:themeColor="text1" w:themeTint="D9"/>
                <w:sz w:val="19"/>
                <w:szCs w:val="19"/>
              </w:rPr>
              <w:t>25</w:t>
            </w:r>
            <w:r w:rsidR="00192908" w:rsidRPr="00A34376">
              <w:rPr>
                <w:rFonts w:ascii="Optima" w:hAnsi="Optima"/>
                <w:color w:val="262626" w:themeColor="text1" w:themeTint="D9"/>
                <w:sz w:val="19"/>
                <w:szCs w:val="19"/>
              </w:rPr>
              <w:t>%)</w:t>
            </w:r>
          </w:p>
        </w:tc>
        <w:tc>
          <w:tcPr>
            <w:tcW w:w="1350" w:type="dxa"/>
            <w:tcBorders>
              <w:top w:val="nil"/>
              <w:left w:val="nil"/>
              <w:bottom w:val="single" w:sz="2" w:space="0" w:color="BFBFBF" w:themeColor="background1" w:themeShade="BF"/>
              <w:right w:val="nil"/>
            </w:tcBorders>
            <w:shd w:val="clear" w:color="auto" w:fill="auto"/>
            <w:noWrap/>
            <w:hideMark/>
          </w:tcPr>
          <w:p w14:paraId="6330D8E2" w14:textId="77777777" w:rsidR="004D4C63" w:rsidRPr="00A34376" w:rsidRDefault="00CD3B10" w:rsidP="00553C3B">
            <w:pPr>
              <w:spacing w:before="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$4</w:t>
            </w:r>
            <w:r w:rsidR="006E3597" w:rsidRPr="00A34376">
              <w:rPr>
                <w:rFonts w:ascii="Optima" w:hAnsi="Optima"/>
                <w:color w:val="262626" w:themeColor="text1" w:themeTint="D9"/>
                <w:sz w:val="19"/>
                <w:szCs w:val="19"/>
              </w:rPr>
              <w:t>.86</w:t>
            </w:r>
          </w:p>
        </w:tc>
      </w:tr>
      <w:tr w:rsidR="0010330E" w:rsidRPr="007503A3" w14:paraId="66E001FA" w14:textId="77777777" w:rsidTr="001839A3">
        <w:trPr>
          <w:trHeight w:val="83"/>
          <w:jc w:val="center"/>
        </w:trPr>
        <w:tc>
          <w:tcPr>
            <w:tcW w:w="7920" w:type="dxa"/>
            <w:tcBorders>
              <w:top w:val="single" w:sz="2" w:space="0" w:color="BFBFBF" w:themeColor="background1" w:themeShade="BF"/>
              <w:left w:val="nil"/>
              <w:bottom w:val="single" w:sz="2" w:space="0" w:color="5F497A" w:themeColor="accent4" w:themeShade="BF"/>
              <w:right w:val="nil"/>
            </w:tcBorders>
            <w:shd w:val="clear" w:color="auto" w:fill="auto"/>
            <w:noWrap/>
            <w:hideMark/>
          </w:tcPr>
          <w:p w14:paraId="0780500C" w14:textId="77777777" w:rsidR="004D4C63" w:rsidRPr="007503A3" w:rsidRDefault="00A54815" w:rsidP="007503A3">
            <w:pPr>
              <w:spacing w:before="60" w:after="60" w:line="240" w:lineRule="auto"/>
              <w:ind w:left="341"/>
              <w:rPr>
                <w:rFonts w:ascii="Optima" w:hAnsi="Optima"/>
                <w:b/>
                <w:bCs/>
                <w:sz w:val="19"/>
                <w:szCs w:val="19"/>
              </w:rPr>
            </w:pPr>
            <w:r w:rsidRPr="007503A3">
              <w:rPr>
                <w:rFonts w:ascii="Optima" w:hAnsi="Optima"/>
                <w:b/>
                <w:bCs/>
                <w:color w:val="215868" w:themeColor="accent5" w:themeShade="80"/>
                <w:sz w:val="19"/>
                <w:szCs w:val="19"/>
              </w:rPr>
              <w:t xml:space="preserve">Base </w:t>
            </w:r>
            <w:r w:rsidR="004D4C63" w:rsidRPr="007503A3">
              <w:rPr>
                <w:rFonts w:ascii="Optima" w:hAnsi="Optima"/>
                <w:b/>
                <w:bCs/>
                <w:color w:val="215868" w:themeColor="accent5" w:themeShade="80"/>
                <w:sz w:val="19"/>
                <w:szCs w:val="19"/>
              </w:rPr>
              <w:t>Staff</w:t>
            </w:r>
            <w:r w:rsidRPr="007503A3">
              <w:rPr>
                <w:rFonts w:ascii="Optima" w:hAnsi="Optima"/>
                <w:b/>
                <w:bCs/>
                <w:color w:val="215868" w:themeColor="accent5" w:themeShade="80"/>
                <w:sz w:val="19"/>
                <w:szCs w:val="19"/>
              </w:rPr>
              <w:t xml:space="preserve">ing </w:t>
            </w:r>
            <w:r w:rsidR="00D626DD" w:rsidRPr="007503A3">
              <w:rPr>
                <w:rFonts w:ascii="Optima" w:hAnsi="Optima"/>
                <w:b/>
                <w:bCs/>
                <w:color w:val="215868" w:themeColor="accent5" w:themeShade="80"/>
                <w:sz w:val="19"/>
                <w:szCs w:val="19"/>
              </w:rPr>
              <w:t xml:space="preserve">Cost </w:t>
            </w:r>
            <w:r w:rsidR="004D4C63" w:rsidRPr="007503A3">
              <w:rPr>
                <w:rFonts w:ascii="Optima" w:hAnsi="Optima"/>
                <w:b/>
                <w:bCs/>
                <w:color w:val="215868" w:themeColor="accent5" w:themeShade="80"/>
                <w:sz w:val="19"/>
                <w:szCs w:val="19"/>
              </w:rPr>
              <w:t xml:space="preserve">per </w:t>
            </w:r>
            <w:r w:rsidR="00A5075F" w:rsidRPr="007503A3">
              <w:rPr>
                <w:rFonts w:ascii="Optima" w:hAnsi="Optima"/>
                <w:b/>
                <w:bCs/>
                <w:color w:val="215868" w:themeColor="accent5" w:themeShade="80"/>
                <w:sz w:val="19"/>
                <w:szCs w:val="19"/>
              </w:rPr>
              <w:t>billable h</w:t>
            </w:r>
            <w:r w:rsidR="004D4C63" w:rsidRPr="007503A3">
              <w:rPr>
                <w:rFonts w:ascii="Optima" w:hAnsi="Optima"/>
                <w:b/>
                <w:bCs/>
                <w:color w:val="215868" w:themeColor="accent5" w:themeShade="80"/>
                <w:sz w:val="19"/>
                <w:szCs w:val="19"/>
              </w:rPr>
              <w:t>our</w:t>
            </w:r>
          </w:p>
        </w:tc>
        <w:tc>
          <w:tcPr>
            <w:tcW w:w="1350" w:type="dxa"/>
            <w:tcBorders>
              <w:top w:val="single" w:sz="2" w:space="0" w:color="BFBFBF" w:themeColor="background1" w:themeShade="BF"/>
              <w:left w:val="nil"/>
              <w:bottom w:val="single" w:sz="2" w:space="0" w:color="5F497A" w:themeColor="accent4" w:themeShade="BF"/>
              <w:right w:val="nil"/>
            </w:tcBorders>
            <w:shd w:val="clear" w:color="auto" w:fill="auto"/>
            <w:noWrap/>
            <w:hideMark/>
          </w:tcPr>
          <w:p w14:paraId="608B9BAC" w14:textId="77777777" w:rsidR="004D4C63" w:rsidRPr="007503A3" w:rsidRDefault="004D4C63" w:rsidP="005835A7">
            <w:pPr>
              <w:spacing w:before="60" w:after="60" w:line="240" w:lineRule="auto"/>
              <w:ind w:right="160"/>
              <w:jc w:val="right"/>
              <w:rPr>
                <w:rFonts w:ascii="Optima" w:hAnsi="Optima"/>
                <w:b/>
                <w:bCs/>
                <w:sz w:val="19"/>
                <w:szCs w:val="19"/>
              </w:rPr>
            </w:pPr>
            <w:r w:rsidRPr="007503A3">
              <w:rPr>
                <w:rFonts w:ascii="Optima" w:hAnsi="Optima"/>
                <w:b/>
                <w:bCs/>
                <w:color w:val="215868" w:themeColor="accent5" w:themeShade="80"/>
                <w:sz w:val="19"/>
                <w:szCs w:val="19"/>
              </w:rPr>
              <w:t>$24.29</w:t>
            </w:r>
          </w:p>
        </w:tc>
      </w:tr>
      <w:tr w:rsidR="00990C1D" w:rsidRPr="00990C1D" w14:paraId="2628C2B6" w14:textId="77777777" w:rsidTr="001839A3">
        <w:trPr>
          <w:trHeight w:val="328"/>
          <w:jc w:val="center"/>
        </w:trPr>
        <w:tc>
          <w:tcPr>
            <w:tcW w:w="7920" w:type="dxa"/>
            <w:tcBorders>
              <w:top w:val="single" w:sz="2" w:space="0" w:color="5F497A" w:themeColor="accent4" w:themeShade="BF"/>
              <w:left w:val="nil"/>
              <w:bottom w:val="single" w:sz="2" w:space="0" w:color="BFBFBF" w:themeColor="background1" w:themeShade="BF"/>
              <w:right w:val="nil"/>
            </w:tcBorders>
            <w:shd w:val="clear" w:color="auto" w:fill="E5DFEC" w:themeFill="accent4" w:themeFillTint="33"/>
            <w:noWrap/>
            <w:hideMark/>
          </w:tcPr>
          <w:p w14:paraId="3AB8D49F" w14:textId="77777777" w:rsidR="004D4C63" w:rsidRPr="00990C1D" w:rsidRDefault="00364331" w:rsidP="007503A3">
            <w:pPr>
              <w:spacing w:before="60" w:after="60" w:line="240" w:lineRule="auto"/>
              <w:ind w:left="346" w:hanging="346"/>
              <w:rPr>
                <w:rFonts w:ascii="Optima" w:hAnsi="Optima"/>
                <w:b/>
                <w:bCs/>
                <w:color w:val="403152" w:themeColor="accent4" w:themeShade="80"/>
                <w:sz w:val="19"/>
                <w:szCs w:val="19"/>
              </w:rPr>
            </w:pPr>
            <w:r w:rsidRPr="00990C1D">
              <w:rPr>
                <w:rFonts w:ascii="Optima" w:hAnsi="Optima"/>
                <w:b/>
                <w:bCs/>
                <w:color w:val="403152" w:themeColor="accent4" w:themeShade="80"/>
                <w:sz w:val="19"/>
                <w:szCs w:val="19"/>
              </w:rPr>
              <w:t>B.</w:t>
            </w:r>
            <w:r w:rsidR="00CD3631" w:rsidRPr="00990C1D">
              <w:rPr>
                <w:rFonts w:ascii="Optima" w:hAnsi="Optima"/>
                <w:b/>
                <w:bCs/>
                <w:color w:val="403152" w:themeColor="accent4" w:themeShade="80"/>
                <w:sz w:val="19"/>
                <w:szCs w:val="19"/>
              </w:rPr>
              <w:tab/>
            </w:r>
            <w:r w:rsidR="007B779C" w:rsidRPr="00990C1D">
              <w:rPr>
                <w:rFonts w:ascii="Optima" w:hAnsi="Optima"/>
                <w:b/>
                <w:bCs/>
                <w:color w:val="403152" w:themeColor="accent4" w:themeShade="80"/>
                <w:sz w:val="19"/>
                <w:szCs w:val="19"/>
              </w:rPr>
              <w:t>Productivity Cost</w:t>
            </w:r>
            <w:r w:rsidR="00C02114" w:rsidRPr="00990C1D">
              <w:rPr>
                <w:rFonts w:ascii="Optima" w:hAnsi="Optima"/>
                <w:b/>
                <w:bCs/>
                <w:color w:val="403152" w:themeColor="accent4" w:themeShade="80"/>
                <w:sz w:val="19"/>
                <w:szCs w:val="19"/>
              </w:rPr>
              <w:t xml:space="preserve"> per hour</w:t>
            </w:r>
          </w:p>
        </w:tc>
        <w:tc>
          <w:tcPr>
            <w:tcW w:w="1350" w:type="dxa"/>
            <w:tcBorders>
              <w:top w:val="single" w:sz="2" w:space="0" w:color="5F497A" w:themeColor="accent4" w:themeShade="BF"/>
              <w:left w:val="nil"/>
              <w:bottom w:val="single" w:sz="2" w:space="0" w:color="BFBFBF" w:themeColor="background1" w:themeShade="BF"/>
              <w:right w:val="nil"/>
            </w:tcBorders>
            <w:shd w:val="clear" w:color="auto" w:fill="E5DFEC" w:themeFill="accent4" w:themeFillTint="33"/>
            <w:hideMark/>
          </w:tcPr>
          <w:p w14:paraId="5FC1BAD1" w14:textId="77777777" w:rsidR="004D4C63" w:rsidRPr="00990C1D" w:rsidRDefault="000E474F" w:rsidP="005835A7">
            <w:pPr>
              <w:spacing w:before="60" w:after="60" w:line="240" w:lineRule="auto"/>
              <w:jc w:val="right"/>
              <w:rPr>
                <w:rFonts w:ascii="Optima" w:hAnsi="Optima"/>
                <w:b/>
                <w:bCs/>
                <w:color w:val="403152" w:themeColor="accent4" w:themeShade="80"/>
                <w:sz w:val="19"/>
                <w:szCs w:val="19"/>
              </w:rPr>
            </w:pPr>
            <w:r w:rsidRPr="00990C1D">
              <w:rPr>
                <w:rFonts w:ascii="Optima" w:hAnsi="Optima"/>
                <w:b/>
                <w:bCs/>
                <w:color w:val="403152" w:themeColor="accent4" w:themeShade="80"/>
                <w:sz w:val="19"/>
                <w:szCs w:val="19"/>
              </w:rPr>
              <w:t>$10.78</w:t>
            </w:r>
          </w:p>
        </w:tc>
      </w:tr>
      <w:tr w:rsidR="001D420A" w:rsidRPr="00A34376" w14:paraId="5B72BDCF" w14:textId="77777777" w:rsidTr="001839A3">
        <w:trPr>
          <w:trHeight w:val="315"/>
          <w:jc w:val="center"/>
        </w:trPr>
        <w:tc>
          <w:tcPr>
            <w:tcW w:w="7920" w:type="dxa"/>
            <w:tcBorders>
              <w:top w:val="single" w:sz="2" w:space="0" w:color="BFBFBF" w:themeColor="background1" w:themeShade="BF"/>
              <w:left w:val="nil"/>
              <w:bottom w:val="single" w:sz="2" w:space="0" w:color="CCC0D9" w:themeColor="accent4" w:themeTint="66"/>
              <w:right w:val="nil"/>
            </w:tcBorders>
            <w:shd w:val="clear" w:color="auto" w:fill="auto"/>
            <w:noWrap/>
            <w:hideMark/>
          </w:tcPr>
          <w:p w14:paraId="04C29158" w14:textId="77777777" w:rsidR="001D420A" w:rsidRPr="00A34376" w:rsidRDefault="001D420A"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Hours per year</w:t>
            </w:r>
          </w:p>
        </w:tc>
        <w:tc>
          <w:tcPr>
            <w:tcW w:w="1350" w:type="dxa"/>
            <w:tcBorders>
              <w:top w:val="single" w:sz="2" w:space="0" w:color="BFBFBF" w:themeColor="background1" w:themeShade="BF"/>
              <w:left w:val="nil"/>
              <w:bottom w:val="single" w:sz="2" w:space="0" w:color="CCC0D9" w:themeColor="accent4" w:themeTint="66"/>
              <w:right w:val="nil"/>
            </w:tcBorders>
            <w:shd w:val="clear" w:color="auto" w:fill="auto"/>
            <w:noWrap/>
            <w:hideMark/>
          </w:tcPr>
          <w:p w14:paraId="374E8C8D" w14:textId="6C3042E3" w:rsidR="001D420A" w:rsidRPr="00A34376" w:rsidRDefault="001D420A" w:rsidP="005835A7">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2,080</w:t>
            </w:r>
          </w:p>
        </w:tc>
      </w:tr>
      <w:tr w:rsidR="00FC1D23" w:rsidRPr="00A34376" w14:paraId="022A5A96" w14:textId="77777777" w:rsidTr="001839A3">
        <w:trPr>
          <w:trHeight w:val="315"/>
          <w:jc w:val="center"/>
        </w:trPr>
        <w:tc>
          <w:tcPr>
            <w:tcW w:w="7920" w:type="dxa"/>
            <w:tcBorders>
              <w:top w:val="single" w:sz="2" w:space="0" w:color="CCC0D9" w:themeColor="accent4" w:themeTint="66"/>
              <w:left w:val="nil"/>
              <w:bottom w:val="nil"/>
              <w:right w:val="nil"/>
            </w:tcBorders>
            <w:shd w:val="clear" w:color="auto" w:fill="auto"/>
            <w:noWrap/>
            <w:hideMark/>
          </w:tcPr>
          <w:p w14:paraId="5BE89E11" w14:textId="77777777" w:rsidR="004D4C63" w:rsidRPr="00A34376" w:rsidRDefault="006C3B5D" w:rsidP="00553C3B">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B</w:t>
            </w:r>
            <w:r w:rsidR="00FF7CF7" w:rsidRPr="00A34376">
              <w:rPr>
                <w:rFonts w:ascii="Optima" w:hAnsi="Optima"/>
                <w:color w:val="262626" w:themeColor="text1" w:themeTint="D9"/>
                <w:sz w:val="19"/>
                <w:szCs w:val="19"/>
              </w:rPr>
              <w:t>1</w:t>
            </w:r>
            <w:r w:rsidRPr="00A34376">
              <w:rPr>
                <w:rFonts w:ascii="Optima" w:hAnsi="Optima"/>
                <w:color w:val="262626" w:themeColor="text1" w:themeTint="D9"/>
                <w:sz w:val="19"/>
                <w:szCs w:val="19"/>
              </w:rPr>
              <w:t xml:space="preserve">. </w:t>
            </w:r>
            <w:r w:rsidR="004D4C63" w:rsidRPr="00A34376">
              <w:rPr>
                <w:rFonts w:ascii="Optima" w:hAnsi="Optima"/>
                <w:color w:val="262626" w:themeColor="text1" w:themeTint="D9"/>
                <w:sz w:val="19"/>
                <w:szCs w:val="19"/>
              </w:rPr>
              <w:t xml:space="preserve">Hours per </w:t>
            </w:r>
            <w:r w:rsidR="001D420A" w:rsidRPr="00A34376">
              <w:rPr>
                <w:rFonts w:ascii="Optima" w:hAnsi="Optima"/>
                <w:color w:val="262626" w:themeColor="text1" w:themeTint="D9"/>
                <w:sz w:val="19"/>
                <w:szCs w:val="19"/>
              </w:rPr>
              <w:t>workday</w:t>
            </w:r>
          </w:p>
        </w:tc>
        <w:tc>
          <w:tcPr>
            <w:tcW w:w="1350" w:type="dxa"/>
            <w:tcBorders>
              <w:top w:val="single" w:sz="2" w:space="0" w:color="CCC0D9" w:themeColor="accent4" w:themeTint="66"/>
              <w:left w:val="nil"/>
              <w:bottom w:val="nil"/>
              <w:right w:val="nil"/>
            </w:tcBorders>
            <w:shd w:val="clear" w:color="auto" w:fill="auto"/>
            <w:noWrap/>
            <w:hideMark/>
          </w:tcPr>
          <w:p w14:paraId="0604D349" w14:textId="77777777" w:rsidR="004D4C63" w:rsidRPr="00A34376" w:rsidRDefault="003F0ACC" w:rsidP="00553C3B">
            <w:pPr>
              <w:spacing w:before="60" w:after="60" w:line="240" w:lineRule="auto"/>
              <w:ind w:right="160"/>
              <w:jc w:val="right"/>
              <w:rPr>
                <w:rFonts w:ascii="Optima" w:hAnsi="Optima"/>
                <w:b/>
                <w:bCs/>
                <w:color w:val="262626" w:themeColor="text1" w:themeTint="D9"/>
                <w:sz w:val="19"/>
                <w:szCs w:val="19"/>
              </w:rPr>
            </w:pPr>
            <w:r w:rsidRPr="00A34376">
              <w:rPr>
                <w:rFonts w:ascii="Optima" w:hAnsi="Optima"/>
                <w:b/>
                <w:bCs/>
                <w:color w:val="262626" w:themeColor="text1" w:themeTint="D9"/>
                <w:sz w:val="19"/>
                <w:szCs w:val="19"/>
              </w:rPr>
              <w:t>8</w:t>
            </w:r>
            <w:r w:rsidR="00DA1C5D" w:rsidRPr="00A34376">
              <w:rPr>
                <w:rFonts w:ascii="Optima" w:hAnsi="Optima"/>
                <w:b/>
                <w:bCs/>
                <w:color w:val="262626" w:themeColor="text1" w:themeTint="D9"/>
                <w:sz w:val="19"/>
                <w:szCs w:val="19"/>
              </w:rPr>
              <w:t>.00</w:t>
            </w:r>
          </w:p>
        </w:tc>
      </w:tr>
      <w:tr w:rsidR="00FC1D23" w:rsidRPr="00A34376" w14:paraId="5DC62BC2" w14:textId="77777777" w:rsidTr="001839A3">
        <w:trPr>
          <w:trHeight w:hRule="exact" w:val="504"/>
          <w:jc w:val="center"/>
        </w:trPr>
        <w:tc>
          <w:tcPr>
            <w:tcW w:w="7920" w:type="dxa"/>
            <w:tcBorders>
              <w:top w:val="nil"/>
              <w:left w:val="nil"/>
              <w:bottom w:val="nil"/>
              <w:right w:val="nil"/>
            </w:tcBorders>
            <w:shd w:val="clear" w:color="auto" w:fill="auto"/>
            <w:noWrap/>
            <w:hideMark/>
          </w:tcPr>
          <w:p w14:paraId="2DE1CF69" w14:textId="77777777" w:rsidR="004D4C63" w:rsidRPr="00A34376" w:rsidRDefault="00036C1F" w:rsidP="00553C3B">
            <w:pPr>
              <w:spacing w:before="0" w:after="60" w:line="240" w:lineRule="auto"/>
              <w:ind w:left="976" w:hanging="270"/>
              <w:rPr>
                <w:rFonts w:ascii="Optima" w:hAnsi="Optima"/>
                <w:color w:val="262626" w:themeColor="text1" w:themeTint="D9"/>
                <w:sz w:val="19"/>
                <w:szCs w:val="19"/>
              </w:rPr>
            </w:pPr>
            <w:r w:rsidRPr="00A34376">
              <w:rPr>
                <w:rFonts w:ascii="Optima" w:hAnsi="Optima"/>
                <w:color w:val="262626" w:themeColor="text1" w:themeTint="D9"/>
                <w:sz w:val="19"/>
                <w:szCs w:val="19"/>
              </w:rPr>
              <w:t xml:space="preserve">a. </w:t>
            </w:r>
            <w:r w:rsidR="00941BA8" w:rsidRPr="00A34376">
              <w:rPr>
                <w:rFonts w:ascii="Optima" w:hAnsi="Optima"/>
                <w:color w:val="262626" w:themeColor="text1" w:themeTint="D9"/>
                <w:sz w:val="19"/>
                <w:szCs w:val="19"/>
              </w:rPr>
              <w:t xml:space="preserve">Less </w:t>
            </w:r>
            <w:r w:rsidR="0099618F" w:rsidRPr="00A34376">
              <w:rPr>
                <w:rFonts w:ascii="Optima" w:hAnsi="Optima"/>
                <w:color w:val="262626" w:themeColor="text1" w:themeTint="D9"/>
                <w:sz w:val="19"/>
                <w:szCs w:val="19"/>
              </w:rPr>
              <w:t xml:space="preserve">Hours for </w:t>
            </w:r>
            <w:r w:rsidR="004D4C63" w:rsidRPr="00A34376">
              <w:rPr>
                <w:rFonts w:ascii="Optima" w:hAnsi="Optima"/>
                <w:color w:val="262626" w:themeColor="text1" w:themeTint="D9"/>
                <w:sz w:val="19"/>
                <w:szCs w:val="19"/>
              </w:rPr>
              <w:t>Administrative Tasks Not Billable to Specific Individual</w:t>
            </w:r>
            <w:r w:rsidR="00FC1D23" w:rsidRPr="00A34376">
              <w:rPr>
                <w:rFonts w:ascii="Optima" w:hAnsi="Optima"/>
                <w:color w:val="262626" w:themeColor="text1" w:themeTint="D9"/>
                <w:sz w:val="19"/>
                <w:szCs w:val="19"/>
              </w:rPr>
              <w:t>—s</w:t>
            </w:r>
            <w:r w:rsidR="004D4C63" w:rsidRPr="00A34376">
              <w:rPr>
                <w:rFonts w:ascii="Optima" w:hAnsi="Optima"/>
                <w:color w:val="262626" w:themeColor="text1" w:themeTint="D9"/>
                <w:sz w:val="19"/>
                <w:szCs w:val="19"/>
              </w:rPr>
              <w:t xml:space="preserve">taff </w:t>
            </w:r>
            <w:r w:rsidR="00FC1D23" w:rsidRPr="00A34376">
              <w:rPr>
                <w:rFonts w:ascii="Optima" w:hAnsi="Optima"/>
                <w:color w:val="262626" w:themeColor="text1" w:themeTint="D9"/>
                <w:sz w:val="19"/>
                <w:szCs w:val="19"/>
              </w:rPr>
              <w:t>m</w:t>
            </w:r>
            <w:r w:rsidR="004D4C63" w:rsidRPr="00A34376">
              <w:rPr>
                <w:rFonts w:ascii="Optima" w:hAnsi="Optima"/>
                <w:color w:val="262626" w:themeColor="text1" w:themeTint="D9"/>
                <w:sz w:val="19"/>
                <w:szCs w:val="19"/>
              </w:rPr>
              <w:t>tgs</w:t>
            </w:r>
            <w:r w:rsidR="00FC1D23" w:rsidRPr="00A34376">
              <w:rPr>
                <w:rFonts w:ascii="Optima" w:hAnsi="Optima"/>
                <w:color w:val="262626" w:themeColor="text1" w:themeTint="D9"/>
                <w:sz w:val="19"/>
                <w:szCs w:val="19"/>
              </w:rPr>
              <w:t>,</w:t>
            </w:r>
            <w:r w:rsidR="004D4C63" w:rsidRPr="00A34376">
              <w:rPr>
                <w:rFonts w:ascii="Optima" w:hAnsi="Optima"/>
                <w:color w:val="262626" w:themeColor="text1" w:themeTint="D9"/>
                <w:sz w:val="19"/>
                <w:szCs w:val="19"/>
              </w:rPr>
              <w:t xml:space="preserve"> </w:t>
            </w:r>
            <w:r w:rsidR="00FC1D23" w:rsidRPr="00A34376">
              <w:rPr>
                <w:rFonts w:ascii="Optima" w:hAnsi="Optima"/>
                <w:color w:val="262626" w:themeColor="text1" w:themeTint="D9"/>
                <w:sz w:val="19"/>
                <w:szCs w:val="19"/>
              </w:rPr>
              <w:t>s</w:t>
            </w:r>
            <w:r w:rsidR="004D4C63" w:rsidRPr="00A34376">
              <w:rPr>
                <w:rFonts w:ascii="Optima" w:hAnsi="Optima"/>
                <w:color w:val="262626" w:themeColor="text1" w:themeTint="D9"/>
                <w:sz w:val="19"/>
                <w:szCs w:val="19"/>
              </w:rPr>
              <w:t>upervision</w:t>
            </w:r>
            <w:r w:rsidR="007C2206" w:rsidRPr="00A34376">
              <w:rPr>
                <w:rFonts w:ascii="Optima" w:hAnsi="Optima"/>
                <w:color w:val="262626" w:themeColor="text1" w:themeTint="D9"/>
                <w:sz w:val="19"/>
                <w:szCs w:val="19"/>
              </w:rPr>
              <w:t xml:space="preserve"> (</w:t>
            </w:r>
            <w:r w:rsidR="00570D01" w:rsidRPr="00A34376">
              <w:rPr>
                <w:rFonts w:ascii="Optima" w:hAnsi="Optima"/>
                <w:color w:val="262626" w:themeColor="text1" w:themeTint="D9"/>
                <w:sz w:val="19"/>
                <w:szCs w:val="19"/>
              </w:rPr>
              <w:t>10</w:t>
            </w:r>
            <w:r w:rsidR="007C2206" w:rsidRPr="00A34376">
              <w:rPr>
                <w:rFonts w:ascii="Optima" w:hAnsi="Optima"/>
                <w:color w:val="262626" w:themeColor="text1" w:themeTint="D9"/>
                <w:sz w:val="19"/>
                <w:szCs w:val="19"/>
              </w:rPr>
              <w:t>%)</w:t>
            </w:r>
            <w:r w:rsidR="00594E54" w:rsidRPr="00A34376">
              <w:rPr>
                <w:rFonts w:ascii="Optima" w:hAnsi="Optima"/>
                <w:color w:val="262626" w:themeColor="text1" w:themeTint="D9"/>
                <w:sz w:val="19"/>
                <w:szCs w:val="19"/>
              </w:rPr>
              <w:t xml:space="preserve"> per </w:t>
            </w:r>
            <w:r w:rsidR="0099618F" w:rsidRPr="00A34376">
              <w:rPr>
                <w:rFonts w:ascii="Optima" w:hAnsi="Optima"/>
                <w:color w:val="262626" w:themeColor="text1" w:themeTint="D9"/>
                <w:sz w:val="19"/>
                <w:szCs w:val="19"/>
              </w:rPr>
              <w:t>workday</w:t>
            </w:r>
            <w:r w:rsidR="00470993" w:rsidRPr="00A34376">
              <w:rPr>
                <w:rFonts w:ascii="Optima" w:hAnsi="Optima"/>
                <w:color w:val="262626" w:themeColor="text1" w:themeTint="D9"/>
                <w:sz w:val="19"/>
                <w:szCs w:val="19"/>
              </w:rPr>
              <w:t xml:space="preserve"> (=</w:t>
            </w:r>
            <w:r w:rsidR="003073EB" w:rsidRPr="00A34376">
              <w:rPr>
                <w:rFonts w:ascii="Optima" w:hAnsi="Optima"/>
                <w:color w:val="262626" w:themeColor="text1" w:themeTint="D9"/>
                <w:sz w:val="19"/>
                <w:szCs w:val="19"/>
              </w:rPr>
              <w:t xml:space="preserve"> </w:t>
            </w:r>
            <w:r w:rsidR="00470993" w:rsidRPr="00A34376">
              <w:rPr>
                <w:rFonts w:ascii="Optima" w:hAnsi="Optima"/>
                <w:color w:val="262626" w:themeColor="text1" w:themeTint="D9"/>
                <w:sz w:val="19"/>
                <w:szCs w:val="19"/>
              </w:rPr>
              <w:t>8*</w:t>
            </w:r>
            <w:r w:rsidR="00152A85" w:rsidRPr="00A34376">
              <w:rPr>
                <w:rFonts w:ascii="Optima" w:hAnsi="Optima"/>
                <w:color w:val="262626" w:themeColor="text1" w:themeTint="D9"/>
                <w:sz w:val="19"/>
                <w:szCs w:val="19"/>
              </w:rPr>
              <w:t>0</w:t>
            </w:r>
            <w:r w:rsidR="00470993" w:rsidRPr="00A34376">
              <w:rPr>
                <w:rFonts w:ascii="Optima" w:hAnsi="Optima"/>
                <w:color w:val="262626" w:themeColor="text1" w:themeTint="D9"/>
                <w:sz w:val="19"/>
                <w:szCs w:val="19"/>
              </w:rPr>
              <w:t>.10)</w:t>
            </w:r>
          </w:p>
        </w:tc>
        <w:tc>
          <w:tcPr>
            <w:tcW w:w="1350" w:type="dxa"/>
            <w:tcBorders>
              <w:top w:val="nil"/>
              <w:left w:val="nil"/>
              <w:bottom w:val="nil"/>
              <w:right w:val="nil"/>
            </w:tcBorders>
            <w:shd w:val="clear" w:color="auto" w:fill="auto"/>
            <w:noWrap/>
            <w:hideMark/>
          </w:tcPr>
          <w:p w14:paraId="4ADEBB59" w14:textId="77777777" w:rsidR="004D4C63" w:rsidRPr="00A34376" w:rsidRDefault="00942587" w:rsidP="00553C3B">
            <w:pPr>
              <w:spacing w:before="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-0.80</w:t>
            </w:r>
          </w:p>
        </w:tc>
      </w:tr>
      <w:tr w:rsidR="00FC1D23" w:rsidRPr="00A34376" w14:paraId="5EBED986" w14:textId="77777777" w:rsidTr="001839A3">
        <w:trPr>
          <w:trHeight w:val="93"/>
          <w:jc w:val="center"/>
        </w:trPr>
        <w:tc>
          <w:tcPr>
            <w:tcW w:w="7920" w:type="dxa"/>
            <w:tcBorders>
              <w:top w:val="nil"/>
              <w:left w:val="nil"/>
              <w:bottom w:val="nil"/>
              <w:right w:val="nil"/>
            </w:tcBorders>
            <w:shd w:val="clear" w:color="auto" w:fill="auto"/>
            <w:noWrap/>
            <w:hideMark/>
          </w:tcPr>
          <w:p w14:paraId="168996EF" w14:textId="77777777" w:rsidR="004D4C63" w:rsidRPr="00A34376" w:rsidRDefault="00036C1F" w:rsidP="00553C3B">
            <w:pPr>
              <w:spacing w:before="60" w:after="60" w:line="240" w:lineRule="auto"/>
              <w:ind w:left="796" w:hanging="90"/>
              <w:rPr>
                <w:rFonts w:ascii="Optima" w:hAnsi="Optima"/>
                <w:color w:val="262626" w:themeColor="text1" w:themeTint="D9"/>
                <w:sz w:val="19"/>
                <w:szCs w:val="19"/>
              </w:rPr>
            </w:pPr>
            <w:r w:rsidRPr="00A34376">
              <w:rPr>
                <w:rFonts w:ascii="Optima" w:hAnsi="Optima"/>
                <w:color w:val="262626" w:themeColor="text1" w:themeTint="D9"/>
                <w:sz w:val="19"/>
                <w:szCs w:val="19"/>
              </w:rPr>
              <w:t xml:space="preserve">b. </w:t>
            </w:r>
            <w:r w:rsidR="00941BA8" w:rsidRPr="00A34376">
              <w:rPr>
                <w:rFonts w:ascii="Optima" w:hAnsi="Optima"/>
                <w:color w:val="262626" w:themeColor="text1" w:themeTint="D9"/>
                <w:sz w:val="19"/>
                <w:szCs w:val="19"/>
              </w:rPr>
              <w:t xml:space="preserve">Less </w:t>
            </w:r>
            <w:r w:rsidR="0099618F" w:rsidRPr="00A34376">
              <w:rPr>
                <w:rFonts w:ascii="Optima" w:hAnsi="Optima"/>
                <w:color w:val="262626" w:themeColor="text1" w:themeTint="D9"/>
                <w:sz w:val="19"/>
                <w:szCs w:val="19"/>
              </w:rPr>
              <w:t xml:space="preserve">Hours for </w:t>
            </w:r>
            <w:r w:rsidR="004D4C63" w:rsidRPr="00A34376">
              <w:rPr>
                <w:rFonts w:ascii="Optima" w:hAnsi="Optima"/>
                <w:color w:val="262626" w:themeColor="text1" w:themeTint="D9"/>
                <w:sz w:val="19"/>
                <w:szCs w:val="19"/>
              </w:rPr>
              <w:t>Absentee Rate</w:t>
            </w:r>
            <w:r w:rsidR="00FC1D23" w:rsidRPr="00A34376">
              <w:rPr>
                <w:rFonts w:ascii="Optima" w:hAnsi="Optima"/>
                <w:color w:val="262626" w:themeColor="text1" w:themeTint="D9"/>
                <w:sz w:val="19"/>
                <w:szCs w:val="19"/>
              </w:rPr>
              <w:t>—</w:t>
            </w:r>
            <w:r w:rsidR="004D4C63" w:rsidRPr="00A34376">
              <w:rPr>
                <w:rFonts w:ascii="Optima" w:hAnsi="Optima"/>
                <w:color w:val="262626" w:themeColor="text1" w:themeTint="D9"/>
                <w:sz w:val="19"/>
                <w:szCs w:val="19"/>
              </w:rPr>
              <w:t>for people served</w:t>
            </w:r>
            <w:r w:rsidR="002E1218" w:rsidRPr="00A34376">
              <w:rPr>
                <w:rFonts w:ascii="Optima" w:hAnsi="Optima"/>
                <w:color w:val="262626" w:themeColor="text1" w:themeTint="D9"/>
                <w:sz w:val="19"/>
                <w:szCs w:val="19"/>
              </w:rPr>
              <w:t xml:space="preserve"> (</w:t>
            </w:r>
            <w:r w:rsidR="00570D01" w:rsidRPr="00A34376">
              <w:rPr>
                <w:rFonts w:ascii="Optima" w:hAnsi="Optima"/>
                <w:color w:val="262626" w:themeColor="text1" w:themeTint="D9"/>
                <w:sz w:val="19"/>
                <w:szCs w:val="19"/>
              </w:rPr>
              <w:t>7</w:t>
            </w:r>
            <w:r w:rsidR="002E1218" w:rsidRPr="00A34376">
              <w:rPr>
                <w:rFonts w:ascii="Optima" w:hAnsi="Optima"/>
                <w:color w:val="262626" w:themeColor="text1" w:themeTint="D9"/>
                <w:sz w:val="19"/>
                <w:szCs w:val="19"/>
              </w:rPr>
              <w:t>%)</w:t>
            </w:r>
            <w:r w:rsidR="0099618F" w:rsidRPr="00A34376">
              <w:rPr>
                <w:rFonts w:ascii="Optima" w:hAnsi="Optima"/>
                <w:color w:val="262626" w:themeColor="text1" w:themeTint="D9"/>
                <w:sz w:val="19"/>
                <w:szCs w:val="19"/>
              </w:rPr>
              <w:t xml:space="preserve"> per workday</w:t>
            </w:r>
            <w:r w:rsidR="00470993" w:rsidRPr="00A34376">
              <w:rPr>
                <w:rFonts w:ascii="Optima" w:hAnsi="Optima"/>
                <w:color w:val="262626" w:themeColor="text1" w:themeTint="D9"/>
                <w:sz w:val="19"/>
                <w:szCs w:val="19"/>
              </w:rPr>
              <w:t xml:space="preserve"> (=</w:t>
            </w:r>
            <w:r w:rsidR="003073EB" w:rsidRPr="00A34376">
              <w:rPr>
                <w:rFonts w:ascii="Optima" w:hAnsi="Optima"/>
                <w:color w:val="262626" w:themeColor="text1" w:themeTint="D9"/>
                <w:sz w:val="19"/>
                <w:szCs w:val="19"/>
              </w:rPr>
              <w:t xml:space="preserve"> </w:t>
            </w:r>
            <w:r w:rsidR="00470993" w:rsidRPr="00A34376">
              <w:rPr>
                <w:rFonts w:ascii="Optima" w:hAnsi="Optima"/>
                <w:color w:val="262626" w:themeColor="text1" w:themeTint="D9"/>
                <w:sz w:val="19"/>
                <w:szCs w:val="19"/>
              </w:rPr>
              <w:t>8*</w:t>
            </w:r>
            <w:r w:rsidR="00152A85" w:rsidRPr="00A34376">
              <w:rPr>
                <w:rFonts w:ascii="Optima" w:hAnsi="Optima"/>
                <w:color w:val="262626" w:themeColor="text1" w:themeTint="D9"/>
                <w:sz w:val="19"/>
                <w:szCs w:val="19"/>
              </w:rPr>
              <w:t>0</w:t>
            </w:r>
            <w:r w:rsidR="00470993" w:rsidRPr="00A34376">
              <w:rPr>
                <w:rFonts w:ascii="Optima" w:hAnsi="Optima"/>
                <w:color w:val="262626" w:themeColor="text1" w:themeTint="D9"/>
                <w:sz w:val="19"/>
                <w:szCs w:val="19"/>
              </w:rPr>
              <w:t>.07)</w:t>
            </w:r>
          </w:p>
        </w:tc>
        <w:tc>
          <w:tcPr>
            <w:tcW w:w="1350" w:type="dxa"/>
            <w:tcBorders>
              <w:top w:val="nil"/>
              <w:left w:val="nil"/>
              <w:bottom w:val="nil"/>
              <w:right w:val="nil"/>
            </w:tcBorders>
            <w:shd w:val="clear" w:color="auto" w:fill="auto"/>
            <w:noWrap/>
            <w:hideMark/>
          </w:tcPr>
          <w:p w14:paraId="3770000E" w14:textId="77777777" w:rsidR="004D4C63" w:rsidRPr="00A34376" w:rsidRDefault="00C002A8" w:rsidP="00553C3B">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w:t>
            </w:r>
            <w:r w:rsidR="008456D5" w:rsidRPr="00A34376">
              <w:rPr>
                <w:rFonts w:ascii="Optima" w:hAnsi="Optima"/>
                <w:color w:val="262626" w:themeColor="text1" w:themeTint="D9"/>
                <w:sz w:val="19"/>
                <w:szCs w:val="19"/>
              </w:rPr>
              <w:t>0</w:t>
            </w:r>
            <w:r w:rsidR="00AB6F9B" w:rsidRPr="00A34376">
              <w:rPr>
                <w:rFonts w:ascii="Optima" w:hAnsi="Optima"/>
                <w:color w:val="262626" w:themeColor="text1" w:themeTint="D9"/>
                <w:sz w:val="19"/>
                <w:szCs w:val="19"/>
              </w:rPr>
              <w:t>.56</w:t>
            </w:r>
          </w:p>
        </w:tc>
      </w:tr>
      <w:tr w:rsidR="00FC1D23" w:rsidRPr="00A34376" w14:paraId="54F9ED7E" w14:textId="77777777" w:rsidTr="00553C3B">
        <w:trPr>
          <w:trHeight w:val="270"/>
          <w:jc w:val="center"/>
        </w:trPr>
        <w:tc>
          <w:tcPr>
            <w:tcW w:w="7920" w:type="dxa"/>
            <w:tcBorders>
              <w:top w:val="nil"/>
              <w:left w:val="nil"/>
              <w:bottom w:val="nil"/>
              <w:right w:val="nil"/>
            </w:tcBorders>
            <w:shd w:val="clear" w:color="auto" w:fill="auto"/>
            <w:noWrap/>
            <w:hideMark/>
          </w:tcPr>
          <w:p w14:paraId="5AABCB9C" w14:textId="77777777" w:rsidR="004D4C63" w:rsidRPr="00A34376" w:rsidRDefault="00036C1F" w:rsidP="00553C3B">
            <w:pPr>
              <w:spacing w:before="60" w:after="60" w:line="240" w:lineRule="auto"/>
              <w:ind w:left="796" w:hanging="90"/>
              <w:rPr>
                <w:rFonts w:ascii="Optima" w:hAnsi="Optima"/>
                <w:color w:val="262626" w:themeColor="text1" w:themeTint="D9"/>
                <w:sz w:val="19"/>
                <w:szCs w:val="19"/>
              </w:rPr>
            </w:pPr>
            <w:r w:rsidRPr="00A34376">
              <w:rPr>
                <w:rFonts w:ascii="Optima" w:hAnsi="Optima"/>
                <w:color w:val="262626" w:themeColor="text1" w:themeTint="D9"/>
                <w:sz w:val="19"/>
                <w:szCs w:val="19"/>
              </w:rPr>
              <w:t xml:space="preserve">c. </w:t>
            </w:r>
            <w:r w:rsidR="00941BA8" w:rsidRPr="00A34376">
              <w:rPr>
                <w:rFonts w:ascii="Optima" w:hAnsi="Optima"/>
                <w:color w:val="262626" w:themeColor="text1" w:themeTint="D9"/>
                <w:sz w:val="19"/>
                <w:szCs w:val="19"/>
              </w:rPr>
              <w:t xml:space="preserve">Less </w:t>
            </w:r>
            <w:r w:rsidR="0099618F" w:rsidRPr="00A34376">
              <w:rPr>
                <w:rFonts w:ascii="Optima" w:hAnsi="Optima"/>
                <w:color w:val="262626" w:themeColor="text1" w:themeTint="D9"/>
                <w:sz w:val="19"/>
                <w:szCs w:val="19"/>
              </w:rPr>
              <w:t xml:space="preserve">Hours for </w:t>
            </w:r>
            <w:r w:rsidR="004D4C63" w:rsidRPr="00A34376">
              <w:rPr>
                <w:rFonts w:ascii="Optima" w:hAnsi="Optima"/>
                <w:color w:val="262626" w:themeColor="text1" w:themeTint="D9"/>
                <w:sz w:val="19"/>
                <w:szCs w:val="19"/>
              </w:rPr>
              <w:t>Uncompensated Care</w:t>
            </w:r>
            <w:r w:rsidR="002E1218" w:rsidRPr="00A34376">
              <w:rPr>
                <w:rFonts w:ascii="Optima" w:hAnsi="Optima"/>
                <w:color w:val="262626" w:themeColor="text1" w:themeTint="D9"/>
                <w:sz w:val="19"/>
                <w:szCs w:val="19"/>
              </w:rPr>
              <w:t xml:space="preserve"> (</w:t>
            </w:r>
            <w:r w:rsidR="00570D01" w:rsidRPr="00A34376">
              <w:rPr>
                <w:rFonts w:ascii="Optima" w:hAnsi="Optima"/>
                <w:color w:val="262626" w:themeColor="text1" w:themeTint="D9"/>
                <w:sz w:val="19"/>
                <w:szCs w:val="19"/>
              </w:rPr>
              <w:t>1</w:t>
            </w:r>
            <w:r w:rsidR="002E1218" w:rsidRPr="00A34376">
              <w:rPr>
                <w:rFonts w:ascii="Optima" w:hAnsi="Optima"/>
                <w:color w:val="262626" w:themeColor="text1" w:themeTint="D9"/>
                <w:sz w:val="19"/>
                <w:szCs w:val="19"/>
              </w:rPr>
              <w:t>%)</w:t>
            </w:r>
            <w:r w:rsidR="0099618F" w:rsidRPr="00A34376">
              <w:rPr>
                <w:rFonts w:ascii="Optima" w:hAnsi="Optima"/>
                <w:color w:val="262626" w:themeColor="text1" w:themeTint="D9"/>
                <w:sz w:val="19"/>
                <w:szCs w:val="19"/>
              </w:rPr>
              <w:t xml:space="preserve"> per workday</w:t>
            </w:r>
            <w:r w:rsidR="00470993" w:rsidRPr="00A34376">
              <w:rPr>
                <w:rFonts w:ascii="Optima" w:hAnsi="Optima"/>
                <w:color w:val="262626" w:themeColor="text1" w:themeTint="D9"/>
                <w:sz w:val="19"/>
                <w:szCs w:val="19"/>
              </w:rPr>
              <w:t xml:space="preserve"> (=</w:t>
            </w:r>
            <w:r w:rsidR="003073EB" w:rsidRPr="00A34376">
              <w:rPr>
                <w:rFonts w:ascii="Optima" w:hAnsi="Optima"/>
                <w:color w:val="262626" w:themeColor="text1" w:themeTint="D9"/>
                <w:sz w:val="19"/>
                <w:szCs w:val="19"/>
              </w:rPr>
              <w:t xml:space="preserve"> </w:t>
            </w:r>
            <w:r w:rsidR="00470993" w:rsidRPr="00A34376">
              <w:rPr>
                <w:rFonts w:ascii="Optima" w:hAnsi="Optima"/>
                <w:color w:val="262626" w:themeColor="text1" w:themeTint="D9"/>
                <w:sz w:val="19"/>
                <w:szCs w:val="19"/>
              </w:rPr>
              <w:t>8*</w:t>
            </w:r>
            <w:r w:rsidR="00152A85" w:rsidRPr="00A34376">
              <w:rPr>
                <w:rFonts w:ascii="Optima" w:hAnsi="Optima"/>
                <w:color w:val="262626" w:themeColor="text1" w:themeTint="D9"/>
                <w:sz w:val="19"/>
                <w:szCs w:val="19"/>
              </w:rPr>
              <w:t>0</w:t>
            </w:r>
            <w:r w:rsidR="00470993" w:rsidRPr="00A34376">
              <w:rPr>
                <w:rFonts w:ascii="Optima" w:hAnsi="Optima"/>
                <w:color w:val="262626" w:themeColor="text1" w:themeTint="D9"/>
                <w:sz w:val="19"/>
                <w:szCs w:val="19"/>
              </w:rPr>
              <w:t>.01)</w:t>
            </w:r>
          </w:p>
        </w:tc>
        <w:tc>
          <w:tcPr>
            <w:tcW w:w="1350" w:type="dxa"/>
            <w:tcBorders>
              <w:top w:val="nil"/>
              <w:left w:val="nil"/>
              <w:bottom w:val="nil"/>
              <w:right w:val="nil"/>
            </w:tcBorders>
            <w:shd w:val="clear" w:color="auto" w:fill="auto"/>
            <w:noWrap/>
            <w:hideMark/>
          </w:tcPr>
          <w:p w14:paraId="0BAF0906" w14:textId="77777777" w:rsidR="004D4C63" w:rsidRPr="00A34376" w:rsidRDefault="00C002A8" w:rsidP="00553C3B">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w:t>
            </w:r>
            <w:r w:rsidR="008456D5" w:rsidRPr="00A34376">
              <w:rPr>
                <w:rFonts w:ascii="Optima" w:hAnsi="Optima"/>
                <w:color w:val="262626" w:themeColor="text1" w:themeTint="D9"/>
                <w:sz w:val="19"/>
                <w:szCs w:val="19"/>
              </w:rPr>
              <w:t>0</w:t>
            </w:r>
            <w:r w:rsidR="00AB6F9B" w:rsidRPr="00A34376">
              <w:rPr>
                <w:rFonts w:ascii="Optima" w:hAnsi="Optima"/>
                <w:color w:val="262626" w:themeColor="text1" w:themeTint="D9"/>
                <w:sz w:val="19"/>
                <w:szCs w:val="19"/>
              </w:rPr>
              <w:t>.08</w:t>
            </w:r>
          </w:p>
        </w:tc>
      </w:tr>
      <w:tr w:rsidR="006366F8" w:rsidRPr="00A34376" w14:paraId="267FDD08" w14:textId="77777777" w:rsidTr="00553C3B">
        <w:trPr>
          <w:trHeight w:val="153"/>
          <w:jc w:val="center"/>
        </w:trPr>
        <w:tc>
          <w:tcPr>
            <w:tcW w:w="7920" w:type="dxa"/>
            <w:tcBorders>
              <w:top w:val="nil"/>
              <w:left w:val="nil"/>
              <w:bottom w:val="nil"/>
              <w:right w:val="nil"/>
            </w:tcBorders>
            <w:shd w:val="clear" w:color="auto" w:fill="auto"/>
            <w:noWrap/>
            <w:hideMark/>
          </w:tcPr>
          <w:p w14:paraId="1318CB1A" w14:textId="77777777" w:rsidR="006366F8" w:rsidRPr="00A34376" w:rsidRDefault="006366F8" w:rsidP="00553C3B">
            <w:pPr>
              <w:spacing w:before="60" w:after="60" w:line="240" w:lineRule="auto"/>
              <w:ind w:left="521"/>
              <w:rPr>
                <w:rFonts w:ascii="Optima" w:hAnsi="Optima"/>
                <w:i/>
                <w:iCs/>
                <w:color w:val="262626" w:themeColor="text1" w:themeTint="D9"/>
                <w:sz w:val="19"/>
                <w:szCs w:val="19"/>
              </w:rPr>
            </w:pPr>
            <w:r w:rsidRPr="00A34376">
              <w:rPr>
                <w:rFonts w:ascii="Optima" w:hAnsi="Optima"/>
                <w:i/>
                <w:iCs/>
                <w:color w:val="262626" w:themeColor="text1" w:themeTint="D9"/>
                <w:sz w:val="19"/>
                <w:szCs w:val="19"/>
              </w:rPr>
              <w:t>Hours Staff In-Service/Training (after first year) per year</w:t>
            </w:r>
          </w:p>
        </w:tc>
        <w:tc>
          <w:tcPr>
            <w:tcW w:w="1350" w:type="dxa"/>
            <w:tcBorders>
              <w:top w:val="nil"/>
              <w:left w:val="nil"/>
              <w:bottom w:val="nil"/>
              <w:right w:val="nil"/>
            </w:tcBorders>
            <w:shd w:val="clear" w:color="auto" w:fill="auto"/>
            <w:noWrap/>
            <w:hideMark/>
          </w:tcPr>
          <w:p w14:paraId="39344D22" w14:textId="77777777" w:rsidR="006366F8" w:rsidRPr="00A34376" w:rsidRDefault="006366F8" w:rsidP="00553C3B">
            <w:pPr>
              <w:spacing w:before="60" w:after="60" w:line="240" w:lineRule="auto"/>
              <w:ind w:left="-103" w:right="70"/>
              <w:rPr>
                <w:rFonts w:ascii="Optima" w:hAnsi="Optima"/>
                <w:i/>
                <w:iCs/>
                <w:color w:val="262626" w:themeColor="text1" w:themeTint="D9"/>
                <w:sz w:val="19"/>
                <w:szCs w:val="19"/>
              </w:rPr>
            </w:pPr>
            <w:r w:rsidRPr="00A34376">
              <w:rPr>
                <w:rFonts w:ascii="Optima" w:hAnsi="Optima"/>
                <w:i/>
                <w:iCs/>
                <w:color w:val="262626" w:themeColor="text1" w:themeTint="D9"/>
                <w:sz w:val="19"/>
                <w:szCs w:val="19"/>
              </w:rPr>
              <w:t>26.00</w:t>
            </w:r>
          </w:p>
        </w:tc>
      </w:tr>
      <w:tr w:rsidR="00FC1D23" w:rsidRPr="00A34376" w14:paraId="3C76E53C" w14:textId="77777777" w:rsidTr="001839A3">
        <w:trPr>
          <w:trHeight w:val="79"/>
          <w:jc w:val="center"/>
        </w:trPr>
        <w:tc>
          <w:tcPr>
            <w:tcW w:w="7920" w:type="dxa"/>
            <w:tcBorders>
              <w:top w:val="nil"/>
              <w:left w:val="nil"/>
              <w:bottom w:val="nil"/>
              <w:right w:val="nil"/>
            </w:tcBorders>
            <w:shd w:val="clear" w:color="auto" w:fill="auto"/>
            <w:noWrap/>
            <w:hideMark/>
          </w:tcPr>
          <w:p w14:paraId="124F40EB" w14:textId="77777777" w:rsidR="004D4C63" w:rsidRPr="00A34376" w:rsidRDefault="00036C1F" w:rsidP="007B7FCE">
            <w:pPr>
              <w:spacing w:before="0" w:after="60" w:line="240" w:lineRule="auto"/>
              <w:ind w:left="706"/>
              <w:rPr>
                <w:rFonts w:ascii="Optima" w:hAnsi="Optima"/>
                <w:color w:val="262626" w:themeColor="text1" w:themeTint="D9"/>
                <w:sz w:val="19"/>
                <w:szCs w:val="19"/>
              </w:rPr>
            </w:pPr>
            <w:r w:rsidRPr="00A34376">
              <w:rPr>
                <w:rFonts w:ascii="Optima" w:hAnsi="Optima"/>
                <w:color w:val="262626" w:themeColor="text1" w:themeTint="D9"/>
                <w:sz w:val="19"/>
                <w:szCs w:val="19"/>
              </w:rPr>
              <w:t xml:space="preserve">d. </w:t>
            </w:r>
            <w:r w:rsidR="00D42FEB" w:rsidRPr="00A34376">
              <w:rPr>
                <w:rFonts w:ascii="Optima" w:hAnsi="Optima"/>
                <w:color w:val="262626" w:themeColor="text1" w:themeTint="D9"/>
                <w:sz w:val="19"/>
                <w:szCs w:val="19"/>
              </w:rPr>
              <w:t>Les</w:t>
            </w:r>
            <w:r w:rsidR="00256505" w:rsidRPr="00A34376">
              <w:rPr>
                <w:rFonts w:ascii="Optima" w:hAnsi="Optima"/>
                <w:color w:val="262626" w:themeColor="text1" w:themeTint="D9"/>
                <w:sz w:val="19"/>
                <w:szCs w:val="19"/>
              </w:rPr>
              <w:t>s</w:t>
            </w:r>
            <w:r w:rsidR="00D42FEB" w:rsidRPr="00A34376">
              <w:rPr>
                <w:rFonts w:ascii="Optima" w:hAnsi="Optima"/>
                <w:color w:val="262626" w:themeColor="text1" w:themeTint="D9"/>
                <w:sz w:val="19"/>
                <w:szCs w:val="19"/>
              </w:rPr>
              <w:t xml:space="preserve"> Hours Staff In-Service/Training (after first year)</w:t>
            </w:r>
            <w:r w:rsidR="004D4C63" w:rsidRPr="00A34376">
              <w:rPr>
                <w:rFonts w:ascii="Optima" w:hAnsi="Optima"/>
                <w:color w:val="262626" w:themeColor="text1" w:themeTint="D9"/>
                <w:sz w:val="19"/>
                <w:szCs w:val="19"/>
              </w:rPr>
              <w:t>)</w:t>
            </w:r>
            <w:r w:rsidR="00BB6F66" w:rsidRPr="00A34376">
              <w:rPr>
                <w:rFonts w:ascii="Optima" w:hAnsi="Optima"/>
                <w:color w:val="262626" w:themeColor="text1" w:themeTint="D9"/>
                <w:sz w:val="19"/>
                <w:szCs w:val="19"/>
              </w:rPr>
              <w:t xml:space="preserve"> per </w:t>
            </w:r>
            <w:r w:rsidR="00E40E8C" w:rsidRPr="00A34376">
              <w:rPr>
                <w:rFonts w:ascii="Optima" w:hAnsi="Optima"/>
                <w:color w:val="262626" w:themeColor="text1" w:themeTint="D9"/>
                <w:sz w:val="19"/>
                <w:szCs w:val="19"/>
              </w:rPr>
              <w:t>workday</w:t>
            </w:r>
            <w:r w:rsidR="00D10FB9" w:rsidRPr="00A34376">
              <w:rPr>
                <w:rFonts w:ascii="Optima" w:hAnsi="Optima"/>
                <w:color w:val="262626" w:themeColor="text1" w:themeTint="D9"/>
                <w:sz w:val="19"/>
                <w:szCs w:val="19"/>
              </w:rPr>
              <w:t xml:space="preserve"> </w:t>
            </w:r>
            <w:r w:rsidR="00152A85" w:rsidRPr="00A34376">
              <w:rPr>
                <w:rFonts w:ascii="Optima" w:hAnsi="Optima"/>
                <w:color w:val="262626" w:themeColor="text1" w:themeTint="D9"/>
                <w:sz w:val="19"/>
                <w:szCs w:val="19"/>
              </w:rPr>
              <w:t>[</w:t>
            </w:r>
            <w:r w:rsidR="003633C3" w:rsidRPr="00A34376">
              <w:rPr>
                <w:rFonts w:ascii="Optima" w:hAnsi="Optima"/>
                <w:color w:val="262626" w:themeColor="text1" w:themeTint="D9"/>
                <w:sz w:val="19"/>
                <w:szCs w:val="19"/>
              </w:rPr>
              <w:t>=</w:t>
            </w:r>
            <w:r w:rsidR="003E7EF9" w:rsidRPr="00A34376">
              <w:rPr>
                <w:rFonts w:ascii="Optima" w:hAnsi="Optima"/>
                <w:color w:val="262626" w:themeColor="text1" w:themeTint="D9"/>
                <w:sz w:val="19"/>
                <w:szCs w:val="19"/>
              </w:rPr>
              <w:t xml:space="preserve"> </w:t>
            </w:r>
            <w:r w:rsidR="00152A85" w:rsidRPr="00A34376">
              <w:rPr>
                <w:rFonts w:ascii="Optima" w:hAnsi="Optima"/>
                <w:color w:val="262626" w:themeColor="text1" w:themeTint="D9"/>
                <w:sz w:val="19"/>
                <w:szCs w:val="19"/>
              </w:rPr>
              <w:t>(</w:t>
            </w:r>
            <w:r w:rsidR="00E40E8C" w:rsidRPr="00A34376">
              <w:rPr>
                <w:rFonts w:ascii="Optima" w:hAnsi="Optima"/>
                <w:color w:val="262626" w:themeColor="text1" w:themeTint="D9"/>
                <w:sz w:val="19"/>
                <w:szCs w:val="19"/>
              </w:rPr>
              <w:t>26/2</w:t>
            </w:r>
            <w:r w:rsidR="003633C3" w:rsidRPr="00A34376">
              <w:rPr>
                <w:rFonts w:ascii="Optima" w:hAnsi="Optima"/>
                <w:color w:val="262626" w:themeColor="text1" w:themeTint="D9"/>
                <w:sz w:val="19"/>
                <w:szCs w:val="19"/>
              </w:rPr>
              <w:t>,</w:t>
            </w:r>
            <w:r w:rsidR="00E40E8C" w:rsidRPr="00A34376">
              <w:rPr>
                <w:rFonts w:ascii="Optima" w:hAnsi="Optima"/>
                <w:color w:val="262626" w:themeColor="text1" w:themeTint="D9"/>
                <w:sz w:val="19"/>
                <w:szCs w:val="19"/>
              </w:rPr>
              <w:t>080</w:t>
            </w:r>
            <w:r w:rsidR="00152A85" w:rsidRPr="00A34376">
              <w:rPr>
                <w:rFonts w:ascii="Optima" w:hAnsi="Optima"/>
                <w:color w:val="262626" w:themeColor="text1" w:themeTint="D9"/>
                <w:sz w:val="19"/>
                <w:szCs w:val="19"/>
              </w:rPr>
              <w:t xml:space="preserve">) </w:t>
            </w:r>
            <w:r w:rsidR="00E40E8C" w:rsidRPr="00A34376">
              <w:rPr>
                <w:rFonts w:ascii="Optima" w:hAnsi="Optima"/>
                <w:color w:val="262626" w:themeColor="text1" w:themeTint="D9"/>
                <w:sz w:val="19"/>
                <w:szCs w:val="19"/>
              </w:rPr>
              <w:t>*</w:t>
            </w:r>
            <w:r w:rsidR="00152A85" w:rsidRPr="00A34376">
              <w:rPr>
                <w:rFonts w:ascii="Optima" w:hAnsi="Optima"/>
                <w:color w:val="262626" w:themeColor="text1" w:themeTint="D9"/>
                <w:sz w:val="19"/>
                <w:szCs w:val="19"/>
              </w:rPr>
              <w:t xml:space="preserve"> </w:t>
            </w:r>
            <w:r w:rsidR="00E40E8C" w:rsidRPr="00A34376">
              <w:rPr>
                <w:rFonts w:ascii="Optima" w:hAnsi="Optima"/>
                <w:color w:val="262626" w:themeColor="text1" w:themeTint="D9"/>
                <w:sz w:val="19"/>
                <w:szCs w:val="19"/>
              </w:rPr>
              <w:t>8</w:t>
            </w:r>
            <w:r w:rsidR="00152A85" w:rsidRPr="00A34376">
              <w:rPr>
                <w:rFonts w:ascii="Optima" w:hAnsi="Optima"/>
                <w:color w:val="262626" w:themeColor="text1" w:themeTint="D9"/>
                <w:sz w:val="19"/>
                <w:szCs w:val="19"/>
              </w:rPr>
              <w:t>]</w:t>
            </w:r>
          </w:p>
        </w:tc>
        <w:tc>
          <w:tcPr>
            <w:tcW w:w="1350" w:type="dxa"/>
            <w:tcBorders>
              <w:top w:val="nil"/>
              <w:left w:val="nil"/>
              <w:bottom w:val="nil"/>
              <w:right w:val="nil"/>
            </w:tcBorders>
            <w:shd w:val="clear" w:color="auto" w:fill="auto"/>
            <w:noWrap/>
            <w:hideMark/>
          </w:tcPr>
          <w:p w14:paraId="057A3604" w14:textId="77777777" w:rsidR="004D4C63" w:rsidRPr="00A34376" w:rsidRDefault="00357AA5" w:rsidP="007B7FCE">
            <w:pPr>
              <w:spacing w:before="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w:t>
            </w:r>
            <w:r w:rsidR="00467043" w:rsidRPr="00A34376">
              <w:rPr>
                <w:rFonts w:ascii="Optima" w:hAnsi="Optima"/>
                <w:color w:val="262626" w:themeColor="text1" w:themeTint="D9"/>
                <w:sz w:val="19"/>
                <w:szCs w:val="19"/>
              </w:rPr>
              <w:t>0</w:t>
            </w:r>
            <w:r w:rsidR="00FA1B77" w:rsidRPr="00A34376">
              <w:rPr>
                <w:rFonts w:ascii="Optima" w:hAnsi="Optima"/>
                <w:color w:val="262626" w:themeColor="text1" w:themeTint="D9"/>
                <w:sz w:val="19"/>
                <w:szCs w:val="19"/>
              </w:rPr>
              <w:t>.</w:t>
            </w:r>
            <w:r w:rsidR="00467043" w:rsidRPr="00A34376">
              <w:rPr>
                <w:rFonts w:ascii="Optima" w:hAnsi="Optima"/>
                <w:color w:val="262626" w:themeColor="text1" w:themeTint="D9"/>
                <w:sz w:val="19"/>
                <w:szCs w:val="19"/>
              </w:rPr>
              <w:t>1</w:t>
            </w:r>
            <w:r w:rsidR="007138D6" w:rsidRPr="00A34376">
              <w:rPr>
                <w:rFonts w:ascii="Optima" w:hAnsi="Optima"/>
                <w:color w:val="262626" w:themeColor="text1" w:themeTint="D9"/>
                <w:sz w:val="19"/>
                <w:szCs w:val="19"/>
              </w:rPr>
              <w:t>0</w:t>
            </w:r>
          </w:p>
        </w:tc>
      </w:tr>
      <w:tr w:rsidR="00836111" w:rsidRPr="00A34376" w14:paraId="3B8BF2D7" w14:textId="77777777" w:rsidTr="00553C3B">
        <w:trPr>
          <w:trHeight w:val="288"/>
          <w:jc w:val="center"/>
        </w:trPr>
        <w:tc>
          <w:tcPr>
            <w:tcW w:w="7920" w:type="dxa"/>
            <w:tcBorders>
              <w:top w:val="nil"/>
              <w:left w:val="nil"/>
              <w:bottom w:val="nil"/>
              <w:right w:val="nil"/>
            </w:tcBorders>
            <w:shd w:val="clear" w:color="auto" w:fill="auto"/>
            <w:noWrap/>
            <w:hideMark/>
          </w:tcPr>
          <w:p w14:paraId="384507F6" w14:textId="77777777" w:rsidR="00836111" w:rsidRPr="00A34376" w:rsidRDefault="00836111" w:rsidP="00553C3B">
            <w:pPr>
              <w:spacing w:before="60" w:after="60" w:line="240" w:lineRule="auto"/>
              <w:ind w:left="518"/>
              <w:rPr>
                <w:rFonts w:ascii="Optima" w:hAnsi="Optima"/>
                <w:i/>
                <w:iCs/>
                <w:color w:val="262626" w:themeColor="text1" w:themeTint="D9"/>
                <w:sz w:val="19"/>
                <w:szCs w:val="19"/>
              </w:rPr>
            </w:pPr>
            <w:r w:rsidRPr="00A34376">
              <w:rPr>
                <w:rFonts w:ascii="Optima" w:hAnsi="Optima"/>
                <w:i/>
                <w:iCs/>
                <w:color w:val="262626" w:themeColor="text1" w:themeTint="D9"/>
                <w:sz w:val="19"/>
                <w:szCs w:val="19"/>
              </w:rPr>
              <w:t>Days Paid Time Off (Vacation, Holidays, Paid Sick Time, Personal Days) per year</w:t>
            </w:r>
          </w:p>
        </w:tc>
        <w:tc>
          <w:tcPr>
            <w:tcW w:w="1350" w:type="dxa"/>
            <w:tcBorders>
              <w:top w:val="nil"/>
              <w:left w:val="nil"/>
              <w:bottom w:val="nil"/>
              <w:right w:val="nil"/>
            </w:tcBorders>
            <w:shd w:val="clear" w:color="auto" w:fill="auto"/>
            <w:noWrap/>
            <w:hideMark/>
          </w:tcPr>
          <w:p w14:paraId="4B4F480D" w14:textId="77777777" w:rsidR="00836111" w:rsidRPr="00A34376" w:rsidRDefault="00836111" w:rsidP="00553C3B">
            <w:pPr>
              <w:spacing w:before="60" w:after="60" w:line="240" w:lineRule="auto"/>
              <w:ind w:left="-103"/>
              <w:rPr>
                <w:rFonts w:ascii="Optima" w:hAnsi="Optima"/>
                <w:i/>
                <w:iCs/>
                <w:color w:val="262626" w:themeColor="text1" w:themeTint="D9"/>
                <w:sz w:val="19"/>
                <w:szCs w:val="19"/>
              </w:rPr>
            </w:pPr>
            <w:r w:rsidRPr="00A34376">
              <w:rPr>
                <w:rFonts w:ascii="Optima" w:hAnsi="Optima"/>
                <w:i/>
                <w:iCs/>
                <w:color w:val="262626" w:themeColor="text1" w:themeTint="D9"/>
                <w:sz w:val="19"/>
                <w:szCs w:val="19"/>
              </w:rPr>
              <w:t>30</w:t>
            </w:r>
            <w:r w:rsidR="00F23424" w:rsidRPr="00A34376">
              <w:rPr>
                <w:rFonts w:ascii="Optima" w:hAnsi="Optima"/>
                <w:i/>
                <w:iCs/>
                <w:color w:val="262626" w:themeColor="text1" w:themeTint="D9"/>
                <w:sz w:val="19"/>
                <w:szCs w:val="19"/>
              </w:rPr>
              <w:t>.00</w:t>
            </w:r>
          </w:p>
        </w:tc>
      </w:tr>
      <w:tr w:rsidR="00FC1D23" w:rsidRPr="00A34376" w14:paraId="5DCE4DC0" w14:textId="77777777" w:rsidTr="00553C3B">
        <w:trPr>
          <w:trHeight w:val="126"/>
          <w:jc w:val="center"/>
        </w:trPr>
        <w:tc>
          <w:tcPr>
            <w:tcW w:w="7920" w:type="dxa"/>
            <w:tcBorders>
              <w:top w:val="nil"/>
              <w:left w:val="nil"/>
              <w:bottom w:val="single" w:sz="2" w:space="0" w:color="BFBFBF" w:themeColor="background1" w:themeShade="BF"/>
              <w:right w:val="nil"/>
            </w:tcBorders>
            <w:shd w:val="clear" w:color="auto" w:fill="auto"/>
            <w:noWrap/>
            <w:vAlign w:val="center"/>
            <w:hideMark/>
          </w:tcPr>
          <w:p w14:paraId="02EFECF6" w14:textId="77777777" w:rsidR="004D4C63" w:rsidRPr="00A34376" w:rsidRDefault="00036C1F" w:rsidP="00553C3B">
            <w:pPr>
              <w:spacing w:before="0" w:after="60" w:line="240" w:lineRule="auto"/>
              <w:ind w:left="706"/>
              <w:rPr>
                <w:rFonts w:ascii="Optima" w:hAnsi="Optima"/>
                <w:color w:val="262626" w:themeColor="text1" w:themeTint="D9"/>
                <w:sz w:val="19"/>
                <w:szCs w:val="19"/>
              </w:rPr>
            </w:pPr>
            <w:r w:rsidRPr="00A34376">
              <w:rPr>
                <w:rFonts w:ascii="Optima" w:hAnsi="Optima"/>
                <w:color w:val="262626" w:themeColor="text1" w:themeTint="D9"/>
                <w:sz w:val="19"/>
                <w:szCs w:val="19"/>
              </w:rPr>
              <w:t xml:space="preserve">e. </w:t>
            </w:r>
            <w:r w:rsidR="008F48C7" w:rsidRPr="00A34376">
              <w:rPr>
                <w:rFonts w:ascii="Optima" w:hAnsi="Optima"/>
                <w:color w:val="262626" w:themeColor="text1" w:themeTint="D9"/>
                <w:sz w:val="19"/>
                <w:szCs w:val="19"/>
              </w:rPr>
              <w:t>Less Hours</w:t>
            </w:r>
            <w:r w:rsidR="00322B5B" w:rsidRPr="00A34376">
              <w:rPr>
                <w:rFonts w:ascii="Optima" w:hAnsi="Optima"/>
                <w:color w:val="262626" w:themeColor="text1" w:themeTint="D9"/>
                <w:sz w:val="19"/>
                <w:szCs w:val="19"/>
              </w:rPr>
              <w:t xml:space="preserve"> </w:t>
            </w:r>
            <w:r w:rsidR="004D4C63" w:rsidRPr="00A34376">
              <w:rPr>
                <w:rFonts w:ascii="Optima" w:hAnsi="Optima"/>
                <w:color w:val="262626" w:themeColor="text1" w:themeTint="D9"/>
                <w:sz w:val="19"/>
                <w:szCs w:val="19"/>
              </w:rPr>
              <w:t>Paid Time Off</w:t>
            </w:r>
            <w:r w:rsidR="00322B5B" w:rsidRPr="00A34376">
              <w:rPr>
                <w:rFonts w:ascii="Optima" w:hAnsi="Optima"/>
                <w:color w:val="262626" w:themeColor="text1" w:themeTint="D9"/>
                <w:sz w:val="19"/>
                <w:szCs w:val="19"/>
              </w:rPr>
              <w:t xml:space="preserve"> </w:t>
            </w:r>
            <w:r w:rsidR="004D4C63" w:rsidRPr="00A34376">
              <w:rPr>
                <w:rFonts w:ascii="Optima" w:hAnsi="Optima"/>
                <w:color w:val="262626" w:themeColor="text1" w:themeTint="D9"/>
                <w:sz w:val="19"/>
                <w:szCs w:val="19"/>
              </w:rPr>
              <w:t>per</w:t>
            </w:r>
            <w:r w:rsidR="00DA1C5D" w:rsidRPr="00A34376">
              <w:rPr>
                <w:rFonts w:ascii="Optima" w:hAnsi="Optima"/>
                <w:color w:val="262626" w:themeColor="text1" w:themeTint="D9"/>
                <w:sz w:val="19"/>
                <w:szCs w:val="19"/>
              </w:rPr>
              <w:t xml:space="preserve"> </w:t>
            </w:r>
            <w:r w:rsidR="008F48C7" w:rsidRPr="00A34376">
              <w:rPr>
                <w:rFonts w:ascii="Optima" w:hAnsi="Optima"/>
                <w:color w:val="262626" w:themeColor="text1" w:themeTint="D9"/>
                <w:sz w:val="19"/>
                <w:szCs w:val="19"/>
              </w:rPr>
              <w:t>workday</w:t>
            </w:r>
            <w:r w:rsidR="00442ABE" w:rsidRPr="00A34376">
              <w:rPr>
                <w:rFonts w:ascii="Optima" w:hAnsi="Optima"/>
                <w:color w:val="262626" w:themeColor="text1" w:themeTint="D9"/>
                <w:sz w:val="19"/>
                <w:szCs w:val="19"/>
              </w:rPr>
              <w:t xml:space="preserve"> </w:t>
            </w:r>
            <w:r w:rsidR="00340FF4" w:rsidRPr="00A34376">
              <w:rPr>
                <w:rFonts w:ascii="Optima" w:hAnsi="Optima"/>
                <w:color w:val="262626" w:themeColor="text1" w:themeTint="D9"/>
                <w:sz w:val="19"/>
                <w:szCs w:val="19"/>
              </w:rPr>
              <w:t>[=</w:t>
            </w:r>
            <w:r w:rsidR="003E7EF9" w:rsidRPr="00A34376">
              <w:rPr>
                <w:rFonts w:ascii="Optima" w:hAnsi="Optima"/>
                <w:color w:val="262626" w:themeColor="text1" w:themeTint="D9"/>
                <w:sz w:val="19"/>
                <w:szCs w:val="19"/>
              </w:rPr>
              <w:t xml:space="preserve"> (</w:t>
            </w:r>
            <w:r w:rsidR="00442ABE" w:rsidRPr="00A34376">
              <w:rPr>
                <w:rFonts w:ascii="Optima" w:hAnsi="Optima"/>
                <w:color w:val="262626" w:themeColor="text1" w:themeTint="D9"/>
                <w:sz w:val="19"/>
                <w:szCs w:val="19"/>
              </w:rPr>
              <w:t>30*8/</w:t>
            </w:r>
            <w:r w:rsidR="00391D41" w:rsidRPr="00A34376">
              <w:rPr>
                <w:rFonts w:ascii="Optima" w:hAnsi="Optima"/>
                <w:color w:val="262626" w:themeColor="text1" w:themeTint="D9"/>
                <w:sz w:val="19"/>
                <w:szCs w:val="19"/>
              </w:rPr>
              <w:t xml:space="preserve">2,080) * </w:t>
            </w:r>
            <w:r w:rsidR="000065A2" w:rsidRPr="00A34376">
              <w:rPr>
                <w:rFonts w:ascii="Optima" w:hAnsi="Optima"/>
                <w:color w:val="262626" w:themeColor="text1" w:themeTint="D9"/>
                <w:sz w:val="19"/>
                <w:szCs w:val="19"/>
              </w:rPr>
              <w:t>8</w:t>
            </w:r>
            <w:r w:rsidR="00340FF4" w:rsidRPr="00A34376">
              <w:rPr>
                <w:rFonts w:ascii="Optima" w:hAnsi="Optima"/>
                <w:color w:val="262626" w:themeColor="text1" w:themeTint="D9"/>
                <w:sz w:val="19"/>
                <w:szCs w:val="19"/>
              </w:rPr>
              <w:t>]</w:t>
            </w:r>
          </w:p>
        </w:tc>
        <w:tc>
          <w:tcPr>
            <w:tcW w:w="1350" w:type="dxa"/>
            <w:tcBorders>
              <w:top w:val="nil"/>
              <w:left w:val="nil"/>
              <w:bottom w:val="single" w:sz="2" w:space="0" w:color="BFBFBF" w:themeColor="background1" w:themeShade="BF"/>
              <w:right w:val="nil"/>
            </w:tcBorders>
            <w:shd w:val="clear" w:color="auto" w:fill="auto"/>
            <w:noWrap/>
            <w:vAlign w:val="center"/>
            <w:hideMark/>
          </w:tcPr>
          <w:p w14:paraId="49625E73" w14:textId="77777777" w:rsidR="004D4C63" w:rsidRPr="00A34376" w:rsidRDefault="00357AA5" w:rsidP="00553C3B">
            <w:pPr>
              <w:spacing w:before="0" w:after="60" w:line="240" w:lineRule="auto"/>
              <w:ind w:left="-10"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w:t>
            </w:r>
            <w:r w:rsidR="00985CEB" w:rsidRPr="00A34376">
              <w:rPr>
                <w:rFonts w:ascii="Optima" w:hAnsi="Optima"/>
                <w:color w:val="262626" w:themeColor="text1" w:themeTint="D9"/>
                <w:sz w:val="19"/>
                <w:szCs w:val="19"/>
              </w:rPr>
              <w:t>0</w:t>
            </w:r>
            <w:r w:rsidR="008456D5" w:rsidRPr="00A34376">
              <w:rPr>
                <w:rFonts w:ascii="Optima" w:hAnsi="Optima"/>
                <w:color w:val="262626" w:themeColor="text1" w:themeTint="D9"/>
                <w:sz w:val="19"/>
                <w:szCs w:val="19"/>
              </w:rPr>
              <w:t>.92</w:t>
            </w:r>
          </w:p>
        </w:tc>
      </w:tr>
      <w:tr w:rsidR="00FC1D23" w:rsidRPr="00A34376" w14:paraId="3196A331" w14:textId="77777777" w:rsidTr="001839A3">
        <w:trPr>
          <w:trHeight w:val="315"/>
          <w:jc w:val="center"/>
        </w:trPr>
        <w:tc>
          <w:tcPr>
            <w:tcW w:w="792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4E89A5C7" w14:textId="77777777" w:rsidR="004D4C63" w:rsidRPr="00A34376" w:rsidRDefault="00D57BED"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B</w:t>
            </w:r>
            <w:r w:rsidR="003E37A3" w:rsidRPr="00A34376">
              <w:rPr>
                <w:rFonts w:ascii="Optima" w:hAnsi="Optima"/>
                <w:color w:val="262626" w:themeColor="text1" w:themeTint="D9"/>
                <w:sz w:val="19"/>
                <w:szCs w:val="19"/>
              </w:rPr>
              <w:t>2</w:t>
            </w:r>
            <w:r w:rsidRPr="00A34376">
              <w:rPr>
                <w:rFonts w:ascii="Optima" w:hAnsi="Optima"/>
                <w:color w:val="262626" w:themeColor="text1" w:themeTint="D9"/>
                <w:sz w:val="19"/>
                <w:szCs w:val="19"/>
              </w:rPr>
              <w:t xml:space="preserve">. </w:t>
            </w:r>
            <w:r w:rsidR="00506A36" w:rsidRPr="00A34376">
              <w:rPr>
                <w:rFonts w:ascii="Optima" w:hAnsi="Optima"/>
                <w:color w:val="262626" w:themeColor="text1" w:themeTint="D9"/>
                <w:sz w:val="19"/>
                <w:szCs w:val="19"/>
              </w:rPr>
              <w:t xml:space="preserve">Less </w:t>
            </w:r>
            <w:r w:rsidR="00BA3530" w:rsidRPr="00A34376">
              <w:rPr>
                <w:rFonts w:ascii="Optima" w:hAnsi="Optima"/>
                <w:color w:val="262626" w:themeColor="text1" w:themeTint="D9"/>
                <w:sz w:val="19"/>
                <w:szCs w:val="19"/>
              </w:rPr>
              <w:t xml:space="preserve">Hours for </w:t>
            </w:r>
            <w:r w:rsidR="004D4C63" w:rsidRPr="00A34376">
              <w:rPr>
                <w:rFonts w:ascii="Optima" w:hAnsi="Optima"/>
                <w:color w:val="262626" w:themeColor="text1" w:themeTint="D9"/>
                <w:sz w:val="19"/>
                <w:szCs w:val="19"/>
              </w:rPr>
              <w:t xml:space="preserve">Productivity Adjustment (per </w:t>
            </w:r>
            <w:r w:rsidR="00807952" w:rsidRPr="00A34376">
              <w:rPr>
                <w:rFonts w:ascii="Optima" w:hAnsi="Optima"/>
                <w:color w:val="262626" w:themeColor="text1" w:themeTint="D9"/>
                <w:sz w:val="19"/>
                <w:szCs w:val="19"/>
              </w:rPr>
              <w:t>w</w:t>
            </w:r>
            <w:r w:rsidR="004D4C63" w:rsidRPr="00A34376">
              <w:rPr>
                <w:rFonts w:ascii="Optima" w:hAnsi="Optima"/>
                <w:color w:val="262626" w:themeColor="text1" w:themeTint="D9"/>
                <w:sz w:val="19"/>
                <w:szCs w:val="19"/>
              </w:rPr>
              <w:t>ork</w:t>
            </w:r>
            <w:r w:rsidR="00807952" w:rsidRPr="00A34376">
              <w:rPr>
                <w:rFonts w:ascii="Optima" w:hAnsi="Optima"/>
                <w:color w:val="262626" w:themeColor="text1" w:themeTint="D9"/>
                <w:sz w:val="19"/>
                <w:szCs w:val="19"/>
              </w:rPr>
              <w:t>da</w:t>
            </w:r>
            <w:r w:rsidR="004D4C63" w:rsidRPr="00A34376">
              <w:rPr>
                <w:rFonts w:ascii="Optima" w:hAnsi="Optima"/>
                <w:color w:val="262626" w:themeColor="text1" w:themeTint="D9"/>
                <w:sz w:val="19"/>
                <w:szCs w:val="19"/>
              </w:rPr>
              <w:t>y)</w:t>
            </w:r>
            <w:r w:rsidR="003E37A3" w:rsidRPr="00A34376">
              <w:rPr>
                <w:rFonts w:ascii="Optima" w:hAnsi="Optima"/>
                <w:color w:val="262626" w:themeColor="text1" w:themeTint="D9"/>
                <w:sz w:val="19"/>
                <w:szCs w:val="19"/>
              </w:rPr>
              <w:t xml:space="preserve"> (=B1-</w:t>
            </w:r>
            <w:r w:rsidR="00391D41" w:rsidRPr="00A34376">
              <w:rPr>
                <w:rFonts w:ascii="Optima" w:hAnsi="Optima"/>
                <w:color w:val="262626" w:themeColor="text1" w:themeTint="D9"/>
                <w:sz w:val="19"/>
                <w:szCs w:val="19"/>
              </w:rPr>
              <w:t>a-b-c-d-e)</w:t>
            </w:r>
          </w:p>
        </w:tc>
        <w:tc>
          <w:tcPr>
            <w:tcW w:w="135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11A993C5" w14:textId="77777777" w:rsidR="004D4C63" w:rsidRPr="00A34376" w:rsidRDefault="003E37A3" w:rsidP="005835A7">
            <w:pPr>
              <w:spacing w:before="60" w:after="60" w:line="240" w:lineRule="auto"/>
              <w:ind w:left="-10"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w:t>
            </w:r>
            <w:r w:rsidR="004D4C63" w:rsidRPr="00A34376">
              <w:rPr>
                <w:rFonts w:ascii="Optima" w:hAnsi="Optima"/>
                <w:color w:val="262626" w:themeColor="text1" w:themeTint="D9"/>
                <w:sz w:val="19"/>
                <w:szCs w:val="19"/>
              </w:rPr>
              <w:t>2.46</w:t>
            </w:r>
          </w:p>
        </w:tc>
      </w:tr>
      <w:tr w:rsidR="00FC1D23" w:rsidRPr="00A34376" w14:paraId="72BD1C67" w14:textId="77777777" w:rsidTr="001839A3">
        <w:trPr>
          <w:trHeight w:val="315"/>
          <w:jc w:val="center"/>
        </w:trPr>
        <w:tc>
          <w:tcPr>
            <w:tcW w:w="792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7AFF523C" w14:textId="77777777" w:rsidR="004D4C63" w:rsidRPr="00A34376" w:rsidRDefault="00123725" w:rsidP="007503A3">
            <w:pPr>
              <w:spacing w:before="60" w:after="60" w:line="240" w:lineRule="auto"/>
              <w:ind w:left="341"/>
              <w:rPr>
                <w:rFonts w:ascii="Optima" w:hAnsi="Optima"/>
                <w:b/>
                <w:bCs/>
                <w:color w:val="262626" w:themeColor="text1" w:themeTint="D9"/>
                <w:sz w:val="19"/>
                <w:szCs w:val="19"/>
              </w:rPr>
            </w:pPr>
            <w:r w:rsidRPr="00A34376">
              <w:rPr>
                <w:rFonts w:ascii="Optima" w:hAnsi="Optima"/>
                <w:b/>
                <w:bCs/>
                <w:color w:val="262626" w:themeColor="text1" w:themeTint="D9"/>
                <w:sz w:val="19"/>
                <w:szCs w:val="19"/>
              </w:rPr>
              <w:t>B</w:t>
            </w:r>
            <w:r w:rsidR="00E23189" w:rsidRPr="00A34376">
              <w:rPr>
                <w:rFonts w:ascii="Optima" w:hAnsi="Optima"/>
                <w:b/>
                <w:bCs/>
                <w:color w:val="262626" w:themeColor="text1" w:themeTint="D9"/>
                <w:sz w:val="19"/>
                <w:szCs w:val="19"/>
              </w:rPr>
              <w:t>3</w:t>
            </w:r>
            <w:r w:rsidRPr="00A34376">
              <w:rPr>
                <w:rFonts w:ascii="Optima" w:hAnsi="Optima"/>
                <w:b/>
                <w:bCs/>
                <w:color w:val="262626" w:themeColor="text1" w:themeTint="D9"/>
                <w:sz w:val="19"/>
                <w:szCs w:val="19"/>
              </w:rPr>
              <w:t xml:space="preserve">. </w:t>
            </w:r>
            <w:r w:rsidR="00865002" w:rsidRPr="00A34376">
              <w:rPr>
                <w:rFonts w:ascii="Optima" w:hAnsi="Optima"/>
                <w:b/>
                <w:bCs/>
                <w:color w:val="262626" w:themeColor="text1" w:themeTint="D9"/>
                <w:sz w:val="19"/>
                <w:szCs w:val="19"/>
              </w:rPr>
              <w:t xml:space="preserve">Hours </w:t>
            </w:r>
            <w:r w:rsidR="004D4C63" w:rsidRPr="00A34376">
              <w:rPr>
                <w:rFonts w:ascii="Optima" w:hAnsi="Optima"/>
                <w:b/>
                <w:bCs/>
                <w:color w:val="262626" w:themeColor="text1" w:themeTint="D9"/>
                <w:sz w:val="19"/>
                <w:szCs w:val="19"/>
              </w:rPr>
              <w:t xml:space="preserve">Billable per </w:t>
            </w:r>
            <w:r w:rsidR="00807952" w:rsidRPr="00A34376">
              <w:rPr>
                <w:rFonts w:ascii="Optima" w:hAnsi="Optima"/>
                <w:b/>
                <w:bCs/>
                <w:color w:val="262626" w:themeColor="text1" w:themeTint="D9"/>
                <w:sz w:val="19"/>
                <w:szCs w:val="19"/>
              </w:rPr>
              <w:t>w</w:t>
            </w:r>
            <w:r w:rsidR="004D4C63" w:rsidRPr="00A34376">
              <w:rPr>
                <w:rFonts w:ascii="Optima" w:hAnsi="Optima"/>
                <w:b/>
                <w:bCs/>
                <w:color w:val="262626" w:themeColor="text1" w:themeTint="D9"/>
                <w:sz w:val="19"/>
                <w:szCs w:val="19"/>
              </w:rPr>
              <w:t>ork</w:t>
            </w:r>
            <w:r w:rsidR="00807952" w:rsidRPr="00A34376">
              <w:rPr>
                <w:rFonts w:ascii="Optima" w:hAnsi="Optima"/>
                <w:b/>
                <w:bCs/>
                <w:color w:val="262626" w:themeColor="text1" w:themeTint="D9"/>
                <w:sz w:val="19"/>
                <w:szCs w:val="19"/>
              </w:rPr>
              <w:t>d</w:t>
            </w:r>
            <w:r w:rsidR="004D4C63" w:rsidRPr="00A34376">
              <w:rPr>
                <w:rFonts w:ascii="Optima" w:hAnsi="Optima"/>
                <w:b/>
                <w:bCs/>
                <w:color w:val="262626" w:themeColor="text1" w:themeTint="D9"/>
                <w:sz w:val="19"/>
                <w:szCs w:val="19"/>
              </w:rPr>
              <w:t>ay</w:t>
            </w:r>
            <w:r w:rsidR="00BA3530" w:rsidRPr="00A34376">
              <w:rPr>
                <w:rFonts w:ascii="Optima" w:hAnsi="Optima"/>
                <w:b/>
                <w:bCs/>
                <w:color w:val="262626" w:themeColor="text1" w:themeTint="D9"/>
                <w:sz w:val="19"/>
                <w:szCs w:val="19"/>
              </w:rPr>
              <w:t xml:space="preserve"> (B1</w:t>
            </w:r>
            <w:r w:rsidR="00BD329F" w:rsidRPr="00A34376">
              <w:rPr>
                <w:rFonts w:ascii="Optima" w:hAnsi="Optima"/>
                <w:b/>
                <w:bCs/>
                <w:color w:val="262626" w:themeColor="text1" w:themeTint="D9"/>
                <w:sz w:val="19"/>
                <w:szCs w:val="19"/>
              </w:rPr>
              <w:t>-</w:t>
            </w:r>
            <w:r w:rsidR="00BA3530" w:rsidRPr="00A34376">
              <w:rPr>
                <w:rFonts w:ascii="Optima" w:hAnsi="Optima"/>
                <w:b/>
                <w:bCs/>
                <w:color w:val="262626" w:themeColor="text1" w:themeTint="D9"/>
                <w:sz w:val="19"/>
                <w:szCs w:val="19"/>
              </w:rPr>
              <w:t>B</w:t>
            </w:r>
            <w:r w:rsidR="00BD329F" w:rsidRPr="00A34376">
              <w:rPr>
                <w:rFonts w:ascii="Optima" w:hAnsi="Optima"/>
                <w:b/>
                <w:bCs/>
                <w:color w:val="262626" w:themeColor="text1" w:themeTint="D9"/>
                <w:sz w:val="19"/>
                <w:szCs w:val="19"/>
              </w:rPr>
              <w:t>2</w:t>
            </w:r>
            <w:r w:rsidR="00BA3530" w:rsidRPr="00A34376">
              <w:rPr>
                <w:rFonts w:ascii="Optima" w:hAnsi="Optima"/>
                <w:b/>
                <w:bCs/>
                <w:color w:val="262626" w:themeColor="text1" w:themeTint="D9"/>
                <w:sz w:val="19"/>
                <w:szCs w:val="19"/>
              </w:rPr>
              <w:t xml:space="preserve"> = 8.00</w:t>
            </w:r>
            <w:r w:rsidR="00BD329F" w:rsidRPr="00A34376">
              <w:rPr>
                <w:rFonts w:ascii="Optima" w:hAnsi="Optima"/>
                <w:b/>
                <w:bCs/>
                <w:color w:val="262626" w:themeColor="text1" w:themeTint="D9"/>
                <w:sz w:val="19"/>
                <w:szCs w:val="19"/>
              </w:rPr>
              <w:t>-</w:t>
            </w:r>
            <w:r w:rsidR="00BA3530" w:rsidRPr="00A34376">
              <w:rPr>
                <w:rFonts w:ascii="Optima" w:hAnsi="Optima"/>
                <w:b/>
                <w:bCs/>
                <w:color w:val="262626" w:themeColor="text1" w:themeTint="D9"/>
                <w:sz w:val="19"/>
                <w:szCs w:val="19"/>
              </w:rPr>
              <w:t>2.46)</w:t>
            </w:r>
          </w:p>
        </w:tc>
        <w:tc>
          <w:tcPr>
            <w:tcW w:w="135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3002B3EB" w14:textId="77777777" w:rsidR="004D4C63" w:rsidRPr="00A34376" w:rsidRDefault="004D4C63" w:rsidP="005835A7">
            <w:pPr>
              <w:spacing w:before="60" w:after="60" w:line="240" w:lineRule="auto"/>
              <w:ind w:left="-10" w:right="160"/>
              <w:jc w:val="right"/>
              <w:rPr>
                <w:rFonts w:ascii="Optima" w:hAnsi="Optima"/>
                <w:b/>
                <w:bCs/>
                <w:color w:val="262626" w:themeColor="text1" w:themeTint="D9"/>
                <w:sz w:val="19"/>
                <w:szCs w:val="19"/>
              </w:rPr>
            </w:pPr>
            <w:r w:rsidRPr="00A34376">
              <w:rPr>
                <w:rFonts w:ascii="Optima" w:hAnsi="Optima"/>
                <w:b/>
                <w:bCs/>
                <w:color w:val="262626" w:themeColor="text1" w:themeTint="D9"/>
                <w:sz w:val="19"/>
                <w:szCs w:val="19"/>
              </w:rPr>
              <w:t>5.54</w:t>
            </w:r>
          </w:p>
        </w:tc>
      </w:tr>
      <w:tr w:rsidR="00FC1D23" w:rsidRPr="00A34376" w14:paraId="04022FC1" w14:textId="77777777" w:rsidTr="001839A3">
        <w:trPr>
          <w:trHeight w:val="315"/>
          <w:jc w:val="center"/>
        </w:trPr>
        <w:tc>
          <w:tcPr>
            <w:tcW w:w="792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5BF79A0C" w14:textId="77777777" w:rsidR="004D4C63" w:rsidRPr="00A34376" w:rsidRDefault="00E23189"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 xml:space="preserve">B4. </w:t>
            </w:r>
            <w:r w:rsidR="004D4C63" w:rsidRPr="00A34376">
              <w:rPr>
                <w:rFonts w:ascii="Optima" w:hAnsi="Optima"/>
                <w:color w:val="262626" w:themeColor="text1" w:themeTint="D9"/>
                <w:sz w:val="19"/>
                <w:szCs w:val="19"/>
              </w:rPr>
              <w:t>Base Staff</w:t>
            </w:r>
            <w:r w:rsidR="0081448D" w:rsidRPr="00A34376">
              <w:rPr>
                <w:rFonts w:ascii="Optima" w:hAnsi="Optima"/>
                <w:color w:val="262626" w:themeColor="text1" w:themeTint="D9"/>
                <w:sz w:val="19"/>
                <w:szCs w:val="19"/>
              </w:rPr>
              <w:t>ing</w:t>
            </w:r>
            <w:r w:rsidR="004D4C63" w:rsidRPr="00A34376">
              <w:rPr>
                <w:rFonts w:ascii="Optima" w:hAnsi="Optima"/>
                <w:color w:val="262626" w:themeColor="text1" w:themeTint="D9"/>
                <w:sz w:val="19"/>
                <w:szCs w:val="19"/>
              </w:rPr>
              <w:t xml:space="preserve"> Cost</w:t>
            </w:r>
            <w:r w:rsidR="00BD359C" w:rsidRPr="00A34376">
              <w:rPr>
                <w:rFonts w:ascii="Optima" w:hAnsi="Optima"/>
                <w:color w:val="262626" w:themeColor="text1" w:themeTint="D9"/>
                <w:sz w:val="19"/>
                <w:szCs w:val="19"/>
              </w:rPr>
              <w:t xml:space="preserve"> </w:t>
            </w:r>
            <w:r w:rsidR="004D4C63" w:rsidRPr="00A34376">
              <w:rPr>
                <w:rFonts w:ascii="Optima" w:hAnsi="Optima"/>
                <w:color w:val="262626" w:themeColor="text1" w:themeTint="D9"/>
                <w:sz w:val="19"/>
                <w:szCs w:val="19"/>
              </w:rPr>
              <w:t xml:space="preserve">per </w:t>
            </w:r>
            <w:r w:rsidR="006C3B5D" w:rsidRPr="00A34376">
              <w:rPr>
                <w:rFonts w:ascii="Optima" w:hAnsi="Optima"/>
                <w:color w:val="262626" w:themeColor="text1" w:themeTint="D9"/>
                <w:sz w:val="19"/>
                <w:szCs w:val="19"/>
              </w:rPr>
              <w:t>work</w:t>
            </w:r>
            <w:r w:rsidR="0063704A" w:rsidRPr="00A34376">
              <w:rPr>
                <w:rFonts w:ascii="Optima" w:hAnsi="Optima"/>
                <w:color w:val="262626" w:themeColor="text1" w:themeTint="D9"/>
                <w:sz w:val="19"/>
                <w:szCs w:val="19"/>
              </w:rPr>
              <w:t>d</w:t>
            </w:r>
            <w:r w:rsidR="004D4C63" w:rsidRPr="00A34376">
              <w:rPr>
                <w:rFonts w:ascii="Optima" w:hAnsi="Optima"/>
                <w:color w:val="262626" w:themeColor="text1" w:themeTint="D9"/>
                <w:sz w:val="19"/>
                <w:szCs w:val="19"/>
              </w:rPr>
              <w:t>ay</w:t>
            </w:r>
            <w:r w:rsidR="006B7E9E" w:rsidRPr="00A34376">
              <w:rPr>
                <w:rFonts w:ascii="Optima" w:hAnsi="Optima"/>
                <w:color w:val="262626" w:themeColor="text1" w:themeTint="D9"/>
                <w:sz w:val="19"/>
                <w:szCs w:val="19"/>
              </w:rPr>
              <w:t xml:space="preserve"> (= </w:t>
            </w:r>
            <w:r w:rsidR="00EA31D4" w:rsidRPr="00A34376">
              <w:rPr>
                <w:rFonts w:ascii="Optima" w:hAnsi="Optima"/>
                <w:color w:val="262626" w:themeColor="text1" w:themeTint="D9"/>
                <w:sz w:val="19"/>
                <w:szCs w:val="19"/>
              </w:rPr>
              <w:t>A*B1 = $24.29*8)</w:t>
            </w:r>
          </w:p>
        </w:tc>
        <w:tc>
          <w:tcPr>
            <w:tcW w:w="135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44DD974D" w14:textId="77777777" w:rsidR="004D4C63" w:rsidRPr="00A34376" w:rsidRDefault="004D4C63" w:rsidP="005835A7">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$194.32</w:t>
            </w:r>
          </w:p>
        </w:tc>
      </w:tr>
      <w:tr w:rsidR="00FC1D23" w:rsidRPr="00A34376" w14:paraId="19CFFCE9" w14:textId="77777777" w:rsidTr="001839A3">
        <w:trPr>
          <w:trHeight w:val="315"/>
          <w:jc w:val="center"/>
        </w:trPr>
        <w:tc>
          <w:tcPr>
            <w:tcW w:w="7920" w:type="dxa"/>
            <w:tcBorders>
              <w:top w:val="single" w:sz="2" w:space="0" w:color="BFBFBF" w:themeColor="background1" w:themeShade="BF"/>
              <w:left w:val="nil"/>
              <w:bottom w:val="nil"/>
              <w:right w:val="nil"/>
            </w:tcBorders>
            <w:shd w:val="clear" w:color="auto" w:fill="auto"/>
            <w:noWrap/>
            <w:hideMark/>
          </w:tcPr>
          <w:p w14:paraId="62EEBD3A" w14:textId="77777777" w:rsidR="004D4C63" w:rsidRPr="00A34376" w:rsidRDefault="00A8438B" w:rsidP="007503A3">
            <w:pPr>
              <w:spacing w:before="60" w:after="60" w:line="240" w:lineRule="auto"/>
              <w:ind w:left="346"/>
              <w:rPr>
                <w:rFonts w:ascii="Optima" w:hAnsi="Optima"/>
                <w:color w:val="262626" w:themeColor="text1" w:themeTint="D9"/>
                <w:sz w:val="19"/>
                <w:szCs w:val="19"/>
              </w:rPr>
            </w:pPr>
            <w:r w:rsidRPr="00A34376">
              <w:rPr>
                <w:rFonts w:ascii="Optima" w:hAnsi="Optima"/>
                <w:color w:val="262626" w:themeColor="text1" w:themeTint="D9"/>
                <w:sz w:val="19"/>
                <w:szCs w:val="19"/>
              </w:rPr>
              <w:t xml:space="preserve">B5. </w:t>
            </w:r>
            <w:r w:rsidR="004D4C63" w:rsidRPr="00A34376">
              <w:rPr>
                <w:rFonts w:ascii="Optima" w:hAnsi="Optima"/>
                <w:color w:val="262626" w:themeColor="text1" w:themeTint="D9"/>
                <w:sz w:val="19"/>
                <w:szCs w:val="19"/>
              </w:rPr>
              <w:t>Base Staff</w:t>
            </w:r>
            <w:r w:rsidR="0059091E" w:rsidRPr="00A34376">
              <w:rPr>
                <w:rFonts w:ascii="Optima" w:hAnsi="Optima"/>
                <w:color w:val="262626" w:themeColor="text1" w:themeTint="D9"/>
                <w:sz w:val="19"/>
                <w:szCs w:val="19"/>
              </w:rPr>
              <w:t>ing</w:t>
            </w:r>
            <w:r w:rsidR="004D4C63" w:rsidRPr="00A34376">
              <w:rPr>
                <w:rFonts w:ascii="Optima" w:hAnsi="Optima"/>
                <w:color w:val="262626" w:themeColor="text1" w:themeTint="D9"/>
                <w:sz w:val="19"/>
                <w:szCs w:val="19"/>
              </w:rPr>
              <w:t xml:space="preserve"> Cost</w:t>
            </w:r>
            <w:r w:rsidR="00BD359C" w:rsidRPr="00A34376">
              <w:rPr>
                <w:rFonts w:ascii="Optima" w:hAnsi="Optima"/>
                <w:color w:val="262626" w:themeColor="text1" w:themeTint="D9"/>
                <w:sz w:val="19"/>
                <w:szCs w:val="19"/>
              </w:rPr>
              <w:t xml:space="preserve"> p</w:t>
            </w:r>
            <w:r w:rsidR="004D4C63" w:rsidRPr="00A34376">
              <w:rPr>
                <w:rFonts w:ascii="Optima" w:hAnsi="Optima"/>
                <w:color w:val="262626" w:themeColor="text1" w:themeTint="D9"/>
                <w:sz w:val="19"/>
                <w:szCs w:val="19"/>
              </w:rPr>
              <w:t xml:space="preserve">er </w:t>
            </w:r>
            <w:r w:rsidR="00191146" w:rsidRPr="00A34376">
              <w:rPr>
                <w:rFonts w:ascii="Optima" w:hAnsi="Optima"/>
                <w:color w:val="262626" w:themeColor="text1" w:themeTint="D9"/>
                <w:sz w:val="19"/>
                <w:szCs w:val="19"/>
              </w:rPr>
              <w:t xml:space="preserve">workday </w:t>
            </w:r>
            <w:r w:rsidR="0059091E" w:rsidRPr="00A34376">
              <w:rPr>
                <w:rFonts w:ascii="Optima" w:hAnsi="Optima"/>
                <w:color w:val="262626" w:themeColor="text1" w:themeTint="D9"/>
                <w:sz w:val="19"/>
                <w:szCs w:val="19"/>
              </w:rPr>
              <w:t>b</w:t>
            </w:r>
            <w:r w:rsidR="004D4C63" w:rsidRPr="00A34376">
              <w:rPr>
                <w:rFonts w:ascii="Optima" w:hAnsi="Optima"/>
                <w:color w:val="262626" w:themeColor="text1" w:themeTint="D9"/>
                <w:sz w:val="19"/>
                <w:szCs w:val="19"/>
              </w:rPr>
              <w:t xml:space="preserve">illable </w:t>
            </w:r>
            <w:r w:rsidR="00ED133D" w:rsidRPr="00A34376">
              <w:rPr>
                <w:rFonts w:ascii="Optima" w:hAnsi="Optima"/>
                <w:color w:val="262626" w:themeColor="text1" w:themeTint="D9"/>
                <w:sz w:val="19"/>
                <w:szCs w:val="19"/>
              </w:rPr>
              <w:t>h</w:t>
            </w:r>
            <w:r w:rsidR="004D4C63" w:rsidRPr="00A34376">
              <w:rPr>
                <w:rFonts w:ascii="Optima" w:hAnsi="Optima"/>
                <w:color w:val="262626" w:themeColor="text1" w:themeTint="D9"/>
                <w:sz w:val="19"/>
                <w:szCs w:val="19"/>
              </w:rPr>
              <w:t>our</w:t>
            </w:r>
            <w:r w:rsidR="00ED133D" w:rsidRPr="00A34376">
              <w:rPr>
                <w:rFonts w:ascii="Optima" w:hAnsi="Optima"/>
                <w:color w:val="262626" w:themeColor="text1" w:themeTint="D9"/>
                <w:sz w:val="19"/>
                <w:szCs w:val="19"/>
              </w:rPr>
              <w:t>s</w:t>
            </w:r>
            <w:r w:rsidRPr="00A34376">
              <w:rPr>
                <w:rFonts w:ascii="Optima" w:hAnsi="Optima"/>
                <w:color w:val="262626" w:themeColor="text1" w:themeTint="D9"/>
                <w:sz w:val="19"/>
                <w:szCs w:val="19"/>
              </w:rPr>
              <w:t xml:space="preserve"> (= B4/B3)</w:t>
            </w:r>
          </w:p>
        </w:tc>
        <w:tc>
          <w:tcPr>
            <w:tcW w:w="1350" w:type="dxa"/>
            <w:tcBorders>
              <w:top w:val="single" w:sz="2" w:space="0" w:color="BFBFBF" w:themeColor="background1" w:themeShade="BF"/>
              <w:left w:val="nil"/>
              <w:bottom w:val="nil"/>
              <w:right w:val="nil"/>
            </w:tcBorders>
            <w:shd w:val="clear" w:color="auto" w:fill="auto"/>
            <w:noWrap/>
            <w:hideMark/>
          </w:tcPr>
          <w:p w14:paraId="7BDE4A29" w14:textId="77777777" w:rsidR="004D4C63" w:rsidRPr="00A34376" w:rsidRDefault="004D4C63" w:rsidP="005835A7">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$35.07</w:t>
            </w:r>
          </w:p>
        </w:tc>
      </w:tr>
      <w:tr w:rsidR="00FC1D23" w:rsidRPr="00A34376" w14:paraId="101FB568" w14:textId="77777777" w:rsidTr="001839A3">
        <w:trPr>
          <w:trHeight w:val="93"/>
          <w:jc w:val="center"/>
        </w:trPr>
        <w:tc>
          <w:tcPr>
            <w:tcW w:w="7920" w:type="dxa"/>
            <w:tcBorders>
              <w:top w:val="nil"/>
              <w:left w:val="nil"/>
              <w:bottom w:val="single" w:sz="2" w:space="0" w:color="BFBFBF" w:themeColor="background1" w:themeShade="BF"/>
              <w:right w:val="nil"/>
            </w:tcBorders>
            <w:shd w:val="clear" w:color="auto" w:fill="auto"/>
            <w:noWrap/>
            <w:hideMark/>
          </w:tcPr>
          <w:p w14:paraId="5B262D6A" w14:textId="77777777" w:rsidR="004D4C63" w:rsidRPr="00A34376" w:rsidRDefault="004D4C63" w:rsidP="00553C3B">
            <w:pPr>
              <w:spacing w:before="0" w:after="60" w:line="240" w:lineRule="auto"/>
              <w:ind w:left="886"/>
              <w:rPr>
                <w:rFonts w:ascii="Optima" w:hAnsi="Optima"/>
                <w:color w:val="262626" w:themeColor="text1" w:themeTint="D9"/>
                <w:sz w:val="19"/>
                <w:szCs w:val="19"/>
              </w:rPr>
            </w:pPr>
            <w:r w:rsidRPr="00A34376">
              <w:rPr>
                <w:rFonts w:ascii="Optima" w:hAnsi="Optima"/>
                <w:color w:val="262626" w:themeColor="text1" w:themeTint="D9"/>
                <w:sz w:val="19"/>
                <w:szCs w:val="19"/>
              </w:rPr>
              <w:t>Less Base Staff</w:t>
            </w:r>
            <w:r w:rsidR="00820FBF" w:rsidRPr="00A34376">
              <w:rPr>
                <w:rFonts w:ascii="Optima" w:hAnsi="Optima"/>
                <w:color w:val="262626" w:themeColor="text1" w:themeTint="D9"/>
                <w:sz w:val="19"/>
                <w:szCs w:val="19"/>
              </w:rPr>
              <w:t>ing</w:t>
            </w:r>
            <w:r w:rsidR="002329DC"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Cost</w:t>
            </w:r>
            <w:r w:rsidR="00150560"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 xml:space="preserve">per </w:t>
            </w:r>
            <w:r w:rsidR="00150560" w:rsidRPr="00A34376">
              <w:rPr>
                <w:rFonts w:ascii="Optima" w:hAnsi="Optima"/>
                <w:color w:val="262626" w:themeColor="text1" w:themeTint="D9"/>
                <w:sz w:val="19"/>
                <w:szCs w:val="19"/>
              </w:rPr>
              <w:t>h</w:t>
            </w:r>
            <w:r w:rsidRPr="00A34376">
              <w:rPr>
                <w:rFonts w:ascii="Optima" w:hAnsi="Optima"/>
                <w:color w:val="262626" w:themeColor="text1" w:themeTint="D9"/>
                <w:sz w:val="19"/>
                <w:szCs w:val="19"/>
              </w:rPr>
              <w:t>our</w:t>
            </w:r>
            <w:r w:rsidR="002329DC" w:rsidRPr="00A34376">
              <w:rPr>
                <w:rFonts w:ascii="Optima" w:hAnsi="Optima"/>
                <w:color w:val="262626" w:themeColor="text1" w:themeTint="D9"/>
                <w:sz w:val="19"/>
                <w:szCs w:val="19"/>
              </w:rPr>
              <w:t xml:space="preserve"> (A)</w:t>
            </w:r>
          </w:p>
        </w:tc>
        <w:tc>
          <w:tcPr>
            <w:tcW w:w="1350" w:type="dxa"/>
            <w:tcBorders>
              <w:top w:val="nil"/>
              <w:left w:val="nil"/>
              <w:bottom w:val="single" w:sz="2" w:space="0" w:color="BFBFBF" w:themeColor="background1" w:themeShade="BF"/>
              <w:right w:val="nil"/>
            </w:tcBorders>
            <w:shd w:val="clear" w:color="auto" w:fill="auto"/>
            <w:noWrap/>
            <w:hideMark/>
          </w:tcPr>
          <w:p w14:paraId="62A9333E" w14:textId="77777777" w:rsidR="004D4C63" w:rsidRPr="00A34376" w:rsidRDefault="00D862BE" w:rsidP="00553C3B">
            <w:pPr>
              <w:spacing w:before="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w:t>
            </w:r>
            <w:r w:rsidR="004D4C63" w:rsidRPr="00A34376">
              <w:rPr>
                <w:rFonts w:ascii="Optima" w:hAnsi="Optima"/>
                <w:color w:val="262626" w:themeColor="text1" w:themeTint="D9"/>
                <w:sz w:val="19"/>
                <w:szCs w:val="19"/>
              </w:rPr>
              <w:t>$24.29</w:t>
            </w:r>
          </w:p>
        </w:tc>
      </w:tr>
      <w:tr w:rsidR="00990C1D" w:rsidRPr="00A34376" w14:paraId="38453797" w14:textId="77777777" w:rsidTr="001839A3">
        <w:trPr>
          <w:trHeight w:val="88"/>
          <w:jc w:val="center"/>
        </w:trPr>
        <w:tc>
          <w:tcPr>
            <w:tcW w:w="7920" w:type="dxa"/>
            <w:tcBorders>
              <w:top w:val="single" w:sz="2" w:space="0" w:color="BFBFBF" w:themeColor="background1" w:themeShade="BF"/>
              <w:left w:val="nil"/>
              <w:bottom w:val="single" w:sz="2" w:space="0" w:color="E36C0A" w:themeColor="accent6" w:themeShade="BF"/>
              <w:right w:val="nil"/>
            </w:tcBorders>
            <w:shd w:val="clear" w:color="auto" w:fill="auto"/>
            <w:noWrap/>
            <w:hideMark/>
          </w:tcPr>
          <w:p w14:paraId="2B7F0F21" w14:textId="77777777" w:rsidR="004D4C63" w:rsidRPr="00040F28" w:rsidRDefault="0094290A" w:rsidP="007503A3">
            <w:pPr>
              <w:spacing w:before="60" w:after="60" w:line="240" w:lineRule="auto"/>
              <w:ind w:left="616" w:hanging="256"/>
              <w:rPr>
                <w:rFonts w:ascii="Optima" w:hAnsi="Optima"/>
                <w:b/>
                <w:bCs/>
                <w:color w:val="403152" w:themeColor="accent4" w:themeShade="80"/>
                <w:sz w:val="19"/>
                <w:szCs w:val="19"/>
              </w:rPr>
            </w:pPr>
            <w:r w:rsidRPr="00040F28">
              <w:rPr>
                <w:rFonts w:ascii="Optima" w:hAnsi="Optima"/>
                <w:b/>
                <w:bCs/>
                <w:color w:val="403152" w:themeColor="accent4" w:themeShade="80"/>
                <w:sz w:val="19"/>
                <w:szCs w:val="19"/>
              </w:rPr>
              <w:t>P</w:t>
            </w:r>
            <w:r w:rsidR="004D4C63" w:rsidRPr="00040F28">
              <w:rPr>
                <w:rFonts w:ascii="Optima" w:hAnsi="Optima"/>
                <w:b/>
                <w:bCs/>
                <w:color w:val="403152" w:themeColor="accent4" w:themeShade="80"/>
                <w:sz w:val="19"/>
                <w:szCs w:val="19"/>
              </w:rPr>
              <w:t xml:space="preserve">roductivity </w:t>
            </w:r>
            <w:r w:rsidR="00577F48" w:rsidRPr="00040F28">
              <w:rPr>
                <w:rFonts w:ascii="Optima" w:hAnsi="Optima"/>
                <w:b/>
                <w:bCs/>
                <w:color w:val="403152" w:themeColor="accent4" w:themeShade="80"/>
                <w:sz w:val="19"/>
                <w:szCs w:val="19"/>
              </w:rPr>
              <w:t>Cost</w:t>
            </w:r>
            <w:r w:rsidR="00D745BA" w:rsidRPr="00040F28">
              <w:rPr>
                <w:rFonts w:ascii="Optima" w:hAnsi="Optima"/>
                <w:b/>
                <w:bCs/>
                <w:color w:val="403152" w:themeColor="accent4" w:themeShade="80"/>
                <w:sz w:val="19"/>
                <w:szCs w:val="19"/>
              </w:rPr>
              <w:t xml:space="preserve"> per hour</w:t>
            </w:r>
          </w:p>
        </w:tc>
        <w:tc>
          <w:tcPr>
            <w:tcW w:w="1350" w:type="dxa"/>
            <w:tcBorders>
              <w:top w:val="single" w:sz="2" w:space="0" w:color="BFBFBF" w:themeColor="background1" w:themeShade="BF"/>
              <w:left w:val="nil"/>
              <w:bottom w:val="single" w:sz="2" w:space="0" w:color="E36C0A" w:themeColor="accent6" w:themeShade="BF"/>
              <w:right w:val="nil"/>
            </w:tcBorders>
            <w:shd w:val="clear" w:color="auto" w:fill="auto"/>
            <w:noWrap/>
            <w:hideMark/>
          </w:tcPr>
          <w:p w14:paraId="44742F3E" w14:textId="77777777" w:rsidR="004D4C63" w:rsidRPr="00040F28" w:rsidRDefault="004D4C63" w:rsidP="005835A7">
            <w:pPr>
              <w:spacing w:before="60" w:after="60" w:line="240" w:lineRule="auto"/>
              <w:ind w:right="160"/>
              <w:jc w:val="right"/>
              <w:rPr>
                <w:rFonts w:ascii="Optima" w:hAnsi="Optima"/>
                <w:b/>
                <w:bCs/>
                <w:color w:val="403152" w:themeColor="accent4" w:themeShade="80"/>
                <w:sz w:val="19"/>
                <w:szCs w:val="19"/>
              </w:rPr>
            </w:pPr>
            <w:r w:rsidRPr="00040F28">
              <w:rPr>
                <w:rFonts w:ascii="Optima" w:hAnsi="Optima"/>
                <w:b/>
                <w:bCs/>
                <w:color w:val="403152" w:themeColor="accent4" w:themeShade="80"/>
                <w:sz w:val="19"/>
                <w:szCs w:val="19"/>
              </w:rPr>
              <w:t>$10.78</w:t>
            </w:r>
          </w:p>
        </w:tc>
      </w:tr>
      <w:tr w:rsidR="008D0A66" w:rsidRPr="008D0A66" w14:paraId="0A53E907" w14:textId="77777777" w:rsidTr="005835A7">
        <w:trPr>
          <w:trHeight w:val="139"/>
          <w:jc w:val="center"/>
        </w:trPr>
        <w:tc>
          <w:tcPr>
            <w:tcW w:w="7920" w:type="dxa"/>
            <w:tcBorders>
              <w:top w:val="single" w:sz="2" w:space="0" w:color="E36C0A" w:themeColor="accent6" w:themeShade="BF"/>
              <w:left w:val="nil"/>
              <w:bottom w:val="single" w:sz="2" w:space="0" w:color="BFBFBF" w:themeColor="background1" w:themeShade="BF"/>
              <w:right w:val="nil"/>
            </w:tcBorders>
            <w:shd w:val="clear" w:color="auto" w:fill="FDE9D9" w:themeFill="accent6" w:themeFillTint="33"/>
            <w:noWrap/>
            <w:hideMark/>
          </w:tcPr>
          <w:p w14:paraId="52725C11" w14:textId="77777777" w:rsidR="004D4C63" w:rsidRPr="008D0A66" w:rsidRDefault="001546C5" w:rsidP="007503A3">
            <w:pPr>
              <w:pStyle w:val="ListParagraph"/>
              <w:numPr>
                <w:ilvl w:val="0"/>
                <w:numId w:val="21"/>
              </w:numPr>
              <w:spacing w:before="60" w:after="60" w:line="240" w:lineRule="auto"/>
              <w:rPr>
                <w:rFonts w:ascii="Optima" w:hAnsi="Optima"/>
                <w:b/>
                <w:bCs/>
                <w:color w:val="984806" w:themeColor="accent6" w:themeShade="80"/>
                <w:sz w:val="19"/>
                <w:szCs w:val="19"/>
              </w:rPr>
            </w:pPr>
            <w:r w:rsidRPr="008D0A66">
              <w:rPr>
                <w:rFonts w:ascii="Optima" w:hAnsi="Optima"/>
                <w:b/>
                <w:bCs/>
                <w:color w:val="984806" w:themeColor="accent6" w:themeShade="80"/>
                <w:sz w:val="19"/>
                <w:szCs w:val="19"/>
              </w:rPr>
              <w:t>Staff Training Cost</w:t>
            </w:r>
            <w:r w:rsidR="00786121" w:rsidRPr="008D0A66">
              <w:rPr>
                <w:rFonts w:ascii="Optima" w:hAnsi="Optima"/>
                <w:b/>
                <w:bCs/>
                <w:color w:val="984806" w:themeColor="accent6" w:themeShade="80"/>
                <w:sz w:val="19"/>
                <w:szCs w:val="19"/>
              </w:rPr>
              <w:t xml:space="preserve"> (per hour)</w:t>
            </w:r>
          </w:p>
        </w:tc>
        <w:tc>
          <w:tcPr>
            <w:tcW w:w="1350" w:type="dxa"/>
            <w:tcBorders>
              <w:top w:val="single" w:sz="2" w:space="0" w:color="E36C0A" w:themeColor="accent6" w:themeShade="BF"/>
              <w:left w:val="nil"/>
              <w:bottom w:val="single" w:sz="2" w:space="0" w:color="BFBFBF" w:themeColor="background1" w:themeShade="BF"/>
              <w:right w:val="nil"/>
            </w:tcBorders>
            <w:shd w:val="clear" w:color="auto" w:fill="FDE9D9" w:themeFill="accent6" w:themeFillTint="33"/>
            <w:hideMark/>
          </w:tcPr>
          <w:p w14:paraId="0842EB92" w14:textId="77777777" w:rsidR="004D4C63" w:rsidRPr="008D0A66" w:rsidRDefault="00673A22" w:rsidP="007503A3">
            <w:pPr>
              <w:spacing w:before="60" w:after="60" w:line="240" w:lineRule="auto"/>
              <w:jc w:val="right"/>
              <w:rPr>
                <w:rFonts w:ascii="Optima" w:hAnsi="Optima"/>
                <w:b/>
                <w:bCs/>
                <w:color w:val="984806" w:themeColor="accent6" w:themeShade="80"/>
                <w:sz w:val="19"/>
                <w:szCs w:val="19"/>
              </w:rPr>
            </w:pPr>
            <w:r w:rsidRPr="008D0A66">
              <w:rPr>
                <w:rFonts w:ascii="Optima" w:hAnsi="Optima"/>
                <w:b/>
                <w:bCs/>
                <w:color w:val="984806" w:themeColor="accent6" w:themeShade="80"/>
                <w:sz w:val="19"/>
                <w:szCs w:val="19"/>
              </w:rPr>
              <w:t>$0.14</w:t>
            </w:r>
          </w:p>
        </w:tc>
      </w:tr>
      <w:tr w:rsidR="00FC1D23" w:rsidRPr="00A34376" w14:paraId="382040CB" w14:textId="77777777" w:rsidTr="001839A3">
        <w:trPr>
          <w:trHeight w:val="315"/>
          <w:jc w:val="center"/>
        </w:trPr>
        <w:tc>
          <w:tcPr>
            <w:tcW w:w="7920" w:type="dxa"/>
            <w:tcBorders>
              <w:top w:val="single" w:sz="2" w:space="0" w:color="BFBFBF" w:themeColor="background1" w:themeShade="BF"/>
              <w:left w:val="nil"/>
              <w:bottom w:val="nil"/>
              <w:right w:val="nil"/>
            </w:tcBorders>
            <w:shd w:val="clear" w:color="auto" w:fill="auto"/>
            <w:noWrap/>
            <w:hideMark/>
          </w:tcPr>
          <w:p w14:paraId="501F72BB" w14:textId="77777777" w:rsidR="004D4C63" w:rsidRPr="00A34376" w:rsidRDefault="000433D2"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C1. S</w:t>
            </w:r>
            <w:r w:rsidR="004D4C63" w:rsidRPr="00A34376">
              <w:rPr>
                <w:rFonts w:ascii="Optima" w:hAnsi="Optima"/>
                <w:color w:val="262626" w:themeColor="text1" w:themeTint="D9"/>
                <w:sz w:val="19"/>
                <w:szCs w:val="19"/>
              </w:rPr>
              <w:t>taff Training Cost per Year</w:t>
            </w:r>
          </w:p>
        </w:tc>
        <w:tc>
          <w:tcPr>
            <w:tcW w:w="1350" w:type="dxa"/>
            <w:tcBorders>
              <w:top w:val="single" w:sz="2" w:space="0" w:color="BFBFBF" w:themeColor="background1" w:themeShade="BF"/>
              <w:left w:val="nil"/>
              <w:bottom w:val="nil"/>
              <w:right w:val="nil"/>
            </w:tcBorders>
            <w:shd w:val="clear" w:color="auto" w:fill="auto"/>
            <w:noWrap/>
            <w:hideMark/>
          </w:tcPr>
          <w:p w14:paraId="61814AD2" w14:textId="77777777" w:rsidR="004D4C63" w:rsidRPr="00A34376" w:rsidRDefault="004D4C63" w:rsidP="004C603D">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$200</w:t>
            </w:r>
            <w:r w:rsidR="00AC0FC6" w:rsidRPr="00A34376">
              <w:rPr>
                <w:rFonts w:ascii="Optima" w:hAnsi="Optima"/>
                <w:color w:val="262626" w:themeColor="text1" w:themeTint="D9"/>
                <w:sz w:val="19"/>
                <w:szCs w:val="19"/>
              </w:rPr>
              <w:t>.00</w:t>
            </w:r>
          </w:p>
        </w:tc>
      </w:tr>
      <w:tr w:rsidR="00FC1D23" w:rsidRPr="00A34376" w14:paraId="481BFA83" w14:textId="77777777" w:rsidTr="001839A3">
        <w:trPr>
          <w:trHeight w:val="315"/>
          <w:jc w:val="center"/>
        </w:trPr>
        <w:tc>
          <w:tcPr>
            <w:tcW w:w="792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486271CE" w14:textId="77777777" w:rsidR="004D4C63" w:rsidRPr="00A34376" w:rsidRDefault="000433D2" w:rsidP="007503A3">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 xml:space="preserve">C2. </w:t>
            </w:r>
            <w:r w:rsidR="004D4C63" w:rsidRPr="00A34376">
              <w:rPr>
                <w:rFonts w:ascii="Optima" w:hAnsi="Optima"/>
                <w:color w:val="262626" w:themeColor="text1" w:themeTint="D9"/>
                <w:sz w:val="19"/>
                <w:szCs w:val="19"/>
              </w:rPr>
              <w:t>Billable Hours per Year</w:t>
            </w:r>
          </w:p>
        </w:tc>
        <w:tc>
          <w:tcPr>
            <w:tcW w:w="1350" w:type="dxa"/>
            <w:tcBorders>
              <w:top w:val="single" w:sz="2" w:space="0" w:color="BFBFBF" w:themeColor="background1" w:themeShade="BF"/>
              <w:left w:val="nil"/>
              <w:bottom w:val="single" w:sz="2" w:space="0" w:color="BFBFBF" w:themeColor="background1" w:themeShade="BF"/>
              <w:right w:val="nil"/>
            </w:tcBorders>
            <w:shd w:val="clear" w:color="auto" w:fill="auto"/>
            <w:noWrap/>
            <w:hideMark/>
          </w:tcPr>
          <w:p w14:paraId="03B4BF4F" w14:textId="77777777" w:rsidR="004D4C63" w:rsidRPr="00A34376" w:rsidRDefault="004D4C63" w:rsidP="0072005E">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1,440</w:t>
            </w:r>
            <w:r w:rsidR="00AC0FC6" w:rsidRPr="00A34376">
              <w:rPr>
                <w:rFonts w:ascii="Optima" w:hAnsi="Optima"/>
                <w:color w:val="262626" w:themeColor="text1" w:themeTint="D9"/>
                <w:sz w:val="19"/>
                <w:szCs w:val="19"/>
              </w:rPr>
              <w:t>.00</w:t>
            </w:r>
          </w:p>
        </w:tc>
      </w:tr>
      <w:tr w:rsidR="002D21AA" w:rsidRPr="002D21AA" w14:paraId="732AC9A5" w14:textId="77777777" w:rsidTr="001839A3">
        <w:trPr>
          <w:trHeight w:val="83"/>
          <w:jc w:val="center"/>
        </w:trPr>
        <w:tc>
          <w:tcPr>
            <w:tcW w:w="7920" w:type="dxa"/>
            <w:tcBorders>
              <w:top w:val="single" w:sz="2" w:space="0" w:color="BFBFBF" w:themeColor="background1" w:themeShade="BF"/>
              <w:left w:val="nil"/>
              <w:bottom w:val="single" w:sz="2" w:space="0" w:color="76923C" w:themeColor="accent3" w:themeShade="BF"/>
              <w:right w:val="nil"/>
            </w:tcBorders>
            <w:shd w:val="clear" w:color="auto" w:fill="auto"/>
            <w:noWrap/>
            <w:hideMark/>
          </w:tcPr>
          <w:p w14:paraId="746651FF" w14:textId="77777777" w:rsidR="004D4C63" w:rsidRPr="002D21AA" w:rsidRDefault="004D4C63" w:rsidP="007503A3">
            <w:pPr>
              <w:spacing w:before="60" w:after="60" w:line="240" w:lineRule="auto"/>
              <w:ind w:left="341"/>
              <w:rPr>
                <w:rFonts w:ascii="Optima" w:hAnsi="Optima"/>
                <w:b/>
                <w:bCs/>
                <w:color w:val="984806" w:themeColor="accent6" w:themeShade="80"/>
                <w:sz w:val="19"/>
                <w:szCs w:val="19"/>
              </w:rPr>
            </w:pPr>
            <w:r w:rsidRPr="002D21AA">
              <w:rPr>
                <w:rFonts w:ascii="Optima" w:hAnsi="Optima"/>
                <w:b/>
                <w:bCs/>
                <w:color w:val="984806" w:themeColor="accent6" w:themeShade="80"/>
                <w:sz w:val="19"/>
                <w:szCs w:val="19"/>
              </w:rPr>
              <w:t xml:space="preserve">Staff Training Cost per </w:t>
            </w:r>
            <w:r w:rsidR="002F6620" w:rsidRPr="002D21AA">
              <w:rPr>
                <w:rFonts w:ascii="Optima" w:hAnsi="Optima"/>
                <w:b/>
                <w:bCs/>
                <w:color w:val="984806" w:themeColor="accent6" w:themeShade="80"/>
                <w:sz w:val="19"/>
                <w:szCs w:val="19"/>
              </w:rPr>
              <w:t>h</w:t>
            </w:r>
            <w:r w:rsidRPr="002D21AA">
              <w:rPr>
                <w:rFonts w:ascii="Optima" w:hAnsi="Optima"/>
                <w:b/>
                <w:bCs/>
                <w:color w:val="984806" w:themeColor="accent6" w:themeShade="80"/>
                <w:sz w:val="19"/>
                <w:szCs w:val="19"/>
              </w:rPr>
              <w:t>our</w:t>
            </w:r>
            <w:r w:rsidR="000433D2" w:rsidRPr="002D21AA">
              <w:rPr>
                <w:rFonts w:ascii="Optima" w:hAnsi="Optima"/>
                <w:b/>
                <w:bCs/>
                <w:color w:val="984806" w:themeColor="accent6" w:themeShade="80"/>
                <w:sz w:val="19"/>
                <w:szCs w:val="19"/>
              </w:rPr>
              <w:t xml:space="preserve"> (= C1/C2</w:t>
            </w:r>
            <w:r w:rsidR="002F4B2E" w:rsidRPr="002D21AA">
              <w:rPr>
                <w:rFonts w:ascii="Optima" w:hAnsi="Optima"/>
                <w:b/>
                <w:bCs/>
                <w:color w:val="984806" w:themeColor="accent6" w:themeShade="80"/>
                <w:sz w:val="19"/>
                <w:szCs w:val="19"/>
              </w:rPr>
              <w:t xml:space="preserve"> = $200/1,440)</w:t>
            </w:r>
            <w:r w:rsidR="000433D2" w:rsidRPr="002D21AA">
              <w:rPr>
                <w:rFonts w:ascii="Optima" w:hAnsi="Optima"/>
                <w:b/>
                <w:bCs/>
                <w:color w:val="984806" w:themeColor="accent6" w:themeShade="80"/>
                <w:sz w:val="19"/>
                <w:szCs w:val="19"/>
              </w:rPr>
              <w:t>)</w:t>
            </w:r>
          </w:p>
        </w:tc>
        <w:tc>
          <w:tcPr>
            <w:tcW w:w="1350" w:type="dxa"/>
            <w:tcBorders>
              <w:top w:val="single" w:sz="2" w:space="0" w:color="BFBFBF" w:themeColor="background1" w:themeShade="BF"/>
              <w:left w:val="nil"/>
              <w:bottom w:val="single" w:sz="2" w:space="0" w:color="76923C" w:themeColor="accent3" w:themeShade="BF"/>
              <w:right w:val="nil"/>
            </w:tcBorders>
            <w:shd w:val="clear" w:color="auto" w:fill="auto"/>
            <w:noWrap/>
            <w:hideMark/>
          </w:tcPr>
          <w:p w14:paraId="14649EBF" w14:textId="77777777" w:rsidR="004D4C63" w:rsidRPr="002D21AA" w:rsidRDefault="004D4C63" w:rsidP="004C603D">
            <w:pPr>
              <w:spacing w:before="60" w:after="60" w:line="240" w:lineRule="auto"/>
              <w:ind w:right="160"/>
              <w:jc w:val="right"/>
              <w:rPr>
                <w:rFonts w:ascii="Optima" w:hAnsi="Optima"/>
                <w:b/>
                <w:bCs/>
                <w:color w:val="984806" w:themeColor="accent6" w:themeShade="80"/>
                <w:sz w:val="19"/>
                <w:szCs w:val="19"/>
              </w:rPr>
            </w:pPr>
            <w:r w:rsidRPr="002D21AA">
              <w:rPr>
                <w:rFonts w:ascii="Optima" w:hAnsi="Optima"/>
                <w:b/>
                <w:bCs/>
                <w:color w:val="984806" w:themeColor="accent6" w:themeShade="80"/>
                <w:sz w:val="19"/>
                <w:szCs w:val="19"/>
              </w:rPr>
              <w:t>$0.14</w:t>
            </w:r>
          </w:p>
        </w:tc>
      </w:tr>
      <w:tr w:rsidR="00851F4B" w:rsidRPr="00851F4B" w14:paraId="13626D15" w14:textId="77777777" w:rsidTr="001839A3">
        <w:trPr>
          <w:trHeight w:val="148"/>
          <w:jc w:val="center"/>
        </w:trPr>
        <w:tc>
          <w:tcPr>
            <w:tcW w:w="7920" w:type="dxa"/>
            <w:tcBorders>
              <w:top w:val="single" w:sz="2" w:space="0" w:color="76923C" w:themeColor="accent3" w:themeShade="BF"/>
              <w:left w:val="nil"/>
              <w:bottom w:val="single" w:sz="2" w:space="0" w:color="BFBFBF" w:themeColor="background1" w:themeShade="BF"/>
              <w:right w:val="nil"/>
            </w:tcBorders>
            <w:shd w:val="clear" w:color="auto" w:fill="EAF1DD" w:themeFill="accent3" w:themeFillTint="33"/>
            <w:noWrap/>
            <w:hideMark/>
          </w:tcPr>
          <w:p w14:paraId="4B86AAFD" w14:textId="77777777" w:rsidR="004D4C63" w:rsidRPr="00851F4B" w:rsidRDefault="00526FA8" w:rsidP="00D85E0C">
            <w:pPr>
              <w:spacing w:before="60" w:after="60" w:line="240" w:lineRule="auto"/>
              <w:ind w:left="347" w:right="-200" w:hanging="361"/>
              <w:rPr>
                <w:rFonts w:ascii="Optima" w:hAnsi="Optima"/>
                <w:b/>
                <w:bCs/>
                <w:color w:val="4F6228" w:themeColor="accent3" w:themeShade="80"/>
                <w:sz w:val="19"/>
                <w:szCs w:val="19"/>
              </w:rPr>
            </w:pPr>
            <w:r w:rsidRPr="00851F4B">
              <w:rPr>
                <w:rFonts w:ascii="Optima" w:hAnsi="Optima"/>
                <w:b/>
                <w:bCs/>
                <w:color w:val="4F6228" w:themeColor="accent3" w:themeShade="80"/>
                <w:sz w:val="19"/>
                <w:szCs w:val="19"/>
              </w:rPr>
              <w:t>D.</w:t>
            </w:r>
            <w:r w:rsidR="00D85E0C" w:rsidRPr="00851F4B">
              <w:rPr>
                <w:rFonts w:ascii="Optima" w:hAnsi="Optima"/>
                <w:b/>
                <w:bCs/>
                <w:color w:val="4F6228" w:themeColor="accent3" w:themeShade="80"/>
                <w:sz w:val="19"/>
                <w:szCs w:val="19"/>
              </w:rPr>
              <w:tab/>
            </w:r>
            <w:r w:rsidR="001546C5" w:rsidRPr="00851F4B">
              <w:rPr>
                <w:rFonts w:ascii="Optima" w:hAnsi="Optima"/>
                <w:b/>
                <w:bCs/>
                <w:color w:val="4F6228" w:themeColor="accent3" w:themeShade="80"/>
                <w:sz w:val="19"/>
                <w:szCs w:val="19"/>
              </w:rPr>
              <w:t>Transportation Cost</w:t>
            </w:r>
            <w:r w:rsidR="00CB32B6" w:rsidRPr="00851F4B">
              <w:rPr>
                <w:rFonts w:ascii="Optima" w:hAnsi="Optima"/>
                <w:b/>
                <w:bCs/>
                <w:color w:val="4F6228" w:themeColor="accent3" w:themeShade="80"/>
                <w:sz w:val="19"/>
                <w:szCs w:val="19"/>
              </w:rPr>
              <w:t xml:space="preserve"> per hour</w:t>
            </w:r>
            <w:r w:rsidR="004D4C63" w:rsidRPr="00851F4B">
              <w:rPr>
                <w:rFonts w:ascii="Optima" w:hAnsi="Optima"/>
                <w:b/>
                <w:bCs/>
                <w:color w:val="4F6228" w:themeColor="accent3" w:themeShade="80"/>
                <w:sz w:val="19"/>
                <w:szCs w:val="19"/>
              </w:rPr>
              <w:t>*</w:t>
            </w:r>
          </w:p>
        </w:tc>
        <w:tc>
          <w:tcPr>
            <w:tcW w:w="1350" w:type="dxa"/>
            <w:tcBorders>
              <w:top w:val="single" w:sz="2" w:space="0" w:color="76923C" w:themeColor="accent3" w:themeShade="BF"/>
              <w:left w:val="nil"/>
              <w:bottom w:val="single" w:sz="2" w:space="0" w:color="BFBFBF" w:themeColor="background1" w:themeShade="BF"/>
              <w:right w:val="nil"/>
            </w:tcBorders>
            <w:shd w:val="clear" w:color="auto" w:fill="EAF1DD" w:themeFill="accent3" w:themeFillTint="33"/>
            <w:hideMark/>
          </w:tcPr>
          <w:p w14:paraId="085A830E" w14:textId="77777777" w:rsidR="004D4C63" w:rsidRPr="00851F4B" w:rsidRDefault="0028151A" w:rsidP="007503A3">
            <w:pPr>
              <w:spacing w:before="60" w:after="60" w:line="240" w:lineRule="auto"/>
              <w:jc w:val="right"/>
              <w:rPr>
                <w:rFonts w:ascii="Optima" w:hAnsi="Optima"/>
                <w:b/>
                <w:bCs/>
                <w:color w:val="4F6228" w:themeColor="accent3" w:themeShade="80"/>
                <w:sz w:val="19"/>
                <w:szCs w:val="19"/>
              </w:rPr>
            </w:pPr>
            <w:r w:rsidRPr="00851F4B">
              <w:rPr>
                <w:rFonts w:ascii="Optima" w:hAnsi="Optima"/>
                <w:b/>
                <w:bCs/>
                <w:color w:val="4F6228" w:themeColor="accent3" w:themeShade="80"/>
                <w:sz w:val="19"/>
                <w:szCs w:val="19"/>
              </w:rPr>
              <w:t>$3.40</w:t>
            </w:r>
          </w:p>
        </w:tc>
      </w:tr>
      <w:tr w:rsidR="00FC1D23" w:rsidRPr="00A34376" w14:paraId="076D772B" w14:textId="77777777" w:rsidTr="001839A3">
        <w:trPr>
          <w:trHeight w:val="247"/>
          <w:jc w:val="center"/>
        </w:trPr>
        <w:tc>
          <w:tcPr>
            <w:tcW w:w="7920" w:type="dxa"/>
            <w:tcBorders>
              <w:top w:val="single" w:sz="2" w:space="0" w:color="BFBFBF" w:themeColor="background1" w:themeShade="BF"/>
              <w:left w:val="nil"/>
              <w:bottom w:val="nil"/>
              <w:right w:val="nil"/>
            </w:tcBorders>
            <w:shd w:val="clear" w:color="auto" w:fill="auto"/>
            <w:noWrap/>
            <w:vAlign w:val="center"/>
            <w:hideMark/>
          </w:tcPr>
          <w:p w14:paraId="41FF6C8F" w14:textId="77777777" w:rsidR="004D4C63" w:rsidRPr="00A34376" w:rsidRDefault="004D4C63" w:rsidP="00553C3B">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Miles per Work Week</w:t>
            </w:r>
          </w:p>
        </w:tc>
        <w:tc>
          <w:tcPr>
            <w:tcW w:w="1350" w:type="dxa"/>
            <w:tcBorders>
              <w:top w:val="single" w:sz="2" w:space="0" w:color="BFBFBF" w:themeColor="background1" w:themeShade="BF"/>
              <w:left w:val="nil"/>
              <w:bottom w:val="nil"/>
              <w:right w:val="nil"/>
            </w:tcBorders>
            <w:shd w:val="clear" w:color="auto" w:fill="auto"/>
            <w:noWrap/>
            <w:vAlign w:val="center"/>
            <w:hideMark/>
          </w:tcPr>
          <w:p w14:paraId="7EF4910C" w14:textId="77777777" w:rsidR="004D4C63" w:rsidRPr="00A34376" w:rsidRDefault="004D4C63" w:rsidP="00553C3B">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200</w:t>
            </w:r>
            <w:r w:rsidR="00410603" w:rsidRPr="00A34376">
              <w:rPr>
                <w:rFonts w:ascii="Optima" w:hAnsi="Optima"/>
                <w:color w:val="262626" w:themeColor="text1" w:themeTint="D9"/>
                <w:sz w:val="19"/>
                <w:szCs w:val="19"/>
              </w:rPr>
              <w:t>.00</w:t>
            </w:r>
          </w:p>
        </w:tc>
      </w:tr>
      <w:tr w:rsidR="00FC1D23" w:rsidRPr="00A34376" w14:paraId="78B57ED0" w14:textId="77777777" w:rsidTr="001839A3">
        <w:trPr>
          <w:trHeight w:val="189"/>
          <w:jc w:val="center"/>
        </w:trPr>
        <w:tc>
          <w:tcPr>
            <w:tcW w:w="7920" w:type="dxa"/>
            <w:tcBorders>
              <w:top w:val="nil"/>
              <w:left w:val="nil"/>
              <w:bottom w:val="nil"/>
              <w:right w:val="nil"/>
            </w:tcBorders>
            <w:shd w:val="clear" w:color="auto" w:fill="auto"/>
            <w:noWrap/>
            <w:vAlign w:val="center"/>
            <w:hideMark/>
          </w:tcPr>
          <w:p w14:paraId="0D815F33" w14:textId="77777777" w:rsidR="004D4C63" w:rsidRPr="00A34376" w:rsidRDefault="004D4C63" w:rsidP="00553C3B">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Federal Mileage Reimbursement Rate per Mile</w:t>
            </w:r>
          </w:p>
        </w:tc>
        <w:tc>
          <w:tcPr>
            <w:tcW w:w="1350" w:type="dxa"/>
            <w:tcBorders>
              <w:top w:val="nil"/>
              <w:left w:val="nil"/>
              <w:bottom w:val="nil"/>
              <w:right w:val="nil"/>
            </w:tcBorders>
            <w:shd w:val="clear" w:color="auto" w:fill="auto"/>
            <w:noWrap/>
            <w:vAlign w:val="center"/>
            <w:hideMark/>
          </w:tcPr>
          <w:p w14:paraId="372DF24F" w14:textId="77777777" w:rsidR="004D4C63" w:rsidRPr="00A34376" w:rsidRDefault="004D4C63" w:rsidP="00553C3B">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$0.54</w:t>
            </w:r>
          </w:p>
        </w:tc>
      </w:tr>
      <w:tr w:rsidR="00FC1D23" w:rsidRPr="00A34376" w14:paraId="25E72546" w14:textId="77777777" w:rsidTr="001839A3">
        <w:trPr>
          <w:trHeight w:val="315"/>
          <w:jc w:val="center"/>
        </w:trPr>
        <w:tc>
          <w:tcPr>
            <w:tcW w:w="7920" w:type="dxa"/>
            <w:tcBorders>
              <w:top w:val="nil"/>
              <w:left w:val="nil"/>
              <w:bottom w:val="nil"/>
              <w:right w:val="nil"/>
            </w:tcBorders>
            <w:shd w:val="clear" w:color="auto" w:fill="auto"/>
            <w:noWrap/>
            <w:vAlign w:val="center"/>
            <w:hideMark/>
          </w:tcPr>
          <w:p w14:paraId="65CEE1A7" w14:textId="77777777" w:rsidR="004D4C63" w:rsidRPr="00A34376" w:rsidRDefault="004D4C63" w:rsidP="00553C3B">
            <w:pPr>
              <w:spacing w:before="60" w:after="60" w:line="240" w:lineRule="auto"/>
              <w:ind w:left="347"/>
              <w:rPr>
                <w:rFonts w:ascii="Optima" w:hAnsi="Optima"/>
                <w:color w:val="262626" w:themeColor="text1" w:themeTint="D9"/>
                <w:sz w:val="19"/>
                <w:szCs w:val="19"/>
              </w:rPr>
            </w:pPr>
            <w:r w:rsidRPr="00A34376">
              <w:rPr>
                <w:rFonts w:ascii="Optima" w:hAnsi="Optima"/>
                <w:color w:val="262626" w:themeColor="text1" w:themeTint="D9"/>
                <w:sz w:val="19"/>
                <w:szCs w:val="19"/>
              </w:rPr>
              <w:t>Work Weeks per Year (Less Staff In-Service &amp; Paid Time Off)</w:t>
            </w:r>
          </w:p>
        </w:tc>
        <w:tc>
          <w:tcPr>
            <w:tcW w:w="1350" w:type="dxa"/>
            <w:tcBorders>
              <w:top w:val="nil"/>
              <w:left w:val="nil"/>
              <w:bottom w:val="nil"/>
              <w:right w:val="nil"/>
            </w:tcBorders>
            <w:shd w:val="clear" w:color="auto" w:fill="auto"/>
            <w:noWrap/>
            <w:vAlign w:val="center"/>
            <w:hideMark/>
          </w:tcPr>
          <w:p w14:paraId="4CB3B9AE" w14:textId="77777777" w:rsidR="004D4C63" w:rsidRPr="00A34376" w:rsidRDefault="004D4C63" w:rsidP="00553C3B">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45.35</w:t>
            </w:r>
          </w:p>
        </w:tc>
      </w:tr>
      <w:tr w:rsidR="00FC1D23" w:rsidRPr="00A34376" w14:paraId="60D38692" w14:textId="77777777" w:rsidTr="001839A3">
        <w:trPr>
          <w:trHeight w:val="117"/>
          <w:jc w:val="center"/>
        </w:trPr>
        <w:tc>
          <w:tcPr>
            <w:tcW w:w="7920" w:type="dxa"/>
            <w:tcBorders>
              <w:top w:val="nil"/>
              <w:left w:val="nil"/>
              <w:bottom w:val="single" w:sz="2" w:space="0" w:color="BFBFBF" w:themeColor="background1" w:themeShade="BF"/>
              <w:right w:val="nil"/>
            </w:tcBorders>
            <w:shd w:val="clear" w:color="auto" w:fill="auto"/>
            <w:noWrap/>
            <w:vAlign w:val="center"/>
            <w:hideMark/>
          </w:tcPr>
          <w:p w14:paraId="2F8DB8D6" w14:textId="77777777" w:rsidR="004D4C63" w:rsidRPr="00A34376" w:rsidRDefault="004D4C63" w:rsidP="00553C3B">
            <w:pPr>
              <w:spacing w:before="60" w:after="60" w:line="240" w:lineRule="auto"/>
              <w:ind w:left="341"/>
              <w:rPr>
                <w:rFonts w:ascii="Optima" w:hAnsi="Optima"/>
                <w:color w:val="262626" w:themeColor="text1" w:themeTint="D9"/>
                <w:sz w:val="19"/>
                <w:szCs w:val="19"/>
              </w:rPr>
            </w:pPr>
            <w:r w:rsidRPr="00A34376">
              <w:rPr>
                <w:rFonts w:ascii="Optima" w:hAnsi="Optima"/>
                <w:color w:val="262626" w:themeColor="text1" w:themeTint="D9"/>
                <w:sz w:val="19"/>
                <w:szCs w:val="19"/>
              </w:rPr>
              <w:t>Billable Hours per Year</w:t>
            </w:r>
          </w:p>
        </w:tc>
        <w:tc>
          <w:tcPr>
            <w:tcW w:w="1350" w:type="dxa"/>
            <w:tcBorders>
              <w:top w:val="nil"/>
              <w:left w:val="nil"/>
              <w:bottom w:val="single" w:sz="2" w:space="0" w:color="BFBFBF" w:themeColor="background1" w:themeShade="BF"/>
              <w:right w:val="nil"/>
            </w:tcBorders>
            <w:shd w:val="clear" w:color="auto" w:fill="auto"/>
            <w:noWrap/>
            <w:vAlign w:val="center"/>
            <w:hideMark/>
          </w:tcPr>
          <w:p w14:paraId="6AF8AB61" w14:textId="77777777" w:rsidR="004D4C63" w:rsidRPr="00A34376" w:rsidRDefault="004D4C63" w:rsidP="00553C3B">
            <w:pPr>
              <w:spacing w:before="60" w:after="60" w:line="240" w:lineRule="auto"/>
              <w:ind w:right="160"/>
              <w:jc w:val="right"/>
              <w:rPr>
                <w:rFonts w:ascii="Optima" w:hAnsi="Optima"/>
                <w:color w:val="262626" w:themeColor="text1" w:themeTint="D9"/>
                <w:sz w:val="19"/>
                <w:szCs w:val="19"/>
              </w:rPr>
            </w:pPr>
            <w:r w:rsidRPr="00A34376">
              <w:rPr>
                <w:rFonts w:ascii="Optima" w:hAnsi="Optima"/>
                <w:color w:val="262626" w:themeColor="text1" w:themeTint="D9"/>
                <w:sz w:val="19"/>
                <w:szCs w:val="19"/>
              </w:rPr>
              <w:t>1,440</w:t>
            </w:r>
            <w:r w:rsidR="004605F5" w:rsidRPr="00A34376">
              <w:rPr>
                <w:rFonts w:ascii="Optima" w:hAnsi="Optima"/>
                <w:color w:val="262626" w:themeColor="text1" w:themeTint="D9"/>
                <w:sz w:val="19"/>
                <w:szCs w:val="19"/>
              </w:rPr>
              <w:t>.00</w:t>
            </w:r>
          </w:p>
        </w:tc>
      </w:tr>
      <w:tr w:rsidR="00851F4B" w:rsidRPr="00851F4B" w14:paraId="52939C0C" w14:textId="77777777" w:rsidTr="001839A3">
        <w:trPr>
          <w:trHeight w:val="93"/>
          <w:jc w:val="center"/>
        </w:trPr>
        <w:tc>
          <w:tcPr>
            <w:tcW w:w="7920" w:type="dxa"/>
            <w:tcBorders>
              <w:top w:val="single" w:sz="2" w:space="0" w:color="BFBFBF" w:themeColor="background1" w:themeShade="BF"/>
              <w:left w:val="nil"/>
              <w:bottom w:val="single" w:sz="2" w:space="0" w:color="18424E"/>
              <w:right w:val="nil"/>
            </w:tcBorders>
            <w:shd w:val="clear" w:color="auto" w:fill="auto"/>
            <w:noWrap/>
            <w:hideMark/>
          </w:tcPr>
          <w:p w14:paraId="2DDE8341" w14:textId="77777777" w:rsidR="004D4C63" w:rsidRPr="00851F4B" w:rsidRDefault="004D4C63" w:rsidP="00553C3B">
            <w:pPr>
              <w:pStyle w:val="ListParagraph"/>
              <w:spacing w:before="60" w:after="60" w:line="240" w:lineRule="auto"/>
              <w:ind w:left="616" w:hanging="270"/>
              <w:rPr>
                <w:rFonts w:ascii="Optima" w:hAnsi="Optima"/>
                <w:b/>
                <w:bCs/>
                <w:color w:val="4F6228" w:themeColor="accent3" w:themeShade="80"/>
                <w:sz w:val="19"/>
                <w:szCs w:val="19"/>
              </w:rPr>
            </w:pPr>
            <w:r w:rsidRPr="00851F4B">
              <w:rPr>
                <w:rFonts w:ascii="Optima" w:hAnsi="Optima"/>
                <w:b/>
                <w:bCs/>
                <w:color w:val="4F6228" w:themeColor="accent3" w:themeShade="80"/>
                <w:sz w:val="19"/>
                <w:szCs w:val="19"/>
              </w:rPr>
              <w:t xml:space="preserve">Transportation Cost per </w:t>
            </w:r>
            <w:r w:rsidR="00742DF5" w:rsidRPr="00851F4B">
              <w:rPr>
                <w:rFonts w:ascii="Optima" w:hAnsi="Optima"/>
                <w:b/>
                <w:bCs/>
                <w:color w:val="4F6228" w:themeColor="accent3" w:themeShade="80"/>
                <w:sz w:val="19"/>
                <w:szCs w:val="19"/>
              </w:rPr>
              <w:t>h</w:t>
            </w:r>
            <w:r w:rsidRPr="00851F4B">
              <w:rPr>
                <w:rFonts w:ascii="Optima" w:hAnsi="Optima"/>
                <w:b/>
                <w:bCs/>
                <w:color w:val="4F6228" w:themeColor="accent3" w:themeShade="80"/>
                <w:sz w:val="19"/>
                <w:szCs w:val="19"/>
              </w:rPr>
              <w:t>our</w:t>
            </w:r>
          </w:p>
        </w:tc>
        <w:tc>
          <w:tcPr>
            <w:tcW w:w="1350" w:type="dxa"/>
            <w:tcBorders>
              <w:top w:val="single" w:sz="2" w:space="0" w:color="BFBFBF" w:themeColor="background1" w:themeShade="BF"/>
              <w:left w:val="nil"/>
              <w:bottom w:val="single" w:sz="2" w:space="0" w:color="18424E"/>
              <w:right w:val="nil"/>
            </w:tcBorders>
            <w:shd w:val="clear" w:color="auto" w:fill="auto"/>
            <w:noWrap/>
            <w:hideMark/>
          </w:tcPr>
          <w:p w14:paraId="4C5E23E3" w14:textId="77777777" w:rsidR="004D4C63" w:rsidRPr="00851F4B" w:rsidRDefault="004D4C63" w:rsidP="00553C3B">
            <w:pPr>
              <w:spacing w:before="60" w:after="60" w:line="240" w:lineRule="auto"/>
              <w:ind w:right="160"/>
              <w:jc w:val="right"/>
              <w:rPr>
                <w:rFonts w:ascii="Optima" w:hAnsi="Optima"/>
                <w:b/>
                <w:bCs/>
                <w:color w:val="4F6228" w:themeColor="accent3" w:themeShade="80"/>
                <w:sz w:val="19"/>
                <w:szCs w:val="19"/>
              </w:rPr>
            </w:pPr>
            <w:r w:rsidRPr="00851F4B">
              <w:rPr>
                <w:rFonts w:ascii="Optima" w:hAnsi="Optima"/>
                <w:b/>
                <w:bCs/>
                <w:color w:val="4F6228" w:themeColor="accent3" w:themeShade="80"/>
                <w:sz w:val="19"/>
                <w:szCs w:val="19"/>
              </w:rPr>
              <w:t>$3.40</w:t>
            </w:r>
          </w:p>
        </w:tc>
      </w:tr>
      <w:tr w:rsidR="00FC1D23" w:rsidRPr="00D85E0C" w14:paraId="1FD24860" w14:textId="77777777" w:rsidTr="001839A3">
        <w:trPr>
          <w:trHeight w:val="315"/>
          <w:jc w:val="center"/>
        </w:trPr>
        <w:tc>
          <w:tcPr>
            <w:tcW w:w="7920" w:type="dxa"/>
            <w:tcBorders>
              <w:top w:val="single" w:sz="2" w:space="0" w:color="18424E"/>
              <w:left w:val="nil"/>
              <w:bottom w:val="nil"/>
              <w:right w:val="nil"/>
            </w:tcBorders>
            <w:shd w:val="clear" w:color="auto" w:fill="auto"/>
            <w:noWrap/>
            <w:hideMark/>
          </w:tcPr>
          <w:p w14:paraId="03D6575F" w14:textId="77777777" w:rsidR="004D4C63" w:rsidRPr="00D85E0C" w:rsidRDefault="004D4C63" w:rsidP="00553C3B">
            <w:pPr>
              <w:pStyle w:val="EndnoteText"/>
              <w:spacing w:after="0"/>
            </w:pPr>
            <w:r w:rsidRPr="00D85E0C">
              <w:t xml:space="preserve">* </w:t>
            </w:r>
            <w:r w:rsidR="00F65C90" w:rsidRPr="00D85E0C">
              <w:t>S</w:t>
            </w:r>
            <w:r w:rsidRPr="00D85E0C">
              <w:t>taff and person served (if needed) travel between job / community sites</w:t>
            </w:r>
          </w:p>
        </w:tc>
        <w:tc>
          <w:tcPr>
            <w:tcW w:w="1350" w:type="dxa"/>
            <w:tcBorders>
              <w:top w:val="single" w:sz="2" w:space="0" w:color="18424E"/>
              <w:left w:val="nil"/>
              <w:bottom w:val="nil"/>
              <w:right w:val="nil"/>
            </w:tcBorders>
            <w:shd w:val="clear" w:color="auto" w:fill="auto"/>
            <w:noWrap/>
            <w:hideMark/>
          </w:tcPr>
          <w:p w14:paraId="50E29746" w14:textId="77777777" w:rsidR="004D4C63" w:rsidRPr="00D85E0C" w:rsidRDefault="004D4C63" w:rsidP="007503A3">
            <w:pPr>
              <w:spacing w:before="60" w:after="60" w:line="240" w:lineRule="auto"/>
              <w:rPr>
                <w:rFonts w:ascii="Optima" w:eastAsia="Times New Roman" w:hAnsi="Optima" w:cs="Calibri"/>
                <w:i/>
                <w:iCs/>
                <w:color w:val="000000"/>
                <w:sz w:val="19"/>
                <w:szCs w:val="19"/>
              </w:rPr>
            </w:pPr>
          </w:p>
        </w:tc>
      </w:tr>
    </w:tbl>
    <w:p w14:paraId="612F4C96" w14:textId="5983AAA4" w:rsidR="004D4C63" w:rsidRPr="00D42701" w:rsidRDefault="004D4C63" w:rsidP="00B11115">
      <w:pPr>
        <w:pStyle w:val="Heading4"/>
      </w:pPr>
      <w:r w:rsidRPr="00D42701">
        <w:t>Incorporating Risk Adjustment</w:t>
      </w:r>
      <w:r w:rsidR="008C4BED" w:rsidRPr="00D42701">
        <w:t xml:space="preserve">: </w:t>
      </w:r>
      <w:r w:rsidRPr="00D42701">
        <w:t>Establishing Acuity Tiers for Individuals Served</w:t>
      </w:r>
    </w:p>
    <w:p w14:paraId="6E99FBCB" w14:textId="6C0D111A" w:rsidR="00264DF5" w:rsidRPr="00264DF5" w:rsidRDefault="00264DF5" w:rsidP="00B1367E">
      <w:pPr>
        <w:rPr>
          <w:rFonts w:cs="Calibri"/>
        </w:rPr>
      </w:pPr>
      <w:r w:rsidRPr="00264DF5">
        <w:t xml:space="preserve">OCHN established three acuity tiers for individual supported employees to create a risk-adjusted model </w:t>
      </w:r>
      <w:r w:rsidR="00230559" w:rsidRPr="00264DF5">
        <w:t xml:space="preserve">that prevents “creaming” </w:t>
      </w:r>
      <w:r w:rsidRPr="00264DF5">
        <w:t>for providers</w:t>
      </w:r>
      <w:r w:rsidR="00230559">
        <w:t>.</w:t>
      </w:r>
      <w:r w:rsidRPr="00264DF5">
        <w:t xml:space="preserve"> OCHN opted to use an assessment tool designed specifically to measure </w:t>
      </w:r>
      <w:r w:rsidR="00673F9C">
        <w:t xml:space="preserve">the </w:t>
      </w:r>
      <w:r w:rsidRPr="00264DF5">
        <w:t xml:space="preserve">intensity of supports needed by people with IDD working in competitive integrated employment. </w:t>
      </w:r>
      <w:r w:rsidRPr="001E2F37">
        <w:t xml:space="preserve">The acuity tool (see next page) was originally developed for use in Dane County, Wisconsin and had been in use for over </w:t>
      </w:r>
      <w:r w:rsidR="00665904">
        <w:t>20</w:t>
      </w:r>
      <w:r w:rsidRPr="001E2F37">
        <w:t xml:space="preserve"> years</w:t>
      </w:r>
      <w:r w:rsidR="00D2331B" w:rsidRPr="001E2F37">
        <w:t xml:space="preserve"> prior to OCHN adopting it</w:t>
      </w:r>
      <w:r w:rsidRPr="001E2F37">
        <w:t>.</w:t>
      </w:r>
      <w:r w:rsidRPr="00264DF5">
        <w:t xml:space="preserve"> Both the funder of Medicaid wavier long-term supports and Supported Employment providers considered it a reliable tool</w:t>
      </w:r>
      <w:r w:rsidR="00443A82">
        <w:t>.</w:t>
      </w:r>
      <w:r w:rsidRPr="00264DF5">
        <w:t xml:space="preserve"> </w:t>
      </w:r>
      <w:r w:rsidR="00443A82">
        <w:t>T</w:t>
      </w:r>
      <w:r w:rsidRPr="00264DF5">
        <w:t>his was evidenced by the county consistently maintaining a competitive integrated employment rate between 60 and 70% among working age adults with IDD served by the Medicaid waiver as compared to 12% nationally.</w:t>
      </w:r>
      <w:r w:rsidRPr="00264DF5">
        <w:rPr>
          <w:vertAlign w:val="superscript"/>
        </w:rPr>
        <w:footnoteReference w:id="32"/>
      </w:r>
      <w:r w:rsidRPr="00264DF5">
        <w:t xml:space="preserve"> Further, the acuity tool has been used for transition age youth, with Dane County </w:t>
      </w:r>
      <w:r w:rsidRPr="00264DF5">
        <w:rPr>
          <w:rFonts w:cs="Calibri"/>
        </w:rPr>
        <w:t>achieving 92-93% of youth with IDD leaving the school system and entering the adult system with competitive integrated employment as compared to 26% nationally.</w:t>
      </w:r>
      <w:r w:rsidRPr="00264DF5">
        <w:rPr>
          <w:rFonts w:cs="Calibri"/>
          <w:vertAlign w:val="superscript"/>
        </w:rPr>
        <w:footnoteReference w:id="33"/>
      </w:r>
      <w:r w:rsidR="0001180B">
        <w:rPr>
          <w:rFonts w:cs="Calibri"/>
        </w:rPr>
        <w:t xml:space="preserve"> </w:t>
      </w:r>
      <w:r w:rsidRPr="001E2F37">
        <w:rPr>
          <w:rFonts w:cs="Calibri"/>
        </w:rPr>
        <w:t>OCHN made minor adaptations to the tool</w:t>
      </w:r>
      <w:r w:rsidR="003A29E0" w:rsidRPr="001E2F37">
        <w:rPr>
          <w:rFonts w:cs="Calibri"/>
        </w:rPr>
        <w:t xml:space="preserve"> by updating</w:t>
      </w:r>
      <w:r w:rsidRPr="001E2F37">
        <w:rPr>
          <w:rFonts w:cs="Calibri"/>
        </w:rPr>
        <w:t xml:space="preserve"> the language and </w:t>
      </w:r>
      <w:r w:rsidR="003A29E0" w:rsidRPr="001E2F37">
        <w:rPr>
          <w:rFonts w:cs="Calibri"/>
        </w:rPr>
        <w:t xml:space="preserve">creating </w:t>
      </w:r>
      <w:r w:rsidRPr="001E2F37">
        <w:rPr>
          <w:rFonts w:cs="Calibri"/>
        </w:rPr>
        <w:t>a supplemental set of examples to facilitate accurate completion of the tool.</w:t>
      </w:r>
      <w:r w:rsidRPr="00264DF5">
        <w:rPr>
          <w:rFonts w:cs="Calibri"/>
        </w:rPr>
        <w:t xml:space="preserve"> These are integrated into a seamless online tool that is completed for each individual.</w:t>
      </w:r>
    </w:p>
    <w:p w14:paraId="32285B89" w14:textId="6820D45F" w:rsidR="00CB71E1" w:rsidRDefault="004D4C63" w:rsidP="00A7463E">
      <w:pPr>
        <w:rPr>
          <w:rFonts w:eastAsiaTheme="majorEastAsia" w:cs="Times New Roman (Headings CS)"/>
          <w:iCs/>
          <w:color w:val="215868" w:themeColor="accent5" w:themeShade="80"/>
        </w:rPr>
      </w:pPr>
      <w:r w:rsidRPr="00F7360C">
        <w:t xml:space="preserve">The </w:t>
      </w:r>
      <w:r w:rsidR="003175D1">
        <w:t>OCHN</w:t>
      </w:r>
      <w:r w:rsidRPr="00F7360C">
        <w:t xml:space="preserve"> contracted Supports Coordinators/Case Managers are responsible for completing the </w:t>
      </w:r>
      <w:r w:rsidR="001E2F37">
        <w:t>a</w:t>
      </w:r>
      <w:r w:rsidRPr="00F7360C">
        <w:t xml:space="preserve">cuity </w:t>
      </w:r>
      <w:r w:rsidR="001E2F37">
        <w:t>t</w:t>
      </w:r>
      <w:r w:rsidRPr="00F7360C">
        <w:t xml:space="preserve">ool. </w:t>
      </w:r>
      <w:r w:rsidR="003175D1">
        <w:t>OCHN</w:t>
      </w:r>
      <w:r w:rsidRPr="00F7360C">
        <w:t xml:space="preserve"> requires it be updated at least annually for those who are receiving </w:t>
      </w:r>
      <w:r w:rsidR="00CE2ABF">
        <w:t>I</w:t>
      </w:r>
      <w:r w:rsidRPr="00F7360C">
        <w:t xml:space="preserve">ndividual Supported Employment services. It </w:t>
      </w:r>
      <w:r w:rsidR="00F50D85">
        <w:t>is</w:t>
      </w:r>
      <w:r w:rsidRPr="00F7360C">
        <w:t xml:space="preserve"> </w:t>
      </w:r>
      <w:r w:rsidR="008B2BA0">
        <w:t xml:space="preserve">also </w:t>
      </w:r>
      <w:r w:rsidRPr="00F7360C">
        <w:t>updated if there is a significant change in an individual’s disability or related conditions. Providers may request a review of the acuity score if they have concerns about an individual’s assessed acuity</w:t>
      </w:r>
      <w:r w:rsidR="005043F4">
        <w:t xml:space="preserve">. </w:t>
      </w:r>
    </w:p>
    <w:p w14:paraId="33A149F6" w14:textId="378AE80A" w:rsidR="004D4C63" w:rsidRPr="00D42701" w:rsidRDefault="004D4C63" w:rsidP="00B11115">
      <w:pPr>
        <w:pStyle w:val="Heading4"/>
      </w:pPr>
      <w:r w:rsidRPr="00D42701">
        <w:t>Establishing Phases for Employment</w:t>
      </w:r>
    </w:p>
    <w:p w14:paraId="4D9F2427" w14:textId="77777777" w:rsidR="004D4C63" w:rsidRPr="00043C33" w:rsidRDefault="003175D1" w:rsidP="00B1367E">
      <w:r>
        <w:t>OCHN</w:t>
      </w:r>
      <w:r w:rsidR="004D4C63" w:rsidRPr="00043C33">
        <w:t xml:space="preserve"> decided to adopt the same employment phases used in the Wisconsin model:</w:t>
      </w:r>
    </w:p>
    <w:p w14:paraId="6D3AD870" w14:textId="77777777" w:rsidR="004D4C63" w:rsidRPr="00043C33" w:rsidRDefault="004D4C63" w:rsidP="00086A85">
      <w:pPr>
        <w:pStyle w:val="ListBullet"/>
        <w:numPr>
          <w:ilvl w:val="0"/>
          <w:numId w:val="8"/>
        </w:numPr>
        <w:ind w:left="720"/>
      </w:pPr>
      <w:r w:rsidRPr="00043C33">
        <w:t>Phase One</w:t>
      </w:r>
      <w:r w:rsidR="008C4BED">
        <w:t xml:space="preserve">: </w:t>
      </w:r>
      <w:r w:rsidR="00294522">
        <w:tab/>
      </w:r>
      <w:r w:rsidRPr="00043C33">
        <w:t>0-11 Months on the Job</w:t>
      </w:r>
    </w:p>
    <w:p w14:paraId="058E2C97" w14:textId="77777777" w:rsidR="004D4C63" w:rsidRPr="00043C33" w:rsidRDefault="004D4C63" w:rsidP="00086A85">
      <w:pPr>
        <w:pStyle w:val="ListBullet"/>
        <w:numPr>
          <w:ilvl w:val="0"/>
          <w:numId w:val="8"/>
        </w:numPr>
        <w:ind w:left="720"/>
      </w:pPr>
      <w:r w:rsidRPr="00043C33">
        <w:t>Phase Two</w:t>
      </w:r>
      <w:r w:rsidR="008C4BED">
        <w:t xml:space="preserve">: </w:t>
      </w:r>
      <w:r w:rsidR="00294522">
        <w:tab/>
      </w:r>
      <w:r w:rsidRPr="00043C33">
        <w:t>12-24 Months on the Job</w:t>
      </w:r>
    </w:p>
    <w:p w14:paraId="3A513F8C" w14:textId="77777777" w:rsidR="004D4C63" w:rsidRPr="00F7360C" w:rsidRDefault="004D4C63" w:rsidP="00086A85">
      <w:pPr>
        <w:pStyle w:val="ListBullet"/>
        <w:numPr>
          <w:ilvl w:val="0"/>
          <w:numId w:val="8"/>
        </w:numPr>
        <w:ind w:left="720"/>
        <w:rPr>
          <w:sz w:val="24"/>
          <w:szCs w:val="24"/>
        </w:rPr>
      </w:pPr>
      <w:r w:rsidRPr="00043C33">
        <w:t>Phase Three</w:t>
      </w:r>
      <w:r w:rsidR="008C4BED">
        <w:t xml:space="preserve">: </w:t>
      </w:r>
      <w:r w:rsidR="00294522">
        <w:tab/>
      </w:r>
      <w:r w:rsidRPr="00043C33">
        <w:t>25+ Months on the Job</w:t>
      </w:r>
    </w:p>
    <w:p w14:paraId="59FFBB85" w14:textId="77777777" w:rsidR="004D4C63" w:rsidRPr="00043C33" w:rsidRDefault="004D4C63" w:rsidP="00B1367E">
      <w:r w:rsidRPr="00043C33">
        <w:t xml:space="preserve">Adopting three phases, like the Wisconsin and Oregon models, means fading expectations can be stepped down twice </w:t>
      </w:r>
      <w:r w:rsidR="00322C8D">
        <w:t>throughout</w:t>
      </w:r>
      <w:r w:rsidRPr="00043C33">
        <w:t xml:space="preserve"> someone holding a particularly competitive integrated job. There is an option to adopt more phases, which allows for the step-down fading expectations to be introduced over a longer </w:t>
      </w:r>
      <w:r w:rsidR="001D6ECA">
        <w:t>duration</w:t>
      </w:r>
      <w:r w:rsidRPr="00043C33">
        <w:t xml:space="preserve">, making the steps down </w:t>
      </w:r>
      <w:r w:rsidR="00256781" w:rsidRPr="00043C33">
        <w:t>gentler</w:t>
      </w:r>
      <w:r w:rsidRPr="00043C33">
        <w:t xml:space="preserve"> for providers. A key principle of the model, however, is that supports are never completely zeroed out in order to ensure</w:t>
      </w:r>
      <w:r w:rsidR="001921D1">
        <w:t xml:space="preserve"> the following</w:t>
      </w:r>
      <w:r w:rsidRPr="00043C33">
        <w:t>:</w:t>
      </w:r>
    </w:p>
    <w:p w14:paraId="42C9B91B" w14:textId="77777777" w:rsidR="004D4C63" w:rsidRDefault="004D4C63" w:rsidP="00086A85">
      <w:pPr>
        <w:pStyle w:val="ListNumber"/>
        <w:numPr>
          <w:ilvl w:val="0"/>
          <w:numId w:val="17"/>
        </w:numPr>
        <w:ind w:left="720"/>
      </w:pPr>
      <w:r w:rsidRPr="00043C33">
        <w:t>The employer and supported employee have ongoing access to support as needed;</w:t>
      </w:r>
    </w:p>
    <w:p w14:paraId="4FCF07D7" w14:textId="245FD97D" w:rsidR="00D85E0C" w:rsidRDefault="00C6506B" w:rsidP="003C6666">
      <w:pPr>
        <w:pStyle w:val="ListNumber"/>
        <w:numPr>
          <w:ilvl w:val="0"/>
          <w:numId w:val="17"/>
        </w:numPr>
        <w:ind w:left="720"/>
      </w:pPr>
      <w:r>
        <w:t xml:space="preserve">The provider is in place </w:t>
      </w:r>
      <w:r w:rsidR="004D4C63" w:rsidRPr="00043C33">
        <w:t xml:space="preserve">to regularly monitor the satisfaction of both the employer and the supported employee to prevent </w:t>
      </w:r>
      <w:r w:rsidR="00322C8D">
        <w:t xml:space="preserve">an </w:t>
      </w:r>
      <w:r w:rsidR="004D4C63" w:rsidRPr="00043C33">
        <w:t>otherwise preventable job loss</w:t>
      </w:r>
      <w:r w:rsidR="000D7DAA">
        <w:t>.</w:t>
      </w:r>
      <w:r w:rsidR="004D4C63" w:rsidRPr="00043C33">
        <w:rPr>
          <w:rStyle w:val="FootnoteReference"/>
          <w:sz w:val="24"/>
          <w:szCs w:val="24"/>
        </w:rPr>
        <w:footnoteReference w:id="34"/>
      </w:r>
      <w:r w:rsidR="00771A5C" w:rsidRPr="00043C33">
        <w:t xml:space="preserve"> </w:t>
      </w:r>
    </w:p>
    <w:p w14:paraId="546CA470" w14:textId="65301070" w:rsidR="0060519B" w:rsidRDefault="0060519B">
      <w:pPr>
        <w:spacing w:before="0" w:after="0" w:line="240" w:lineRule="auto"/>
      </w:pPr>
      <w:r>
        <w:br w:type="page"/>
      </w:r>
    </w:p>
    <w:tbl>
      <w:tblPr>
        <w:tblW w:w="9858" w:type="dxa"/>
        <w:tblInd w:w="-5" w:type="dxa"/>
        <w:tblLook w:val="0400" w:firstRow="0" w:lastRow="0" w:firstColumn="0" w:lastColumn="0" w:noHBand="0" w:noVBand="1"/>
        <w:tblCaption w:val="IDD Employment Supports Acuity Tool"/>
      </w:tblPr>
      <w:tblGrid>
        <w:gridCol w:w="603"/>
        <w:gridCol w:w="326"/>
        <w:gridCol w:w="277"/>
        <w:gridCol w:w="606"/>
        <w:gridCol w:w="2288"/>
        <w:gridCol w:w="1676"/>
        <w:gridCol w:w="814"/>
        <w:gridCol w:w="1607"/>
        <w:gridCol w:w="1661"/>
      </w:tblGrid>
      <w:tr w:rsidR="00C7506A" w:rsidRPr="0039123F" w14:paraId="7F743670" w14:textId="77777777" w:rsidTr="00CA1889">
        <w:trPr>
          <w:trHeight w:val="199"/>
          <w:tblHeader/>
        </w:trPr>
        <w:tc>
          <w:tcPr>
            <w:tcW w:w="9858" w:type="dxa"/>
            <w:gridSpan w:val="9"/>
            <w:shd w:val="clear" w:color="auto" w:fill="auto"/>
            <w:noWrap/>
          </w:tcPr>
          <w:p w14:paraId="4E99DB05" w14:textId="77777777" w:rsidR="00C7506A" w:rsidRPr="0039123F" w:rsidRDefault="00C7506A" w:rsidP="00CA1889">
            <w:pPr>
              <w:spacing w:before="0" w:after="0" w:line="240" w:lineRule="auto"/>
              <w:ind w:left="-110"/>
              <w:jc w:val="center"/>
              <w:rPr>
                <w:rFonts w:ascii="Optima" w:eastAsia="Times New Roman" w:hAnsi="Optima" w:cs="Calibri"/>
                <w:b/>
                <w:bCs/>
                <w:color w:val="FF0000"/>
                <w:sz w:val="19"/>
                <w:szCs w:val="19"/>
              </w:rPr>
            </w:pPr>
            <w:r w:rsidRPr="0039123F">
              <w:rPr>
                <w:rFonts w:ascii="Optima" w:eastAsia="Times New Roman" w:hAnsi="Optima" w:cs="Calibri"/>
                <w:b/>
                <w:bCs/>
                <w:color w:val="000000"/>
                <w:sz w:val="19"/>
                <w:szCs w:val="19"/>
              </w:rPr>
              <w:t>IDD Employment Supports Acuity Tool</w:t>
            </w:r>
          </w:p>
        </w:tc>
      </w:tr>
      <w:tr w:rsidR="00C7506A" w:rsidRPr="00D35F43" w14:paraId="0BBCC132" w14:textId="77777777" w:rsidTr="00CA1889">
        <w:trPr>
          <w:trHeight w:val="81"/>
          <w:tblHeader/>
        </w:trPr>
        <w:tc>
          <w:tcPr>
            <w:tcW w:w="929" w:type="dxa"/>
            <w:gridSpan w:val="2"/>
            <w:tcBorders>
              <w:bottom w:val="nil"/>
            </w:tcBorders>
            <w:shd w:val="clear" w:color="auto" w:fill="auto"/>
            <w:noWrap/>
          </w:tcPr>
          <w:p w14:paraId="28596EE9" w14:textId="77777777" w:rsidR="00C7506A" w:rsidRPr="00D35F43" w:rsidRDefault="00C7506A" w:rsidP="00CA1889">
            <w:pPr>
              <w:spacing w:before="0" w:after="0" w:line="240" w:lineRule="auto"/>
              <w:rPr>
                <w:rFonts w:ascii="Optima" w:eastAsia="Times New Roman" w:hAnsi="Optima" w:cs="Calibri"/>
                <w:color w:val="000000"/>
                <w:sz w:val="15"/>
                <w:szCs w:val="15"/>
              </w:rPr>
            </w:pPr>
          </w:p>
        </w:tc>
        <w:tc>
          <w:tcPr>
            <w:tcW w:w="277" w:type="dxa"/>
            <w:tcBorders>
              <w:bottom w:val="nil"/>
            </w:tcBorders>
            <w:shd w:val="clear" w:color="auto" w:fill="auto"/>
            <w:noWrap/>
          </w:tcPr>
          <w:p w14:paraId="0A009CD1" w14:textId="77777777" w:rsidR="00C7506A" w:rsidRPr="00D35F43" w:rsidRDefault="00C7506A" w:rsidP="00CA1889">
            <w:pPr>
              <w:spacing w:before="0" w:after="0" w:line="240" w:lineRule="auto"/>
              <w:rPr>
                <w:rFonts w:ascii="Optima" w:eastAsia="Times New Roman" w:hAnsi="Optima" w:cs="Calibri"/>
                <w:color w:val="000000"/>
                <w:sz w:val="19"/>
                <w:szCs w:val="19"/>
              </w:rPr>
            </w:pPr>
          </w:p>
        </w:tc>
        <w:tc>
          <w:tcPr>
            <w:tcW w:w="2894" w:type="dxa"/>
            <w:gridSpan w:val="2"/>
            <w:tcBorders>
              <w:bottom w:val="nil"/>
            </w:tcBorders>
            <w:shd w:val="clear" w:color="auto" w:fill="auto"/>
            <w:noWrap/>
          </w:tcPr>
          <w:p w14:paraId="548CABEE" w14:textId="77777777" w:rsidR="00C7506A" w:rsidRPr="00D35F43" w:rsidRDefault="00C7506A" w:rsidP="00CA1889">
            <w:pPr>
              <w:spacing w:before="0" w:after="0" w:line="240" w:lineRule="auto"/>
              <w:ind w:left="250" w:right="-110"/>
              <w:rPr>
                <w:rFonts w:ascii="Optima" w:eastAsia="Times New Roman" w:hAnsi="Optima" w:cs="Calibri"/>
                <w:color w:val="000000"/>
                <w:sz w:val="19"/>
                <w:szCs w:val="19"/>
              </w:rPr>
            </w:pPr>
          </w:p>
        </w:tc>
        <w:tc>
          <w:tcPr>
            <w:tcW w:w="1676" w:type="dxa"/>
            <w:tcBorders>
              <w:bottom w:val="nil"/>
            </w:tcBorders>
            <w:shd w:val="clear" w:color="auto" w:fill="auto"/>
            <w:noWrap/>
          </w:tcPr>
          <w:p w14:paraId="33ACB788" w14:textId="77777777" w:rsidR="00C7506A" w:rsidRPr="00D35F43" w:rsidRDefault="00C7506A" w:rsidP="00CA1889">
            <w:pPr>
              <w:spacing w:before="0" w:after="0" w:line="240" w:lineRule="auto"/>
              <w:rPr>
                <w:rFonts w:ascii="Optima" w:eastAsia="Times New Roman" w:hAnsi="Optima" w:cs="Calibri"/>
                <w:color w:val="000000"/>
                <w:sz w:val="15"/>
                <w:szCs w:val="15"/>
              </w:rPr>
            </w:pPr>
          </w:p>
        </w:tc>
        <w:tc>
          <w:tcPr>
            <w:tcW w:w="814" w:type="dxa"/>
            <w:tcBorders>
              <w:bottom w:val="nil"/>
            </w:tcBorders>
            <w:shd w:val="clear" w:color="auto" w:fill="auto"/>
            <w:noWrap/>
          </w:tcPr>
          <w:p w14:paraId="0409AFBB" w14:textId="77777777" w:rsidR="00C7506A" w:rsidRPr="00D35F43" w:rsidRDefault="00C7506A" w:rsidP="00CA1889">
            <w:pPr>
              <w:spacing w:before="0" w:after="0" w:line="240" w:lineRule="auto"/>
              <w:jc w:val="center"/>
              <w:rPr>
                <w:rFonts w:ascii="Optima" w:eastAsia="Times New Roman" w:hAnsi="Optima" w:cs="Calibri"/>
                <w:color w:val="00B050"/>
                <w:sz w:val="19"/>
                <w:szCs w:val="19"/>
              </w:rPr>
            </w:pPr>
          </w:p>
        </w:tc>
        <w:tc>
          <w:tcPr>
            <w:tcW w:w="1607" w:type="dxa"/>
            <w:tcBorders>
              <w:bottom w:val="nil"/>
            </w:tcBorders>
            <w:shd w:val="clear" w:color="auto" w:fill="auto"/>
            <w:noWrap/>
          </w:tcPr>
          <w:p w14:paraId="02A74BD0" w14:textId="77777777" w:rsidR="00C7506A" w:rsidRPr="00D35F43" w:rsidRDefault="00C7506A" w:rsidP="00CA1889">
            <w:pPr>
              <w:spacing w:before="0" w:after="0" w:line="240" w:lineRule="auto"/>
              <w:ind w:left="-250" w:right="-570"/>
              <w:jc w:val="center"/>
              <w:rPr>
                <w:rFonts w:ascii="Optima" w:eastAsia="Times New Roman" w:hAnsi="Optima" w:cs="Calibri"/>
                <w:color w:val="FFC000"/>
                <w:sz w:val="19"/>
                <w:szCs w:val="19"/>
              </w:rPr>
            </w:pPr>
          </w:p>
        </w:tc>
        <w:tc>
          <w:tcPr>
            <w:tcW w:w="1661" w:type="dxa"/>
            <w:tcBorders>
              <w:bottom w:val="nil"/>
            </w:tcBorders>
            <w:shd w:val="clear" w:color="auto" w:fill="auto"/>
            <w:noWrap/>
          </w:tcPr>
          <w:p w14:paraId="67142AD9" w14:textId="77777777" w:rsidR="00C7506A" w:rsidRPr="00D35F43" w:rsidRDefault="00C7506A" w:rsidP="00CA1889">
            <w:pPr>
              <w:spacing w:before="0" w:after="0" w:line="240" w:lineRule="auto"/>
              <w:ind w:left="-110"/>
              <w:jc w:val="center"/>
              <w:rPr>
                <w:rFonts w:ascii="Optima" w:eastAsia="Times New Roman" w:hAnsi="Optima" w:cs="Calibri"/>
                <w:color w:val="FF0000"/>
                <w:sz w:val="19"/>
                <w:szCs w:val="19"/>
              </w:rPr>
            </w:pPr>
          </w:p>
        </w:tc>
      </w:tr>
      <w:tr w:rsidR="00C7506A" w:rsidRPr="004B5347" w14:paraId="6CD7127E" w14:textId="77777777" w:rsidTr="00CA1889">
        <w:trPr>
          <w:trHeight w:val="332"/>
          <w:tblHeader/>
        </w:trPr>
        <w:tc>
          <w:tcPr>
            <w:tcW w:w="929" w:type="dxa"/>
            <w:gridSpan w:val="2"/>
            <w:tcBorders>
              <w:top w:val="single" w:sz="4" w:space="0" w:color="auto"/>
              <w:left w:val="single" w:sz="4" w:space="0" w:color="auto"/>
              <w:bottom w:val="nil"/>
              <w:right w:val="nil"/>
            </w:tcBorders>
            <w:shd w:val="clear" w:color="auto" w:fill="F2F2F2" w:themeFill="background1" w:themeFillShade="F2"/>
            <w:noWrap/>
            <w:hideMark/>
          </w:tcPr>
          <w:p w14:paraId="634C5708" w14:textId="77777777" w:rsidR="00C7506A" w:rsidRPr="00EB0601" w:rsidRDefault="00C7506A" w:rsidP="00CA1889">
            <w:pPr>
              <w:spacing w:before="0" w:after="0" w:line="240" w:lineRule="auto"/>
              <w:ind w:right="-115"/>
              <w:rPr>
                <w:rFonts w:ascii="Optima" w:hAnsi="Optima" w:cs="Calibri"/>
                <w:color w:val="000000"/>
                <w:sz w:val="18"/>
                <w:szCs w:val="18"/>
              </w:rPr>
            </w:pPr>
            <w:r>
              <w:rPr>
                <w:rFonts w:ascii="Optima" w:hAnsi="Optima" w:cs="Calibri"/>
                <w:color w:val="000000"/>
                <w:sz w:val="18"/>
                <w:szCs w:val="18"/>
              </w:rPr>
              <w:t xml:space="preserve">1. </w:t>
            </w:r>
            <w:r w:rsidRPr="00EB0601">
              <w:rPr>
                <w:rFonts w:ascii="Optima" w:hAnsi="Optima" w:cs="Calibri"/>
                <w:color w:val="000000"/>
                <w:sz w:val="18"/>
                <w:szCs w:val="18"/>
              </w:rPr>
              <w:t xml:space="preserve">Name: </w:t>
            </w:r>
          </w:p>
        </w:tc>
        <w:tc>
          <w:tcPr>
            <w:tcW w:w="277" w:type="dxa"/>
            <w:tcBorders>
              <w:top w:val="single" w:sz="4" w:space="0" w:color="auto"/>
              <w:left w:val="nil"/>
              <w:bottom w:val="nil"/>
              <w:right w:val="nil"/>
            </w:tcBorders>
            <w:shd w:val="clear" w:color="auto" w:fill="F2F2F2" w:themeFill="background1" w:themeFillShade="F2"/>
            <w:noWrap/>
            <w:hideMark/>
          </w:tcPr>
          <w:p w14:paraId="02B3ACC5" w14:textId="77777777" w:rsidR="00C7506A" w:rsidRPr="004B5347" w:rsidRDefault="00C7506A" w:rsidP="00CA1889">
            <w:pPr>
              <w:spacing w:before="0" w:after="0" w:line="240" w:lineRule="auto"/>
              <w:rPr>
                <w:rFonts w:ascii="Optima" w:eastAsia="Times New Roman" w:hAnsi="Optima" w:cs="Calibri"/>
                <w:color w:val="000000"/>
                <w:sz w:val="18"/>
                <w:szCs w:val="18"/>
              </w:rPr>
            </w:pPr>
            <w:r w:rsidRPr="004B5347">
              <w:rPr>
                <w:rFonts w:ascii="Optima" w:eastAsia="Times New Roman" w:hAnsi="Optima" w:cs="Calibri"/>
                <w:color w:val="000000"/>
                <w:sz w:val="18"/>
                <w:szCs w:val="18"/>
              </w:rPr>
              <w:t> </w:t>
            </w:r>
          </w:p>
        </w:tc>
        <w:tc>
          <w:tcPr>
            <w:tcW w:w="2894" w:type="dxa"/>
            <w:gridSpan w:val="2"/>
            <w:tcBorders>
              <w:top w:val="single" w:sz="4" w:space="0" w:color="auto"/>
              <w:left w:val="nil"/>
              <w:bottom w:val="nil"/>
              <w:right w:val="single" w:sz="4" w:space="0" w:color="auto"/>
            </w:tcBorders>
            <w:shd w:val="clear" w:color="auto" w:fill="F2F2F2" w:themeFill="background1" w:themeFillShade="F2"/>
            <w:noWrap/>
            <w:hideMark/>
          </w:tcPr>
          <w:p w14:paraId="41F7B365" w14:textId="77777777" w:rsidR="00C7506A" w:rsidRPr="004B5347" w:rsidRDefault="00C7506A" w:rsidP="00CA1889">
            <w:pPr>
              <w:spacing w:before="0" w:after="0" w:line="240" w:lineRule="auto"/>
              <w:ind w:left="948" w:right="-110"/>
              <w:rPr>
                <w:rFonts w:ascii="Optima" w:eastAsia="Times New Roman" w:hAnsi="Optima" w:cs="Calibri"/>
                <w:color w:val="000000"/>
                <w:sz w:val="18"/>
                <w:szCs w:val="18"/>
              </w:rPr>
            </w:pPr>
            <w:r w:rsidRPr="004B5347">
              <w:rPr>
                <w:rFonts w:ascii="Optima" w:eastAsia="Times New Roman" w:hAnsi="Optima" w:cs="Calibri"/>
                <w:color w:val="000000"/>
                <w:sz w:val="18"/>
                <w:szCs w:val="18"/>
              </w:rPr>
              <w:t>Date:</w:t>
            </w:r>
          </w:p>
        </w:tc>
        <w:tc>
          <w:tcPr>
            <w:tcW w:w="1676" w:type="dxa"/>
            <w:tcBorders>
              <w:top w:val="single" w:sz="4" w:space="0" w:color="auto"/>
              <w:left w:val="nil"/>
              <w:bottom w:val="nil"/>
              <w:right w:val="nil"/>
            </w:tcBorders>
            <w:shd w:val="clear" w:color="auto" w:fill="auto"/>
            <w:noWrap/>
            <w:hideMark/>
          </w:tcPr>
          <w:p w14:paraId="56A9FB84" w14:textId="77777777" w:rsidR="00C7506A" w:rsidRPr="004B5347" w:rsidRDefault="00C7506A" w:rsidP="00CA1889">
            <w:pPr>
              <w:spacing w:before="0" w:after="0" w:line="240" w:lineRule="auto"/>
              <w:rPr>
                <w:rFonts w:ascii="Optima" w:eastAsia="Times New Roman" w:hAnsi="Optima" w:cs="Calibri"/>
                <w:color w:val="000000"/>
                <w:sz w:val="18"/>
                <w:szCs w:val="18"/>
              </w:rPr>
            </w:pPr>
            <w:r w:rsidRPr="004B5347">
              <w:rPr>
                <w:rFonts w:ascii="Optima" w:eastAsia="Times New Roman" w:hAnsi="Optima" w:cs="Calibri"/>
                <w:color w:val="000000"/>
                <w:sz w:val="18"/>
                <w:szCs w:val="18"/>
              </w:rPr>
              <w:t>2. Support Level:</w:t>
            </w:r>
          </w:p>
        </w:tc>
        <w:tc>
          <w:tcPr>
            <w:tcW w:w="814" w:type="dxa"/>
            <w:tcBorders>
              <w:top w:val="single" w:sz="4" w:space="0" w:color="auto"/>
              <w:left w:val="nil"/>
              <w:bottom w:val="nil"/>
              <w:right w:val="nil"/>
            </w:tcBorders>
            <w:shd w:val="clear" w:color="auto" w:fill="auto"/>
            <w:noWrap/>
            <w:hideMark/>
          </w:tcPr>
          <w:p w14:paraId="5222CEEB" w14:textId="77777777" w:rsidR="00C7506A" w:rsidRPr="004B5347" w:rsidRDefault="00C7506A" w:rsidP="00CA1889">
            <w:pPr>
              <w:spacing w:before="0" w:after="0" w:line="240" w:lineRule="auto"/>
              <w:jc w:val="center"/>
              <w:rPr>
                <w:rFonts w:ascii="Optima" w:eastAsia="Times New Roman" w:hAnsi="Optima" w:cs="Calibri"/>
                <w:color w:val="00B050"/>
                <w:sz w:val="18"/>
                <w:szCs w:val="18"/>
              </w:rPr>
            </w:pPr>
            <w:r w:rsidRPr="009A781B">
              <w:rPr>
                <w:rFonts w:ascii="Optima" w:eastAsia="Times New Roman" w:hAnsi="Optima" w:cs="Calibri"/>
                <w:color w:val="4F6228" w:themeColor="accent3" w:themeShade="80"/>
                <w:sz w:val="18"/>
                <w:szCs w:val="18"/>
              </w:rPr>
              <w:t>Low</w:t>
            </w:r>
          </w:p>
        </w:tc>
        <w:tc>
          <w:tcPr>
            <w:tcW w:w="1607" w:type="dxa"/>
            <w:tcBorders>
              <w:top w:val="single" w:sz="4" w:space="0" w:color="auto"/>
              <w:left w:val="nil"/>
              <w:bottom w:val="nil"/>
              <w:right w:val="nil"/>
            </w:tcBorders>
            <w:shd w:val="clear" w:color="auto" w:fill="auto"/>
            <w:noWrap/>
            <w:hideMark/>
          </w:tcPr>
          <w:p w14:paraId="1C68F0A7" w14:textId="77777777" w:rsidR="00C7506A" w:rsidRPr="00EB0601" w:rsidRDefault="00C7506A" w:rsidP="00CA1889">
            <w:pPr>
              <w:spacing w:before="0" w:after="0" w:line="240" w:lineRule="auto"/>
              <w:ind w:left="-250" w:right="-570"/>
              <w:jc w:val="center"/>
              <w:rPr>
                <w:rFonts w:ascii="Optima" w:eastAsia="Times New Roman" w:hAnsi="Optima" w:cs="Calibri"/>
                <w:color w:val="F79646" w:themeColor="accent6"/>
                <w:sz w:val="18"/>
                <w:szCs w:val="18"/>
              </w:rPr>
            </w:pPr>
            <w:r w:rsidRPr="009A781B">
              <w:rPr>
                <w:rFonts w:ascii="Optima" w:eastAsia="Times New Roman" w:hAnsi="Optima" w:cs="Calibri"/>
                <w:color w:val="984806" w:themeColor="accent6" w:themeShade="80"/>
                <w:sz w:val="18"/>
                <w:szCs w:val="18"/>
              </w:rPr>
              <w:t>Med</w:t>
            </w:r>
          </w:p>
        </w:tc>
        <w:tc>
          <w:tcPr>
            <w:tcW w:w="1661" w:type="dxa"/>
            <w:tcBorders>
              <w:top w:val="single" w:sz="4" w:space="0" w:color="auto"/>
              <w:left w:val="nil"/>
              <w:bottom w:val="nil"/>
              <w:right w:val="single" w:sz="4" w:space="0" w:color="auto"/>
            </w:tcBorders>
            <w:shd w:val="clear" w:color="auto" w:fill="auto"/>
            <w:noWrap/>
            <w:hideMark/>
          </w:tcPr>
          <w:p w14:paraId="00E50400" w14:textId="77777777" w:rsidR="00C7506A" w:rsidRPr="004B5347" w:rsidRDefault="00C7506A" w:rsidP="00CA1889">
            <w:pPr>
              <w:spacing w:before="0" w:after="0" w:line="240" w:lineRule="auto"/>
              <w:ind w:left="-110"/>
              <w:jc w:val="center"/>
              <w:rPr>
                <w:rFonts w:ascii="Optima" w:eastAsia="Times New Roman" w:hAnsi="Optima" w:cs="Calibri"/>
                <w:color w:val="FF0000"/>
                <w:sz w:val="18"/>
                <w:szCs w:val="18"/>
              </w:rPr>
            </w:pPr>
            <w:r w:rsidRPr="009A781B">
              <w:rPr>
                <w:rFonts w:ascii="Optima" w:eastAsia="Times New Roman" w:hAnsi="Optima" w:cs="Calibri"/>
                <w:color w:val="C00000"/>
                <w:sz w:val="18"/>
                <w:szCs w:val="18"/>
              </w:rPr>
              <w:t>High</w:t>
            </w:r>
          </w:p>
        </w:tc>
      </w:tr>
      <w:tr w:rsidR="00C7506A" w:rsidRPr="004B5347" w14:paraId="4EF3C88B" w14:textId="77777777" w:rsidTr="00CA1889">
        <w:trPr>
          <w:trHeight w:val="71"/>
          <w:tblHeader/>
        </w:trPr>
        <w:tc>
          <w:tcPr>
            <w:tcW w:w="929" w:type="dxa"/>
            <w:gridSpan w:val="2"/>
            <w:vMerge w:val="restart"/>
            <w:tcBorders>
              <w:top w:val="single" w:sz="4" w:space="0" w:color="auto"/>
              <w:left w:val="single" w:sz="4" w:space="0" w:color="auto"/>
              <w:right w:val="nil"/>
            </w:tcBorders>
            <w:shd w:val="clear" w:color="auto" w:fill="F2F2F2" w:themeFill="background1" w:themeFillShade="F2"/>
            <w:noWrap/>
          </w:tcPr>
          <w:p w14:paraId="11ED6935" w14:textId="77777777" w:rsidR="00C7506A" w:rsidRPr="004B5347" w:rsidRDefault="00C7506A" w:rsidP="00CA1889">
            <w:pPr>
              <w:spacing w:after="0" w:line="240" w:lineRule="auto"/>
              <w:ind w:left="163" w:right="-538"/>
              <w:rPr>
                <w:rFonts w:ascii="Optima" w:eastAsia="Times New Roman" w:hAnsi="Optima" w:cs="Calibri"/>
                <w:color w:val="000000"/>
                <w:sz w:val="18"/>
                <w:szCs w:val="18"/>
              </w:rPr>
            </w:pPr>
            <w:r w:rsidRPr="004B5347">
              <w:rPr>
                <w:rFonts w:ascii="Optima" w:eastAsia="Times New Roman" w:hAnsi="Optima" w:cs="Calibri"/>
                <w:color w:val="000000"/>
                <w:sz w:val="18"/>
                <w:szCs w:val="18"/>
              </w:rPr>
              <w:t xml:space="preserve">Con ID: </w:t>
            </w:r>
          </w:p>
        </w:tc>
        <w:tc>
          <w:tcPr>
            <w:tcW w:w="277" w:type="dxa"/>
            <w:vMerge w:val="restart"/>
            <w:tcBorders>
              <w:top w:val="single" w:sz="4" w:space="0" w:color="auto"/>
              <w:left w:val="nil"/>
              <w:right w:val="nil"/>
            </w:tcBorders>
            <w:shd w:val="clear" w:color="auto" w:fill="F2F2F2" w:themeFill="background1" w:themeFillShade="F2"/>
            <w:noWrap/>
          </w:tcPr>
          <w:p w14:paraId="5BE9D7D1" w14:textId="77777777" w:rsidR="00C7506A" w:rsidRPr="004B5347" w:rsidRDefault="00C7506A" w:rsidP="00CA1889">
            <w:pPr>
              <w:spacing w:before="0" w:after="0" w:line="240" w:lineRule="auto"/>
              <w:rPr>
                <w:rFonts w:ascii="Optima" w:eastAsia="Times New Roman" w:hAnsi="Optima" w:cs="Calibri"/>
                <w:color w:val="000000"/>
                <w:sz w:val="18"/>
                <w:szCs w:val="18"/>
              </w:rPr>
            </w:pPr>
          </w:p>
        </w:tc>
        <w:tc>
          <w:tcPr>
            <w:tcW w:w="2894" w:type="dxa"/>
            <w:gridSpan w:val="2"/>
            <w:vMerge w:val="restart"/>
            <w:tcBorders>
              <w:top w:val="single" w:sz="4" w:space="0" w:color="auto"/>
              <w:left w:val="nil"/>
              <w:right w:val="single" w:sz="4" w:space="0" w:color="auto"/>
            </w:tcBorders>
            <w:shd w:val="clear" w:color="auto" w:fill="F2F2F2" w:themeFill="background1" w:themeFillShade="F2"/>
            <w:noWrap/>
          </w:tcPr>
          <w:p w14:paraId="3509444B" w14:textId="77777777" w:rsidR="00C7506A" w:rsidRPr="004B5347" w:rsidRDefault="00C7506A" w:rsidP="00CA1889">
            <w:pPr>
              <w:spacing w:before="0" w:after="0" w:line="240" w:lineRule="auto"/>
              <w:ind w:left="250" w:right="-110"/>
              <w:rPr>
                <w:rFonts w:ascii="Optima" w:eastAsia="Times New Roman" w:hAnsi="Optima" w:cs="Calibri"/>
                <w:color w:val="000000"/>
                <w:sz w:val="18"/>
                <w:szCs w:val="18"/>
              </w:rPr>
            </w:pPr>
          </w:p>
        </w:tc>
        <w:tc>
          <w:tcPr>
            <w:tcW w:w="1676" w:type="dxa"/>
            <w:tcBorders>
              <w:top w:val="single" w:sz="4" w:space="0" w:color="auto"/>
              <w:left w:val="nil"/>
              <w:bottom w:val="nil"/>
              <w:right w:val="nil"/>
            </w:tcBorders>
            <w:shd w:val="clear" w:color="auto" w:fill="auto"/>
            <w:noWrap/>
          </w:tcPr>
          <w:p w14:paraId="3F8DC325" w14:textId="77777777" w:rsidR="00C7506A" w:rsidRPr="004B5347" w:rsidRDefault="00C7506A" w:rsidP="00CA1889">
            <w:pPr>
              <w:spacing w:before="0" w:after="0" w:line="240" w:lineRule="auto"/>
              <w:rPr>
                <w:rFonts w:ascii="Optima" w:eastAsia="Times New Roman" w:hAnsi="Optima" w:cs="Calibri"/>
                <w:color w:val="000000"/>
                <w:sz w:val="10"/>
                <w:szCs w:val="10"/>
              </w:rPr>
            </w:pPr>
          </w:p>
        </w:tc>
        <w:tc>
          <w:tcPr>
            <w:tcW w:w="814" w:type="dxa"/>
            <w:tcBorders>
              <w:top w:val="single" w:sz="4" w:space="0" w:color="auto"/>
              <w:left w:val="nil"/>
              <w:bottom w:val="nil"/>
              <w:right w:val="nil"/>
            </w:tcBorders>
            <w:shd w:val="clear" w:color="auto" w:fill="auto"/>
            <w:noWrap/>
          </w:tcPr>
          <w:p w14:paraId="3C842A60" w14:textId="77777777" w:rsidR="00C7506A" w:rsidRPr="004B5347" w:rsidRDefault="00C7506A" w:rsidP="00CA1889">
            <w:pPr>
              <w:spacing w:before="0" w:after="0" w:line="240" w:lineRule="auto"/>
              <w:jc w:val="center"/>
              <w:rPr>
                <w:rFonts w:ascii="Optima" w:eastAsia="Times New Roman" w:hAnsi="Optima" w:cs="Calibri"/>
                <w:color w:val="00B050"/>
                <w:sz w:val="10"/>
                <w:szCs w:val="10"/>
              </w:rPr>
            </w:pPr>
          </w:p>
        </w:tc>
        <w:tc>
          <w:tcPr>
            <w:tcW w:w="1607" w:type="dxa"/>
            <w:tcBorders>
              <w:top w:val="single" w:sz="4" w:space="0" w:color="auto"/>
              <w:left w:val="nil"/>
              <w:bottom w:val="nil"/>
              <w:right w:val="nil"/>
            </w:tcBorders>
            <w:shd w:val="clear" w:color="auto" w:fill="auto"/>
            <w:noWrap/>
          </w:tcPr>
          <w:p w14:paraId="355A66BD" w14:textId="77777777" w:rsidR="00C7506A" w:rsidRPr="00EB0601" w:rsidRDefault="00C7506A" w:rsidP="00CA1889">
            <w:pPr>
              <w:spacing w:before="0" w:after="0" w:line="240" w:lineRule="auto"/>
              <w:ind w:left="-250" w:right="-570"/>
              <w:jc w:val="center"/>
              <w:rPr>
                <w:rFonts w:ascii="Optima" w:eastAsia="Times New Roman" w:hAnsi="Optima" w:cs="Calibri"/>
                <w:color w:val="F79646" w:themeColor="accent6"/>
                <w:sz w:val="10"/>
                <w:szCs w:val="10"/>
              </w:rPr>
            </w:pPr>
          </w:p>
        </w:tc>
        <w:tc>
          <w:tcPr>
            <w:tcW w:w="1661" w:type="dxa"/>
            <w:tcBorders>
              <w:top w:val="single" w:sz="4" w:space="0" w:color="auto"/>
              <w:left w:val="nil"/>
              <w:bottom w:val="nil"/>
              <w:right w:val="single" w:sz="4" w:space="0" w:color="auto"/>
            </w:tcBorders>
            <w:shd w:val="clear" w:color="auto" w:fill="auto"/>
            <w:noWrap/>
          </w:tcPr>
          <w:p w14:paraId="68242D89" w14:textId="77777777" w:rsidR="00C7506A" w:rsidRPr="004B5347" w:rsidRDefault="00C7506A" w:rsidP="00CA1889">
            <w:pPr>
              <w:spacing w:before="0" w:after="0" w:line="240" w:lineRule="auto"/>
              <w:ind w:left="-110"/>
              <w:jc w:val="center"/>
              <w:rPr>
                <w:rFonts w:ascii="Optima" w:eastAsia="Times New Roman" w:hAnsi="Optima" w:cs="Calibri"/>
                <w:color w:val="FF0000"/>
                <w:sz w:val="10"/>
                <w:szCs w:val="10"/>
              </w:rPr>
            </w:pPr>
          </w:p>
        </w:tc>
      </w:tr>
      <w:tr w:rsidR="00C7506A" w:rsidRPr="004B5347" w14:paraId="7AE7F9D5" w14:textId="77777777" w:rsidTr="00CA1889">
        <w:trPr>
          <w:trHeight w:val="81"/>
          <w:tblHeader/>
        </w:trPr>
        <w:tc>
          <w:tcPr>
            <w:tcW w:w="929" w:type="dxa"/>
            <w:gridSpan w:val="2"/>
            <w:vMerge/>
            <w:tcBorders>
              <w:left w:val="single" w:sz="4" w:space="0" w:color="auto"/>
              <w:bottom w:val="nil"/>
              <w:right w:val="nil"/>
            </w:tcBorders>
            <w:shd w:val="clear" w:color="auto" w:fill="F2F2F2" w:themeFill="background1" w:themeFillShade="F2"/>
            <w:noWrap/>
            <w:hideMark/>
          </w:tcPr>
          <w:p w14:paraId="79616C49" w14:textId="77777777" w:rsidR="00C7506A" w:rsidRPr="004B5347" w:rsidRDefault="00C7506A" w:rsidP="00CA1889">
            <w:pPr>
              <w:spacing w:before="0" w:after="0" w:line="240" w:lineRule="auto"/>
              <w:rPr>
                <w:rFonts w:ascii="Optima" w:eastAsia="Times New Roman" w:hAnsi="Optima" w:cs="Calibri"/>
                <w:color w:val="000000"/>
                <w:sz w:val="18"/>
                <w:szCs w:val="18"/>
              </w:rPr>
            </w:pPr>
          </w:p>
        </w:tc>
        <w:tc>
          <w:tcPr>
            <w:tcW w:w="277" w:type="dxa"/>
            <w:vMerge/>
            <w:tcBorders>
              <w:left w:val="nil"/>
              <w:bottom w:val="nil"/>
              <w:right w:val="nil"/>
            </w:tcBorders>
            <w:shd w:val="clear" w:color="auto" w:fill="F2F2F2" w:themeFill="background1" w:themeFillShade="F2"/>
            <w:noWrap/>
            <w:hideMark/>
          </w:tcPr>
          <w:p w14:paraId="29842D06" w14:textId="77777777" w:rsidR="00C7506A" w:rsidRPr="004B5347" w:rsidRDefault="00C7506A" w:rsidP="00CA1889">
            <w:pPr>
              <w:spacing w:before="0" w:after="0" w:line="240" w:lineRule="auto"/>
              <w:rPr>
                <w:rFonts w:ascii="Optima" w:eastAsia="Times New Roman" w:hAnsi="Optima" w:cs="Calibri"/>
                <w:color w:val="000000"/>
                <w:sz w:val="18"/>
                <w:szCs w:val="18"/>
              </w:rPr>
            </w:pPr>
          </w:p>
        </w:tc>
        <w:tc>
          <w:tcPr>
            <w:tcW w:w="2894" w:type="dxa"/>
            <w:gridSpan w:val="2"/>
            <w:vMerge/>
            <w:tcBorders>
              <w:left w:val="nil"/>
              <w:bottom w:val="nil"/>
              <w:right w:val="single" w:sz="4" w:space="0" w:color="auto"/>
            </w:tcBorders>
            <w:shd w:val="clear" w:color="auto" w:fill="F2F2F2" w:themeFill="background1" w:themeFillShade="F2"/>
            <w:noWrap/>
            <w:hideMark/>
          </w:tcPr>
          <w:p w14:paraId="4EC00670" w14:textId="77777777" w:rsidR="00C7506A" w:rsidRPr="004B5347" w:rsidRDefault="00C7506A" w:rsidP="00CA1889">
            <w:pPr>
              <w:spacing w:before="0" w:after="0" w:line="240" w:lineRule="auto"/>
              <w:rPr>
                <w:rFonts w:ascii="Optima" w:eastAsia="Times New Roman" w:hAnsi="Optima" w:cs="Calibri"/>
                <w:color w:val="000000"/>
                <w:sz w:val="18"/>
                <w:szCs w:val="18"/>
              </w:rPr>
            </w:pPr>
          </w:p>
        </w:tc>
        <w:tc>
          <w:tcPr>
            <w:tcW w:w="1676" w:type="dxa"/>
            <w:tcBorders>
              <w:top w:val="nil"/>
              <w:left w:val="nil"/>
              <w:bottom w:val="nil"/>
              <w:right w:val="nil"/>
            </w:tcBorders>
            <w:shd w:val="clear" w:color="auto" w:fill="auto"/>
            <w:noWrap/>
            <w:hideMark/>
          </w:tcPr>
          <w:p w14:paraId="37C3C690" w14:textId="77777777" w:rsidR="00C7506A" w:rsidRPr="004B5347" w:rsidRDefault="00C7506A" w:rsidP="00CA1889">
            <w:pPr>
              <w:spacing w:before="0" w:after="0" w:line="240" w:lineRule="auto"/>
              <w:ind w:left="187"/>
              <w:rPr>
                <w:rFonts w:ascii="Optima" w:eastAsia="Times New Roman" w:hAnsi="Optima" w:cs="Calibri"/>
                <w:color w:val="000000"/>
                <w:sz w:val="18"/>
                <w:szCs w:val="18"/>
              </w:rPr>
            </w:pPr>
            <w:r w:rsidRPr="004B5347">
              <w:rPr>
                <w:rFonts w:ascii="Optima" w:eastAsia="Times New Roman" w:hAnsi="Optima" w:cs="Calibri"/>
                <w:color w:val="000000"/>
                <w:sz w:val="18"/>
                <w:szCs w:val="18"/>
              </w:rPr>
              <w:t>Point Total</w:t>
            </w:r>
          </w:p>
        </w:tc>
        <w:tc>
          <w:tcPr>
            <w:tcW w:w="814" w:type="dxa"/>
            <w:tcBorders>
              <w:top w:val="nil"/>
              <w:left w:val="nil"/>
              <w:bottom w:val="nil"/>
              <w:right w:val="nil"/>
            </w:tcBorders>
            <w:shd w:val="clear" w:color="auto" w:fill="auto"/>
            <w:noWrap/>
            <w:hideMark/>
          </w:tcPr>
          <w:p w14:paraId="6CA54DEA" w14:textId="77777777" w:rsidR="00C7506A" w:rsidRPr="004B5347" w:rsidRDefault="00C7506A" w:rsidP="00CA1889">
            <w:pPr>
              <w:spacing w:before="0" w:after="0" w:line="240" w:lineRule="auto"/>
              <w:jc w:val="center"/>
              <w:rPr>
                <w:rFonts w:ascii="Optima" w:eastAsia="Times New Roman" w:hAnsi="Optima" w:cs="Calibri"/>
                <w:color w:val="00B050"/>
                <w:sz w:val="18"/>
                <w:szCs w:val="18"/>
              </w:rPr>
            </w:pPr>
            <w:r w:rsidRPr="009A781B">
              <w:rPr>
                <w:rFonts w:ascii="Optima" w:eastAsia="Times New Roman" w:hAnsi="Optima" w:cs="Calibri"/>
                <w:color w:val="4F6228" w:themeColor="accent3" w:themeShade="80"/>
                <w:sz w:val="18"/>
                <w:szCs w:val="18"/>
              </w:rPr>
              <w:t>9-22</w:t>
            </w:r>
          </w:p>
        </w:tc>
        <w:tc>
          <w:tcPr>
            <w:tcW w:w="1607" w:type="dxa"/>
            <w:tcBorders>
              <w:top w:val="nil"/>
              <w:left w:val="nil"/>
              <w:bottom w:val="nil"/>
              <w:right w:val="nil"/>
            </w:tcBorders>
            <w:shd w:val="clear" w:color="auto" w:fill="auto"/>
            <w:noWrap/>
            <w:hideMark/>
          </w:tcPr>
          <w:p w14:paraId="1CAAEE6A" w14:textId="77777777" w:rsidR="00C7506A" w:rsidRPr="00EB0601" w:rsidRDefault="00C7506A" w:rsidP="00CA1889">
            <w:pPr>
              <w:spacing w:before="0" w:after="0" w:line="240" w:lineRule="auto"/>
              <w:ind w:left="-250" w:right="-570"/>
              <w:jc w:val="center"/>
              <w:rPr>
                <w:rFonts w:ascii="Optima" w:eastAsia="Times New Roman" w:hAnsi="Optima" w:cs="Calibri"/>
                <w:color w:val="F79646" w:themeColor="accent6"/>
                <w:sz w:val="18"/>
                <w:szCs w:val="18"/>
              </w:rPr>
            </w:pPr>
            <w:r w:rsidRPr="00CC2EDA">
              <w:rPr>
                <w:rFonts w:ascii="Optima" w:eastAsia="Times New Roman" w:hAnsi="Optima" w:cs="Calibri"/>
                <w:color w:val="984806" w:themeColor="accent6" w:themeShade="80"/>
                <w:sz w:val="18"/>
                <w:szCs w:val="18"/>
              </w:rPr>
              <w:t>23-36</w:t>
            </w:r>
          </w:p>
        </w:tc>
        <w:tc>
          <w:tcPr>
            <w:tcW w:w="1661" w:type="dxa"/>
            <w:tcBorders>
              <w:top w:val="nil"/>
              <w:left w:val="nil"/>
              <w:bottom w:val="nil"/>
              <w:right w:val="single" w:sz="4" w:space="0" w:color="auto"/>
            </w:tcBorders>
            <w:shd w:val="clear" w:color="auto" w:fill="auto"/>
            <w:noWrap/>
            <w:hideMark/>
          </w:tcPr>
          <w:p w14:paraId="64891B44" w14:textId="77777777" w:rsidR="00C7506A" w:rsidRPr="004B5347" w:rsidRDefault="00C7506A" w:rsidP="00CA1889">
            <w:pPr>
              <w:spacing w:before="0" w:after="0" w:line="240" w:lineRule="auto"/>
              <w:ind w:left="-110"/>
              <w:jc w:val="center"/>
              <w:rPr>
                <w:rFonts w:ascii="Optima" w:eastAsia="Times New Roman" w:hAnsi="Optima" w:cs="Calibri"/>
                <w:color w:val="FF0000"/>
                <w:sz w:val="18"/>
                <w:szCs w:val="18"/>
              </w:rPr>
            </w:pPr>
            <w:r w:rsidRPr="00CC2EDA">
              <w:rPr>
                <w:rFonts w:ascii="Optima" w:eastAsia="Times New Roman" w:hAnsi="Optima" w:cs="Calibri"/>
                <w:color w:val="C00000"/>
                <w:sz w:val="18"/>
                <w:szCs w:val="18"/>
              </w:rPr>
              <w:t>37+</w:t>
            </w:r>
          </w:p>
        </w:tc>
      </w:tr>
      <w:tr w:rsidR="00C7506A" w:rsidRPr="004B5347" w14:paraId="4F395FBB" w14:textId="77777777" w:rsidTr="00CA1889">
        <w:trPr>
          <w:trHeight w:val="81"/>
          <w:tblHeader/>
        </w:trPr>
        <w:tc>
          <w:tcPr>
            <w:tcW w:w="929" w:type="dxa"/>
            <w:gridSpan w:val="2"/>
            <w:tcBorders>
              <w:top w:val="nil"/>
              <w:left w:val="single" w:sz="4" w:space="0" w:color="auto"/>
              <w:bottom w:val="single" w:sz="4" w:space="0" w:color="auto"/>
              <w:right w:val="nil"/>
            </w:tcBorders>
            <w:shd w:val="clear" w:color="auto" w:fill="F2F2F2" w:themeFill="background1" w:themeFillShade="F2"/>
            <w:noWrap/>
          </w:tcPr>
          <w:p w14:paraId="3068636E" w14:textId="77777777" w:rsidR="00C7506A" w:rsidRPr="004B5347" w:rsidRDefault="00C7506A" w:rsidP="00CA1889">
            <w:pPr>
              <w:spacing w:before="0" w:after="0" w:line="240" w:lineRule="auto"/>
              <w:rPr>
                <w:rFonts w:ascii="Optima" w:eastAsia="Times New Roman" w:hAnsi="Optima" w:cs="Calibri"/>
                <w:color w:val="000000"/>
                <w:sz w:val="10"/>
                <w:szCs w:val="10"/>
              </w:rPr>
            </w:pPr>
          </w:p>
        </w:tc>
        <w:tc>
          <w:tcPr>
            <w:tcW w:w="277" w:type="dxa"/>
            <w:tcBorders>
              <w:top w:val="nil"/>
              <w:left w:val="nil"/>
              <w:bottom w:val="single" w:sz="4" w:space="0" w:color="auto"/>
              <w:right w:val="nil"/>
            </w:tcBorders>
            <w:shd w:val="clear" w:color="auto" w:fill="F2F2F2" w:themeFill="background1" w:themeFillShade="F2"/>
            <w:noWrap/>
            <w:hideMark/>
          </w:tcPr>
          <w:p w14:paraId="2FBB40F6" w14:textId="77777777" w:rsidR="00C7506A" w:rsidRPr="004B5347" w:rsidRDefault="00C7506A" w:rsidP="00CA1889">
            <w:pPr>
              <w:spacing w:before="0" w:after="0" w:line="240" w:lineRule="auto"/>
              <w:rPr>
                <w:rFonts w:ascii="Optima" w:eastAsia="Times New Roman" w:hAnsi="Optima" w:cs="Calibri"/>
                <w:color w:val="000000"/>
                <w:sz w:val="10"/>
                <w:szCs w:val="10"/>
              </w:rPr>
            </w:pPr>
            <w:r w:rsidRPr="004B5347">
              <w:rPr>
                <w:rFonts w:ascii="Optima" w:eastAsia="Times New Roman" w:hAnsi="Optima" w:cs="Calibri"/>
                <w:color w:val="000000"/>
                <w:sz w:val="10"/>
                <w:szCs w:val="10"/>
              </w:rPr>
              <w:t> </w:t>
            </w:r>
          </w:p>
        </w:tc>
        <w:tc>
          <w:tcPr>
            <w:tcW w:w="2894" w:type="dxa"/>
            <w:gridSpan w:val="2"/>
            <w:tcBorders>
              <w:top w:val="nil"/>
              <w:left w:val="nil"/>
              <w:bottom w:val="single" w:sz="4" w:space="0" w:color="auto"/>
              <w:right w:val="single" w:sz="4" w:space="0" w:color="auto"/>
            </w:tcBorders>
            <w:shd w:val="clear" w:color="auto" w:fill="F2F2F2" w:themeFill="background1" w:themeFillShade="F2"/>
            <w:noWrap/>
            <w:hideMark/>
          </w:tcPr>
          <w:p w14:paraId="3DB7FA94" w14:textId="77777777" w:rsidR="00C7506A" w:rsidRPr="004B5347" w:rsidRDefault="00C7506A" w:rsidP="00CA1889">
            <w:pPr>
              <w:spacing w:before="0" w:after="0" w:line="240" w:lineRule="auto"/>
              <w:rPr>
                <w:rFonts w:ascii="Optima" w:eastAsia="Times New Roman" w:hAnsi="Optima" w:cs="Calibri"/>
                <w:color w:val="000000"/>
                <w:sz w:val="10"/>
                <w:szCs w:val="10"/>
              </w:rPr>
            </w:pPr>
          </w:p>
        </w:tc>
        <w:tc>
          <w:tcPr>
            <w:tcW w:w="1676" w:type="dxa"/>
            <w:tcBorders>
              <w:top w:val="nil"/>
              <w:left w:val="nil"/>
              <w:bottom w:val="single" w:sz="4" w:space="0" w:color="auto"/>
              <w:right w:val="nil"/>
            </w:tcBorders>
            <w:shd w:val="clear" w:color="auto" w:fill="auto"/>
            <w:noWrap/>
            <w:hideMark/>
          </w:tcPr>
          <w:p w14:paraId="5614D81B" w14:textId="77777777" w:rsidR="00C7506A" w:rsidRPr="004B5347" w:rsidRDefault="00C7506A" w:rsidP="00CA1889">
            <w:pPr>
              <w:spacing w:before="0" w:after="0" w:line="240" w:lineRule="auto"/>
              <w:rPr>
                <w:rFonts w:ascii="Optima" w:eastAsia="Times New Roman" w:hAnsi="Optima" w:cs="Calibri"/>
                <w:color w:val="000000"/>
                <w:sz w:val="10"/>
                <w:szCs w:val="10"/>
              </w:rPr>
            </w:pPr>
            <w:r w:rsidRPr="004B5347">
              <w:rPr>
                <w:rFonts w:ascii="Optima" w:eastAsia="Times New Roman" w:hAnsi="Optima" w:cs="Calibri"/>
                <w:color w:val="000000"/>
                <w:sz w:val="10"/>
                <w:szCs w:val="10"/>
              </w:rPr>
              <w:t> </w:t>
            </w:r>
          </w:p>
        </w:tc>
        <w:tc>
          <w:tcPr>
            <w:tcW w:w="814" w:type="dxa"/>
            <w:tcBorders>
              <w:top w:val="nil"/>
              <w:left w:val="nil"/>
              <w:bottom w:val="single" w:sz="4" w:space="0" w:color="auto"/>
              <w:right w:val="nil"/>
            </w:tcBorders>
            <w:shd w:val="clear" w:color="auto" w:fill="auto"/>
            <w:noWrap/>
            <w:hideMark/>
          </w:tcPr>
          <w:p w14:paraId="78B36390" w14:textId="77777777" w:rsidR="00C7506A" w:rsidRPr="004B5347" w:rsidRDefault="00C7506A" w:rsidP="00CA1889">
            <w:pPr>
              <w:spacing w:before="0" w:after="0" w:line="240" w:lineRule="auto"/>
              <w:rPr>
                <w:rFonts w:ascii="Optima" w:eastAsia="Times New Roman" w:hAnsi="Optima" w:cs="Calibri"/>
                <w:color w:val="000000"/>
                <w:sz w:val="10"/>
                <w:szCs w:val="10"/>
              </w:rPr>
            </w:pPr>
            <w:r w:rsidRPr="004B5347">
              <w:rPr>
                <w:rFonts w:ascii="Optima" w:eastAsia="Times New Roman" w:hAnsi="Optima" w:cs="Calibri"/>
                <w:color w:val="000000"/>
                <w:sz w:val="10"/>
                <w:szCs w:val="10"/>
              </w:rPr>
              <w:t> </w:t>
            </w:r>
          </w:p>
        </w:tc>
        <w:tc>
          <w:tcPr>
            <w:tcW w:w="1607" w:type="dxa"/>
            <w:tcBorders>
              <w:top w:val="nil"/>
              <w:left w:val="nil"/>
              <w:bottom w:val="single" w:sz="4" w:space="0" w:color="auto"/>
              <w:right w:val="nil"/>
            </w:tcBorders>
            <w:shd w:val="clear" w:color="auto" w:fill="auto"/>
            <w:noWrap/>
            <w:hideMark/>
          </w:tcPr>
          <w:p w14:paraId="14FF90C3" w14:textId="77777777" w:rsidR="00C7506A" w:rsidRPr="004B5347" w:rsidRDefault="00C7506A" w:rsidP="00CA1889">
            <w:pPr>
              <w:spacing w:before="0" w:after="0" w:line="240" w:lineRule="auto"/>
              <w:rPr>
                <w:rFonts w:ascii="Optima" w:eastAsia="Times New Roman" w:hAnsi="Optima" w:cs="Calibri"/>
                <w:color w:val="000000"/>
                <w:sz w:val="10"/>
                <w:szCs w:val="10"/>
              </w:rPr>
            </w:pPr>
            <w:r w:rsidRPr="004B5347">
              <w:rPr>
                <w:rFonts w:ascii="Optima" w:eastAsia="Times New Roman" w:hAnsi="Optima" w:cs="Calibri"/>
                <w:color w:val="000000"/>
                <w:sz w:val="10"/>
                <w:szCs w:val="10"/>
              </w:rPr>
              <w:t> </w:t>
            </w:r>
          </w:p>
        </w:tc>
        <w:tc>
          <w:tcPr>
            <w:tcW w:w="1661" w:type="dxa"/>
            <w:tcBorders>
              <w:top w:val="nil"/>
              <w:left w:val="nil"/>
              <w:bottom w:val="single" w:sz="4" w:space="0" w:color="auto"/>
              <w:right w:val="single" w:sz="4" w:space="0" w:color="auto"/>
            </w:tcBorders>
            <w:shd w:val="clear" w:color="auto" w:fill="auto"/>
            <w:noWrap/>
            <w:hideMark/>
          </w:tcPr>
          <w:p w14:paraId="2B614FA6" w14:textId="77777777" w:rsidR="00C7506A" w:rsidRPr="004B5347" w:rsidRDefault="00C7506A" w:rsidP="00CA1889">
            <w:pPr>
              <w:spacing w:before="0" w:after="0" w:line="240" w:lineRule="auto"/>
              <w:rPr>
                <w:rFonts w:ascii="Optima" w:eastAsia="Times New Roman" w:hAnsi="Optima" w:cs="Calibri"/>
                <w:color w:val="000000"/>
                <w:sz w:val="10"/>
                <w:szCs w:val="10"/>
              </w:rPr>
            </w:pPr>
            <w:r w:rsidRPr="004B5347">
              <w:rPr>
                <w:rFonts w:ascii="Optima" w:eastAsia="Times New Roman" w:hAnsi="Optima" w:cs="Calibri"/>
                <w:color w:val="000000"/>
                <w:sz w:val="10"/>
                <w:szCs w:val="10"/>
              </w:rPr>
              <w:t> </w:t>
            </w:r>
          </w:p>
        </w:tc>
      </w:tr>
      <w:tr w:rsidR="00C7506A" w:rsidRPr="004B5347" w14:paraId="565543E0" w14:textId="77777777" w:rsidTr="00CA1889">
        <w:trPr>
          <w:trHeight w:val="341"/>
          <w:tblHeader/>
        </w:trPr>
        <w:tc>
          <w:tcPr>
            <w:tcW w:w="4100" w:type="dxa"/>
            <w:gridSpan w:val="5"/>
            <w:tcBorders>
              <w:top w:val="nil"/>
              <w:left w:val="single" w:sz="4" w:space="0" w:color="auto"/>
              <w:bottom w:val="nil"/>
              <w:right w:val="single" w:sz="4" w:space="0" w:color="000000"/>
            </w:tcBorders>
            <w:shd w:val="clear" w:color="auto" w:fill="auto"/>
            <w:noWrap/>
            <w:hideMark/>
          </w:tcPr>
          <w:p w14:paraId="671A6D43" w14:textId="77777777" w:rsidR="00C7506A" w:rsidRPr="004B5347" w:rsidRDefault="00C7506A" w:rsidP="00CA1889">
            <w:pPr>
              <w:spacing w:before="0" w:after="0" w:line="240" w:lineRule="auto"/>
              <w:rPr>
                <w:rFonts w:ascii="Optima" w:eastAsia="Times New Roman" w:hAnsi="Optima" w:cs="Calibri"/>
                <w:color w:val="000000"/>
                <w:sz w:val="18"/>
                <w:szCs w:val="18"/>
              </w:rPr>
            </w:pPr>
            <w:r w:rsidRPr="004B5347">
              <w:rPr>
                <w:rFonts w:ascii="Optima" w:eastAsia="Times New Roman" w:hAnsi="Optima" w:cs="Calibri"/>
                <w:color w:val="000000"/>
                <w:sz w:val="18"/>
                <w:szCs w:val="18"/>
              </w:rPr>
              <w:t>3. Supports Coordinator:</w:t>
            </w:r>
          </w:p>
        </w:tc>
        <w:tc>
          <w:tcPr>
            <w:tcW w:w="2490" w:type="dxa"/>
            <w:gridSpan w:val="2"/>
            <w:tcBorders>
              <w:top w:val="nil"/>
              <w:left w:val="nil"/>
              <w:bottom w:val="nil"/>
              <w:right w:val="nil"/>
            </w:tcBorders>
            <w:shd w:val="clear" w:color="auto" w:fill="auto"/>
            <w:noWrap/>
            <w:hideMark/>
          </w:tcPr>
          <w:p w14:paraId="7BDE857E" w14:textId="77777777" w:rsidR="00C7506A" w:rsidRPr="004B5347" w:rsidRDefault="00C7506A" w:rsidP="00CA1889">
            <w:pPr>
              <w:spacing w:before="0" w:after="0" w:line="240" w:lineRule="auto"/>
              <w:rPr>
                <w:rFonts w:ascii="Optima" w:eastAsia="Times New Roman" w:hAnsi="Optima" w:cs="Calibri"/>
                <w:color w:val="000000"/>
                <w:sz w:val="18"/>
                <w:szCs w:val="18"/>
              </w:rPr>
            </w:pPr>
            <w:r w:rsidRPr="004B5347">
              <w:rPr>
                <w:rFonts w:ascii="Optima" w:eastAsia="Times New Roman" w:hAnsi="Optima" w:cs="Calibri"/>
                <w:color w:val="000000"/>
                <w:sz w:val="18"/>
                <w:szCs w:val="18"/>
              </w:rPr>
              <w:t>4. Support Level Score:</w:t>
            </w:r>
          </w:p>
        </w:tc>
        <w:tc>
          <w:tcPr>
            <w:tcW w:w="1607" w:type="dxa"/>
            <w:tcBorders>
              <w:top w:val="nil"/>
              <w:left w:val="nil"/>
              <w:bottom w:val="nil"/>
              <w:right w:val="nil"/>
            </w:tcBorders>
            <w:shd w:val="clear" w:color="auto" w:fill="auto"/>
            <w:noWrap/>
            <w:hideMark/>
          </w:tcPr>
          <w:p w14:paraId="22B43108" w14:textId="77777777" w:rsidR="00C7506A" w:rsidRPr="004B5347" w:rsidRDefault="00C7506A" w:rsidP="00CA1889">
            <w:pPr>
              <w:spacing w:before="0" w:after="0" w:line="240" w:lineRule="auto"/>
              <w:rPr>
                <w:rFonts w:ascii="Optima" w:eastAsia="Times New Roman" w:hAnsi="Optima" w:cs="Calibri"/>
                <w:color w:val="000000"/>
                <w:sz w:val="18"/>
                <w:szCs w:val="18"/>
              </w:rPr>
            </w:pPr>
          </w:p>
        </w:tc>
        <w:tc>
          <w:tcPr>
            <w:tcW w:w="1661" w:type="dxa"/>
            <w:tcBorders>
              <w:top w:val="nil"/>
              <w:left w:val="nil"/>
              <w:bottom w:val="nil"/>
              <w:right w:val="single" w:sz="4" w:space="0" w:color="auto"/>
            </w:tcBorders>
            <w:shd w:val="clear" w:color="auto" w:fill="auto"/>
            <w:noWrap/>
            <w:hideMark/>
          </w:tcPr>
          <w:p w14:paraId="75C9B5ED" w14:textId="77777777" w:rsidR="00C7506A" w:rsidRPr="004B5347" w:rsidRDefault="00C7506A" w:rsidP="00CA1889">
            <w:pPr>
              <w:spacing w:before="0" w:after="0" w:line="240" w:lineRule="auto"/>
              <w:rPr>
                <w:rFonts w:ascii="Optima" w:eastAsia="Times New Roman" w:hAnsi="Optima" w:cs="Calibri"/>
                <w:color w:val="000000"/>
                <w:sz w:val="18"/>
                <w:szCs w:val="18"/>
              </w:rPr>
            </w:pPr>
            <w:r w:rsidRPr="004B5347">
              <w:rPr>
                <w:rFonts w:ascii="Optima" w:eastAsia="Times New Roman" w:hAnsi="Optima" w:cs="Calibri"/>
                <w:color w:val="000000"/>
                <w:sz w:val="18"/>
                <w:szCs w:val="18"/>
              </w:rPr>
              <w:t> </w:t>
            </w:r>
          </w:p>
        </w:tc>
      </w:tr>
      <w:tr w:rsidR="00C7506A" w:rsidRPr="00F4074A" w14:paraId="192AF369" w14:textId="77777777" w:rsidTr="00CA1889">
        <w:trPr>
          <w:trHeight w:val="408"/>
          <w:tblHeader/>
        </w:trPr>
        <w:tc>
          <w:tcPr>
            <w:tcW w:w="9858"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2019CF1B" w14:textId="77777777" w:rsidR="00C7506A" w:rsidRPr="00F4074A" w:rsidRDefault="00C7506A" w:rsidP="00CA1889">
            <w:pPr>
              <w:spacing w:before="0" w:after="0" w:line="240" w:lineRule="auto"/>
              <w:rPr>
                <w:rFonts w:ascii="Optima" w:eastAsia="Times New Roman" w:hAnsi="Optima" w:cs="Calibri"/>
                <w:color w:val="000000"/>
                <w:sz w:val="16"/>
                <w:szCs w:val="16"/>
              </w:rPr>
            </w:pPr>
            <w:r w:rsidRPr="00F4074A">
              <w:rPr>
                <w:rFonts w:ascii="Optima" w:eastAsia="Times New Roman" w:hAnsi="Optima" w:cs="Calibri"/>
                <w:color w:val="000000"/>
                <w:sz w:val="16"/>
                <w:szCs w:val="16"/>
              </w:rPr>
              <w:t>Instructions: Pleas</w:t>
            </w:r>
            <w:r>
              <w:rPr>
                <w:rFonts w:ascii="Optima" w:eastAsia="Times New Roman" w:hAnsi="Optima" w:cs="Calibri"/>
                <w:color w:val="000000"/>
                <w:sz w:val="16"/>
                <w:szCs w:val="16"/>
              </w:rPr>
              <w:t>e</w:t>
            </w:r>
            <w:r w:rsidRPr="00F4074A">
              <w:rPr>
                <w:rFonts w:ascii="Optima" w:eastAsia="Times New Roman" w:hAnsi="Optima" w:cs="Calibri"/>
                <w:color w:val="000000"/>
                <w:sz w:val="16"/>
                <w:szCs w:val="16"/>
              </w:rPr>
              <w:t xml:space="preserve"> </w:t>
            </w:r>
            <w:r>
              <w:rPr>
                <w:rFonts w:ascii="Optima" w:eastAsia="Times New Roman" w:hAnsi="Optima" w:cs="Calibri"/>
                <w:color w:val="000000"/>
                <w:sz w:val="16"/>
                <w:szCs w:val="16"/>
              </w:rPr>
              <w:t>c</w:t>
            </w:r>
            <w:r w:rsidRPr="00F4074A">
              <w:rPr>
                <w:rFonts w:ascii="Optima" w:eastAsia="Times New Roman" w:hAnsi="Optima" w:cs="Calibri"/>
                <w:color w:val="000000"/>
                <w:sz w:val="16"/>
                <w:szCs w:val="16"/>
              </w:rPr>
              <w:t>ircle the most accurate responses in the columns below. Please total the responses and enter this score in box 4. Then circle the corresponding low, medium, or high category in box 2. Remember that for questions 5-9 a score of "</w:t>
            </w:r>
            <w:r w:rsidRPr="00D95054">
              <w:rPr>
                <w:rFonts w:ascii="Optima" w:eastAsia="Times New Roman" w:hAnsi="Optima" w:cs="Calibri"/>
                <w:color w:val="000000" w:themeColor="text1"/>
                <w:sz w:val="16"/>
                <w:szCs w:val="16"/>
              </w:rPr>
              <w:t>Hi</w:t>
            </w:r>
            <w:r w:rsidRPr="00F4074A">
              <w:rPr>
                <w:rFonts w:ascii="Optima" w:eastAsia="Times New Roman" w:hAnsi="Optima" w:cs="Calibri"/>
                <w:color w:val="000000"/>
                <w:sz w:val="16"/>
                <w:szCs w:val="16"/>
              </w:rPr>
              <w:t>" on one or more questions will automatically result in a Support Level of "</w:t>
            </w:r>
            <w:r w:rsidRPr="00D95054">
              <w:rPr>
                <w:rFonts w:ascii="Optima" w:eastAsia="Times New Roman" w:hAnsi="Optima" w:cs="Calibri"/>
                <w:color w:val="C00000"/>
                <w:sz w:val="16"/>
                <w:szCs w:val="16"/>
              </w:rPr>
              <w:t>High</w:t>
            </w:r>
            <w:r w:rsidRPr="00F4074A">
              <w:rPr>
                <w:rFonts w:ascii="Optima" w:eastAsia="Times New Roman" w:hAnsi="Optima" w:cs="Calibri"/>
                <w:color w:val="000000"/>
                <w:sz w:val="16"/>
                <w:szCs w:val="16"/>
              </w:rPr>
              <w:t>" being indicated/circled in box 2.</w:t>
            </w:r>
          </w:p>
        </w:tc>
      </w:tr>
      <w:tr w:rsidR="00C7506A" w:rsidRPr="00EB0CF2" w14:paraId="30F0B212" w14:textId="77777777" w:rsidTr="00CA1889">
        <w:trPr>
          <w:trHeight w:val="199"/>
          <w:tblHeader/>
        </w:trPr>
        <w:tc>
          <w:tcPr>
            <w:tcW w:w="1812" w:type="dxa"/>
            <w:gridSpan w:val="4"/>
            <w:tcBorders>
              <w:top w:val="nil"/>
              <w:left w:val="nil"/>
              <w:bottom w:val="single" w:sz="4" w:space="0" w:color="auto"/>
              <w:right w:val="nil"/>
            </w:tcBorders>
            <w:shd w:val="clear" w:color="auto" w:fill="auto"/>
            <w:noWrap/>
            <w:hideMark/>
          </w:tcPr>
          <w:p w14:paraId="1FC8CA41"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Columns</w:t>
            </w:r>
          </w:p>
        </w:tc>
        <w:tc>
          <w:tcPr>
            <w:tcW w:w="8046" w:type="dxa"/>
            <w:gridSpan w:val="5"/>
            <w:tcBorders>
              <w:top w:val="nil"/>
              <w:left w:val="nil"/>
              <w:bottom w:val="nil"/>
              <w:right w:val="nil"/>
            </w:tcBorders>
            <w:shd w:val="clear" w:color="auto" w:fill="auto"/>
            <w:noWrap/>
            <w:hideMark/>
          </w:tcPr>
          <w:p w14:paraId="7503E18C"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p>
        </w:tc>
      </w:tr>
      <w:tr w:rsidR="00C7506A" w:rsidRPr="00EB0CF2" w14:paraId="04EE0AAD" w14:textId="77777777" w:rsidTr="00CA1889">
        <w:trPr>
          <w:trHeight w:val="207"/>
          <w:tblHeader/>
        </w:trPr>
        <w:tc>
          <w:tcPr>
            <w:tcW w:w="603" w:type="dxa"/>
            <w:tcBorders>
              <w:top w:val="single" w:sz="4" w:space="0" w:color="auto"/>
              <w:left w:val="single" w:sz="4" w:space="0" w:color="auto"/>
              <w:bottom w:val="nil"/>
              <w:right w:val="single" w:sz="4" w:space="0" w:color="auto"/>
            </w:tcBorders>
            <w:shd w:val="clear" w:color="auto" w:fill="auto"/>
            <w:noWrap/>
            <w:hideMark/>
          </w:tcPr>
          <w:p w14:paraId="1CEC19E8"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I.</w:t>
            </w:r>
          </w:p>
        </w:tc>
        <w:tc>
          <w:tcPr>
            <w:tcW w:w="603" w:type="dxa"/>
            <w:gridSpan w:val="2"/>
            <w:tcBorders>
              <w:top w:val="single" w:sz="4" w:space="0" w:color="auto"/>
              <w:left w:val="single" w:sz="4" w:space="0" w:color="auto"/>
              <w:bottom w:val="nil"/>
              <w:right w:val="single" w:sz="4" w:space="0" w:color="auto"/>
            </w:tcBorders>
            <w:shd w:val="clear" w:color="auto" w:fill="auto"/>
            <w:noWrap/>
            <w:hideMark/>
          </w:tcPr>
          <w:p w14:paraId="28AAAA0E"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II.</w:t>
            </w:r>
          </w:p>
        </w:tc>
        <w:tc>
          <w:tcPr>
            <w:tcW w:w="606" w:type="dxa"/>
            <w:tcBorders>
              <w:top w:val="single" w:sz="4" w:space="0" w:color="auto"/>
              <w:left w:val="single" w:sz="4" w:space="0" w:color="auto"/>
              <w:bottom w:val="nil"/>
              <w:right w:val="single" w:sz="4" w:space="0" w:color="auto"/>
            </w:tcBorders>
            <w:shd w:val="clear" w:color="auto" w:fill="auto"/>
            <w:noWrap/>
            <w:hideMark/>
          </w:tcPr>
          <w:p w14:paraId="364AAD95"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III.</w:t>
            </w:r>
          </w:p>
        </w:tc>
        <w:tc>
          <w:tcPr>
            <w:tcW w:w="8046" w:type="dxa"/>
            <w:gridSpan w:val="5"/>
            <w:tcBorders>
              <w:top w:val="nil"/>
              <w:left w:val="single" w:sz="4" w:space="0" w:color="auto"/>
              <w:bottom w:val="nil"/>
              <w:right w:val="nil"/>
            </w:tcBorders>
            <w:shd w:val="clear" w:color="auto" w:fill="auto"/>
            <w:noWrap/>
            <w:hideMark/>
          </w:tcPr>
          <w:p w14:paraId="69F20671"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p>
        </w:tc>
      </w:tr>
      <w:tr w:rsidR="00C7506A" w:rsidRPr="00EB0CF2" w14:paraId="6C53E395" w14:textId="77777777" w:rsidTr="00CA1889">
        <w:trPr>
          <w:trHeight w:val="207"/>
          <w:tblHeader/>
        </w:trPr>
        <w:tc>
          <w:tcPr>
            <w:tcW w:w="1812" w:type="dxa"/>
            <w:gridSpan w:val="4"/>
            <w:tcBorders>
              <w:top w:val="single" w:sz="8" w:space="0" w:color="auto"/>
              <w:left w:val="single" w:sz="8" w:space="0" w:color="auto"/>
              <w:bottom w:val="single" w:sz="4" w:space="0" w:color="auto"/>
              <w:right w:val="single" w:sz="4" w:space="0" w:color="000000"/>
            </w:tcBorders>
            <w:shd w:val="clear" w:color="auto" w:fill="auto"/>
            <w:noWrap/>
            <w:hideMark/>
          </w:tcPr>
          <w:p w14:paraId="3B1C385C"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Circle One</w:t>
            </w:r>
          </w:p>
        </w:tc>
        <w:tc>
          <w:tcPr>
            <w:tcW w:w="8046" w:type="dxa"/>
            <w:gridSpan w:val="5"/>
            <w:tcBorders>
              <w:top w:val="single" w:sz="8" w:space="0" w:color="auto"/>
              <w:left w:val="nil"/>
              <w:bottom w:val="single" w:sz="8" w:space="0" w:color="auto"/>
              <w:right w:val="single" w:sz="8" w:space="0" w:color="auto"/>
            </w:tcBorders>
            <w:shd w:val="clear" w:color="auto" w:fill="auto"/>
            <w:noWrap/>
            <w:hideMark/>
          </w:tcPr>
          <w:p w14:paraId="44AAED06" w14:textId="77777777" w:rsidR="00C7506A" w:rsidRPr="00EB0CF2" w:rsidRDefault="00C7506A" w:rsidP="00CA1889">
            <w:pPr>
              <w:spacing w:before="0" w:after="0" w:line="240" w:lineRule="auto"/>
              <w:rPr>
                <w:rFonts w:ascii="Optima" w:eastAsia="Times New Roman" w:hAnsi="Optima" w:cs="Calibri"/>
                <w:color w:val="000000"/>
                <w:sz w:val="18"/>
                <w:szCs w:val="18"/>
              </w:rPr>
            </w:pPr>
            <w:r w:rsidRPr="00EB0CF2">
              <w:rPr>
                <w:rFonts w:ascii="Optima" w:eastAsia="Times New Roman" w:hAnsi="Optima" w:cs="Calibri"/>
                <w:color w:val="000000"/>
                <w:sz w:val="18"/>
                <w:szCs w:val="18"/>
              </w:rPr>
              <w:t> </w:t>
            </w:r>
          </w:p>
        </w:tc>
      </w:tr>
      <w:tr w:rsidR="00C7506A" w:rsidRPr="00EB0CF2" w14:paraId="6460B4A4"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694EB440"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0B65F576"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 </w:t>
            </w:r>
          </w:p>
        </w:tc>
        <w:tc>
          <w:tcPr>
            <w:tcW w:w="606" w:type="dxa"/>
            <w:tcBorders>
              <w:top w:val="nil"/>
              <w:left w:val="nil"/>
              <w:bottom w:val="nil"/>
              <w:right w:val="single" w:sz="8" w:space="0" w:color="auto"/>
            </w:tcBorders>
            <w:shd w:val="clear" w:color="000000" w:fill="FADBD3"/>
            <w:noWrap/>
            <w:hideMark/>
          </w:tcPr>
          <w:p w14:paraId="61866D28"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7D1687B2"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 Sensory Functioning (Vision / Hearing)</w:t>
            </w:r>
          </w:p>
        </w:tc>
      </w:tr>
      <w:tr w:rsidR="00C7506A" w:rsidRPr="00EB0CF2" w14:paraId="5C30CC55"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6CFEF6E1"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left w:val="nil"/>
              <w:bottom w:val="nil"/>
              <w:right w:val="single" w:sz="4" w:space="0" w:color="auto"/>
            </w:tcBorders>
            <w:shd w:val="clear" w:color="auto" w:fill="auto"/>
            <w:noWrap/>
            <w:hideMark/>
          </w:tcPr>
          <w:p w14:paraId="0C5206E2"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left w:val="nil"/>
              <w:bottom w:val="nil"/>
              <w:right w:val="single" w:sz="8" w:space="0" w:color="auto"/>
            </w:tcBorders>
            <w:shd w:val="clear" w:color="000000" w:fill="FADBD3"/>
            <w:noWrap/>
            <w:hideMark/>
          </w:tcPr>
          <w:p w14:paraId="41DECA5E"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1B064FD1"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No Sensory Impairment.</w:t>
            </w:r>
          </w:p>
        </w:tc>
      </w:tr>
      <w:tr w:rsidR="00C7506A" w:rsidRPr="00EB0CF2" w14:paraId="3525D58D"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571BB6B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5D3C67A9"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2</w:t>
            </w:r>
          </w:p>
        </w:tc>
        <w:tc>
          <w:tcPr>
            <w:tcW w:w="606" w:type="dxa"/>
            <w:tcBorders>
              <w:top w:val="nil"/>
              <w:left w:val="nil"/>
              <w:bottom w:val="nil"/>
              <w:right w:val="single" w:sz="8" w:space="0" w:color="auto"/>
            </w:tcBorders>
            <w:shd w:val="clear" w:color="000000" w:fill="FADBD3"/>
            <w:noWrap/>
            <w:hideMark/>
          </w:tcPr>
          <w:p w14:paraId="7161A38C"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49CC13F1"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Impairment is corrected with glasses or hearing aid.</w:t>
            </w:r>
          </w:p>
        </w:tc>
      </w:tr>
      <w:tr w:rsidR="00C7506A" w:rsidRPr="00EB0CF2" w14:paraId="0D9170B3"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077E4344"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11E72E4B"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6CE7BBA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3</w:t>
            </w:r>
          </w:p>
        </w:tc>
        <w:tc>
          <w:tcPr>
            <w:tcW w:w="8046" w:type="dxa"/>
            <w:gridSpan w:val="5"/>
            <w:tcBorders>
              <w:top w:val="nil"/>
              <w:left w:val="nil"/>
              <w:bottom w:val="single" w:sz="8" w:space="0" w:color="auto"/>
              <w:right w:val="single" w:sz="8" w:space="0" w:color="auto"/>
            </w:tcBorders>
            <w:shd w:val="clear" w:color="auto" w:fill="auto"/>
            <w:noWrap/>
            <w:hideMark/>
          </w:tcPr>
          <w:p w14:paraId="1115D4CD"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Impairment is not correctable.</w:t>
            </w:r>
          </w:p>
        </w:tc>
      </w:tr>
      <w:tr w:rsidR="00C7506A" w:rsidRPr="00EB0CF2" w14:paraId="596569C6"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1F9D4DA9"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70B8FC92"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03BE6561"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3A43E2ED"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2. Language and Communication</w:t>
            </w:r>
          </w:p>
        </w:tc>
      </w:tr>
      <w:tr w:rsidR="00C7506A" w:rsidRPr="00EB0CF2" w14:paraId="2600D8E0"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2297BC4E"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top w:val="nil"/>
              <w:left w:val="nil"/>
              <w:bottom w:val="nil"/>
              <w:right w:val="single" w:sz="4" w:space="0" w:color="auto"/>
            </w:tcBorders>
            <w:shd w:val="clear" w:color="auto" w:fill="auto"/>
            <w:noWrap/>
            <w:hideMark/>
          </w:tcPr>
          <w:p w14:paraId="321FBAFA"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0654DCF8"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00ADC8E6"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Able to use intelligible speech to communicate; usually in sentences.</w:t>
            </w:r>
          </w:p>
        </w:tc>
      </w:tr>
      <w:tr w:rsidR="00C7506A" w:rsidRPr="00EB0CF2" w14:paraId="67F51D2C"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098CE17F"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7CB3752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5</w:t>
            </w:r>
          </w:p>
        </w:tc>
        <w:tc>
          <w:tcPr>
            <w:tcW w:w="606" w:type="dxa"/>
            <w:tcBorders>
              <w:top w:val="nil"/>
              <w:left w:val="nil"/>
              <w:bottom w:val="nil"/>
              <w:right w:val="single" w:sz="8" w:space="0" w:color="auto"/>
            </w:tcBorders>
            <w:shd w:val="clear" w:color="000000" w:fill="FADBD3"/>
            <w:noWrap/>
            <w:hideMark/>
          </w:tcPr>
          <w:p w14:paraId="0BA146B9"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4522ED44"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Communicates verbally using a few words and/or short phrases.</w:t>
            </w:r>
          </w:p>
        </w:tc>
      </w:tr>
      <w:tr w:rsidR="00C7506A" w:rsidRPr="00EB0CF2" w14:paraId="0AEDB9A5"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416D0829"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0EDEEB4F"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18F5E415"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9</w:t>
            </w:r>
          </w:p>
        </w:tc>
        <w:tc>
          <w:tcPr>
            <w:tcW w:w="8046" w:type="dxa"/>
            <w:gridSpan w:val="5"/>
            <w:tcBorders>
              <w:top w:val="nil"/>
              <w:left w:val="nil"/>
              <w:bottom w:val="single" w:sz="8" w:space="0" w:color="auto"/>
              <w:right w:val="single" w:sz="8" w:space="0" w:color="auto"/>
            </w:tcBorders>
            <w:shd w:val="clear" w:color="auto" w:fill="auto"/>
            <w:noWrap/>
            <w:hideMark/>
          </w:tcPr>
          <w:p w14:paraId="2C3BBDD1"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Communicates using an augmen</w:t>
            </w:r>
            <w:r>
              <w:rPr>
                <w:rFonts w:ascii="Optima" w:eastAsia="Times New Roman" w:hAnsi="Optima" w:cs="Calibri"/>
                <w:color w:val="000000"/>
                <w:sz w:val="18"/>
                <w:szCs w:val="18"/>
              </w:rPr>
              <w:t>ta</w:t>
            </w:r>
            <w:r w:rsidRPr="00EB0CF2">
              <w:rPr>
                <w:rFonts w:ascii="Optima" w:eastAsia="Times New Roman" w:hAnsi="Optima" w:cs="Calibri"/>
                <w:color w:val="000000"/>
                <w:sz w:val="18"/>
                <w:szCs w:val="18"/>
              </w:rPr>
              <w:t>tive system or has no formal system of communication.</w:t>
            </w:r>
          </w:p>
        </w:tc>
      </w:tr>
      <w:tr w:rsidR="00C7506A" w:rsidRPr="00EB0CF2" w14:paraId="24674254"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5CF7A3B1"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234F9259"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3EAE1A07"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38295323"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3. Ability to Read and Write</w:t>
            </w:r>
          </w:p>
        </w:tc>
      </w:tr>
      <w:tr w:rsidR="00C7506A" w:rsidRPr="00EB0CF2" w14:paraId="1AE9BF02"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28685779"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top w:val="nil"/>
              <w:left w:val="nil"/>
              <w:bottom w:val="nil"/>
              <w:right w:val="single" w:sz="4" w:space="0" w:color="auto"/>
            </w:tcBorders>
            <w:shd w:val="clear" w:color="auto" w:fill="auto"/>
            <w:noWrap/>
            <w:hideMark/>
          </w:tcPr>
          <w:p w14:paraId="45F09752"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39EA00E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61307447"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Reads and writes or uses alternative system (e.g.</w:t>
            </w:r>
            <w:r>
              <w:rPr>
                <w:rFonts w:ascii="Optima" w:eastAsia="Times New Roman" w:hAnsi="Optima" w:cs="Calibri"/>
                <w:color w:val="000000"/>
                <w:sz w:val="18"/>
                <w:szCs w:val="18"/>
              </w:rPr>
              <w:t>,</w:t>
            </w:r>
            <w:r w:rsidRPr="00EB0CF2">
              <w:rPr>
                <w:rFonts w:ascii="Optima" w:eastAsia="Times New Roman" w:hAnsi="Optima" w:cs="Calibri"/>
                <w:color w:val="000000"/>
                <w:sz w:val="18"/>
                <w:szCs w:val="18"/>
              </w:rPr>
              <w:t xml:space="preserve"> Braille, large print).</w:t>
            </w:r>
          </w:p>
        </w:tc>
      </w:tr>
      <w:tr w:rsidR="00C7506A" w:rsidRPr="00EB0CF2" w14:paraId="350C034F"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145162D5"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11493436"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2</w:t>
            </w:r>
          </w:p>
        </w:tc>
        <w:tc>
          <w:tcPr>
            <w:tcW w:w="606" w:type="dxa"/>
            <w:tcBorders>
              <w:top w:val="nil"/>
              <w:left w:val="nil"/>
              <w:bottom w:val="nil"/>
              <w:right w:val="single" w:sz="8" w:space="0" w:color="auto"/>
            </w:tcBorders>
            <w:shd w:val="clear" w:color="000000" w:fill="FADBD3"/>
            <w:noWrap/>
            <w:hideMark/>
          </w:tcPr>
          <w:p w14:paraId="4064C34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74A33A99"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Reads and writes single words or simple phrases used in daily activities.</w:t>
            </w:r>
          </w:p>
        </w:tc>
      </w:tr>
      <w:tr w:rsidR="00C7506A" w:rsidRPr="00EB0CF2" w14:paraId="04F5556E"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28E7ADC4"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5B01F74B"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7578CFD6"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3</w:t>
            </w:r>
          </w:p>
        </w:tc>
        <w:tc>
          <w:tcPr>
            <w:tcW w:w="8046" w:type="dxa"/>
            <w:gridSpan w:val="5"/>
            <w:tcBorders>
              <w:top w:val="nil"/>
              <w:left w:val="nil"/>
              <w:bottom w:val="single" w:sz="8" w:space="0" w:color="auto"/>
              <w:right w:val="single" w:sz="8" w:space="0" w:color="auto"/>
            </w:tcBorders>
            <w:shd w:val="clear" w:color="auto" w:fill="auto"/>
            <w:noWrap/>
            <w:hideMark/>
          </w:tcPr>
          <w:p w14:paraId="36CA2B8B"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Does not read or write.</w:t>
            </w:r>
          </w:p>
        </w:tc>
      </w:tr>
      <w:tr w:rsidR="00C7506A" w:rsidRPr="00EB0CF2" w14:paraId="0AD7EF85"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52DB1FF2"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3B656F97"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3D76C42E"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1050E7C3"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4. Community Travel</w:t>
            </w:r>
          </w:p>
        </w:tc>
      </w:tr>
      <w:tr w:rsidR="00C7506A" w:rsidRPr="00EB0CF2" w14:paraId="2C6231C6"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190C8654"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top w:val="nil"/>
              <w:left w:val="nil"/>
              <w:bottom w:val="nil"/>
              <w:right w:val="single" w:sz="4" w:space="0" w:color="auto"/>
            </w:tcBorders>
            <w:shd w:val="clear" w:color="auto" w:fill="auto"/>
            <w:noWrap/>
            <w:hideMark/>
          </w:tcPr>
          <w:p w14:paraId="108A0329"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19A7E9AE"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59BC6B03"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Can drive or use public transportation without training or assistance.</w:t>
            </w:r>
          </w:p>
        </w:tc>
      </w:tr>
      <w:tr w:rsidR="00C7506A" w:rsidRPr="00EB0CF2" w14:paraId="656DCB0A"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4E1C510B"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2F5E0437"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2</w:t>
            </w:r>
          </w:p>
        </w:tc>
        <w:tc>
          <w:tcPr>
            <w:tcW w:w="606" w:type="dxa"/>
            <w:tcBorders>
              <w:top w:val="nil"/>
              <w:left w:val="nil"/>
              <w:bottom w:val="nil"/>
              <w:right w:val="single" w:sz="8" w:space="0" w:color="auto"/>
            </w:tcBorders>
            <w:shd w:val="clear" w:color="000000" w:fill="FADBD3"/>
            <w:noWrap/>
            <w:hideMark/>
          </w:tcPr>
          <w:p w14:paraId="44D4771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25E88CC9"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Accesses community with training and/or some assistance.</w:t>
            </w:r>
          </w:p>
        </w:tc>
      </w:tr>
      <w:tr w:rsidR="00C7506A" w:rsidRPr="00EB0CF2" w14:paraId="698F57EE"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40133E89"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3D52E9EF" w14:textId="77777777" w:rsidR="00C7506A" w:rsidRPr="00EB0CF2" w:rsidRDefault="00C7506A" w:rsidP="00CA1889">
            <w:pPr>
              <w:spacing w:before="0" w:after="0" w:line="240" w:lineRule="auto"/>
              <w:jc w:val="center"/>
              <w:rPr>
                <w:rFonts w:ascii="Optima" w:eastAsia="Times New Roman" w:hAnsi="Optima" w:cs="Calibri"/>
                <w:color w:val="000000"/>
                <w:sz w:val="18"/>
                <w:szCs w:val="18"/>
              </w:rPr>
            </w:pPr>
            <w:r w:rsidRPr="00EB0CF2">
              <w:rPr>
                <w:rFonts w:ascii="Optima" w:eastAsia="Times New Roman" w:hAnsi="Optima" w:cs="Calibri"/>
                <w:color w:val="000000"/>
                <w:sz w:val="18"/>
                <w:szCs w:val="18"/>
              </w:rPr>
              <w:t> </w:t>
            </w:r>
          </w:p>
        </w:tc>
        <w:tc>
          <w:tcPr>
            <w:tcW w:w="606" w:type="dxa"/>
            <w:tcBorders>
              <w:top w:val="nil"/>
              <w:left w:val="nil"/>
              <w:bottom w:val="nil"/>
              <w:right w:val="single" w:sz="8" w:space="0" w:color="auto"/>
            </w:tcBorders>
            <w:shd w:val="clear" w:color="000000" w:fill="FADBD3"/>
            <w:noWrap/>
            <w:hideMark/>
          </w:tcPr>
          <w:p w14:paraId="30E53956"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3</w:t>
            </w:r>
          </w:p>
        </w:tc>
        <w:tc>
          <w:tcPr>
            <w:tcW w:w="8046" w:type="dxa"/>
            <w:gridSpan w:val="5"/>
            <w:tcBorders>
              <w:top w:val="nil"/>
              <w:left w:val="nil"/>
              <w:bottom w:val="nil"/>
              <w:right w:val="single" w:sz="8" w:space="0" w:color="auto"/>
            </w:tcBorders>
            <w:shd w:val="clear" w:color="auto" w:fill="auto"/>
            <w:noWrap/>
            <w:hideMark/>
          </w:tcPr>
          <w:p w14:paraId="64D564F8"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Always requires assistance/supervision from other to access community.</w:t>
            </w:r>
          </w:p>
        </w:tc>
      </w:tr>
      <w:tr w:rsidR="00C7506A" w:rsidRPr="00EB0CF2" w14:paraId="519D0A87" w14:textId="77777777" w:rsidTr="00CA1889">
        <w:trPr>
          <w:trHeight w:val="207"/>
          <w:tblHeader/>
        </w:trPr>
        <w:tc>
          <w:tcPr>
            <w:tcW w:w="9858" w:type="dxa"/>
            <w:gridSpan w:val="9"/>
            <w:tcBorders>
              <w:top w:val="single" w:sz="8" w:space="0" w:color="auto"/>
              <w:left w:val="single" w:sz="8" w:space="0" w:color="auto"/>
              <w:bottom w:val="single" w:sz="8" w:space="0" w:color="auto"/>
              <w:right w:val="single" w:sz="8" w:space="0" w:color="auto"/>
            </w:tcBorders>
            <w:shd w:val="clear" w:color="auto" w:fill="auto"/>
            <w:noWrap/>
            <w:hideMark/>
          </w:tcPr>
          <w:p w14:paraId="3B2D3D7F" w14:textId="77777777" w:rsidR="00C7506A" w:rsidRPr="00EB0CF2" w:rsidRDefault="00C7506A" w:rsidP="00CA1889">
            <w:pPr>
              <w:spacing w:before="40" w:after="40" w:line="240" w:lineRule="auto"/>
              <w:ind w:firstLineChars="100" w:firstLine="181"/>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A rating in the third column for factors listed below, automatically results in Support Level rating of Hi</w:t>
            </w:r>
          </w:p>
        </w:tc>
      </w:tr>
      <w:tr w:rsidR="00C7506A" w:rsidRPr="00EB0CF2" w14:paraId="7D552502"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10A9AB45"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581C41D1"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4F15E144"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156FCE97"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5. Medical</w:t>
            </w:r>
          </w:p>
        </w:tc>
      </w:tr>
      <w:tr w:rsidR="00C7506A" w:rsidRPr="00EB0CF2" w14:paraId="3A00538B"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4679B9BC"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top w:val="nil"/>
              <w:left w:val="nil"/>
              <w:bottom w:val="nil"/>
              <w:right w:val="single" w:sz="4" w:space="0" w:color="auto"/>
            </w:tcBorders>
            <w:shd w:val="clear" w:color="auto" w:fill="auto"/>
            <w:noWrap/>
            <w:hideMark/>
          </w:tcPr>
          <w:p w14:paraId="46D72C73"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47D118BC"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3BAEBFC9"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No current medical needs, or manages current medical needs without assistance.</w:t>
            </w:r>
          </w:p>
        </w:tc>
      </w:tr>
      <w:tr w:rsidR="00C7506A" w:rsidRPr="00EB0CF2" w14:paraId="3A578D10"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3991C6F3"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288A2EBF"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5</w:t>
            </w:r>
          </w:p>
        </w:tc>
        <w:tc>
          <w:tcPr>
            <w:tcW w:w="606" w:type="dxa"/>
            <w:tcBorders>
              <w:top w:val="nil"/>
              <w:left w:val="nil"/>
              <w:bottom w:val="nil"/>
              <w:right w:val="single" w:sz="8" w:space="0" w:color="auto"/>
            </w:tcBorders>
            <w:shd w:val="clear" w:color="000000" w:fill="FADBD3"/>
            <w:noWrap/>
            <w:hideMark/>
          </w:tcPr>
          <w:p w14:paraId="58302064"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49576F59" w14:textId="77777777" w:rsidR="00C7506A" w:rsidRPr="00EB0CF2" w:rsidRDefault="00C7506A" w:rsidP="00CA1889">
            <w:pPr>
              <w:spacing w:before="0" w:after="0" w:line="240" w:lineRule="auto"/>
              <w:ind w:left="392"/>
              <w:rPr>
                <w:rFonts w:ascii="Optima" w:eastAsia="Times New Roman" w:hAnsi="Optima" w:cs="Calibri"/>
                <w:color w:val="000000"/>
                <w:sz w:val="18"/>
                <w:szCs w:val="18"/>
              </w:rPr>
            </w:pPr>
            <w:r w:rsidRPr="00EB0CF2">
              <w:rPr>
                <w:rFonts w:ascii="Optima" w:eastAsia="Times New Roman" w:hAnsi="Optima" w:cs="Calibri"/>
                <w:color w:val="000000"/>
                <w:sz w:val="18"/>
                <w:szCs w:val="18"/>
              </w:rPr>
              <w:t>Current medical needs can be managed with intermittent assistance by non-medical staff.</w:t>
            </w:r>
          </w:p>
        </w:tc>
      </w:tr>
      <w:tr w:rsidR="00C7506A" w:rsidRPr="00EB0CF2" w14:paraId="4D573464"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4BCB6F96"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56849FFD"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38FA863A"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Hi</w:t>
            </w:r>
          </w:p>
        </w:tc>
        <w:tc>
          <w:tcPr>
            <w:tcW w:w="8046" w:type="dxa"/>
            <w:gridSpan w:val="5"/>
            <w:tcBorders>
              <w:top w:val="nil"/>
              <w:left w:val="nil"/>
              <w:bottom w:val="single" w:sz="8" w:space="0" w:color="auto"/>
              <w:right w:val="single" w:sz="8" w:space="0" w:color="auto"/>
            </w:tcBorders>
            <w:shd w:val="clear" w:color="auto" w:fill="auto"/>
            <w:noWrap/>
            <w:hideMark/>
          </w:tcPr>
          <w:p w14:paraId="7DFC2653"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Is Medically fragile and requires staff available at all times.</w:t>
            </w:r>
          </w:p>
        </w:tc>
      </w:tr>
      <w:tr w:rsidR="00C7506A" w:rsidRPr="00EB0CF2" w14:paraId="75E94F4D"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2581AC15"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7AB36D9A"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5080B431"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748D9064"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6. Mobility and Personal Care</w:t>
            </w:r>
          </w:p>
        </w:tc>
      </w:tr>
      <w:tr w:rsidR="00C7506A" w:rsidRPr="00EB0CF2" w14:paraId="610FAAA6"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12942A4C"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top w:val="nil"/>
              <w:left w:val="nil"/>
              <w:bottom w:val="nil"/>
              <w:right w:val="single" w:sz="4" w:space="0" w:color="auto"/>
            </w:tcBorders>
            <w:shd w:val="clear" w:color="auto" w:fill="auto"/>
            <w:noWrap/>
            <w:hideMark/>
          </w:tcPr>
          <w:p w14:paraId="592759AF"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55A871A1"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3A1C0C46"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Ambulatory without assistance.</w:t>
            </w:r>
          </w:p>
        </w:tc>
      </w:tr>
      <w:tr w:rsidR="00C7506A" w:rsidRPr="00EB0CF2" w14:paraId="188189A6"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31129E9D"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325BADA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5</w:t>
            </w:r>
          </w:p>
        </w:tc>
        <w:tc>
          <w:tcPr>
            <w:tcW w:w="606" w:type="dxa"/>
            <w:tcBorders>
              <w:top w:val="nil"/>
              <w:left w:val="nil"/>
              <w:bottom w:val="nil"/>
              <w:right w:val="single" w:sz="8" w:space="0" w:color="auto"/>
            </w:tcBorders>
            <w:shd w:val="clear" w:color="000000" w:fill="FADBD3"/>
            <w:noWrap/>
            <w:hideMark/>
          </w:tcPr>
          <w:p w14:paraId="02209CA2"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3825AD99"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Ambulatory with adaptive aides/occasional staff help. Or, requires regular help w/personal care.</w:t>
            </w:r>
          </w:p>
        </w:tc>
      </w:tr>
      <w:tr w:rsidR="00C7506A" w:rsidRPr="00EB0CF2" w14:paraId="2E079BB7"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3C8A5F3A"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2373F735"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32DF7C81"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Hi</w:t>
            </w:r>
          </w:p>
        </w:tc>
        <w:tc>
          <w:tcPr>
            <w:tcW w:w="8046" w:type="dxa"/>
            <w:gridSpan w:val="5"/>
            <w:tcBorders>
              <w:top w:val="nil"/>
              <w:left w:val="nil"/>
              <w:bottom w:val="single" w:sz="8" w:space="0" w:color="auto"/>
              <w:right w:val="single" w:sz="8" w:space="0" w:color="auto"/>
            </w:tcBorders>
            <w:shd w:val="clear" w:color="auto" w:fill="auto"/>
            <w:noWrap/>
            <w:hideMark/>
          </w:tcPr>
          <w:p w14:paraId="42B828F2"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Unable to ambulate independently and requires continuous assistance.</w:t>
            </w:r>
          </w:p>
        </w:tc>
      </w:tr>
      <w:tr w:rsidR="00C7506A" w:rsidRPr="00EB0CF2" w14:paraId="4B17891C"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74ED801D"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5658C10F"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25F34547"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00B56CB2"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7. Skills Development</w:t>
            </w:r>
          </w:p>
        </w:tc>
      </w:tr>
      <w:tr w:rsidR="00C7506A" w:rsidRPr="00EB0CF2" w14:paraId="207F9620"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60F3C399"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top w:val="nil"/>
              <w:left w:val="nil"/>
              <w:bottom w:val="nil"/>
              <w:right w:val="single" w:sz="4" w:space="0" w:color="auto"/>
            </w:tcBorders>
            <w:shd w:val="clear" w:color="auto" w:fill="auto"/>
            <w:noWrap/>
            <w:hideMark/>
          </w:tcPr>
          <w:p w14:paraId="02A3B461"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5D4BA103"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396CDDA3"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Can master complex skills independently (e.g., 10 or more steps).</w:t>
            </w:r>
          </w:p>
        </w:tc>
      </w:tr>
      <w:tr w:rsidR="00C7506A" w:rsidRPr="00EB0CF2" w14:paraId="011DC564"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59AF1048"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2C107F03"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5</w:t>
            </w:r>
          </w:p>
        </w:tc>
        <w:tc>
          <w:tcPr>
            <w:tcW w:w="606" w:type="dxa"/>
            <w:tcBorders>
              <w:top w:val="nil"/>
              <w:left w:val="nil"/>
              <w:bottom w:val="nil"/>
              <w:right w:val="single" w:sz="8" w:space="0" w:color="auto"/>
            </w:tcBorders>
            <w:shd w:val="clear" w:color="000000" w:fill="FADBD3"/>
            <w:noWrap/>
            <w:hideMark/>
          </w:tcPr>
          <w:p w14:paraId="0FE55C4D"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6D12B104"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Can master tasks and routines with intensive training.</w:t>
            </w:r>
          </w:p>
        </w:tc>
      </w:tr>
      <w:tr w:rsidR="00C7506A" w:rsidRPr="00EB0CF2" w14:paraId="153E5E9C"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6E2A4632"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66D3E732"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6A595848"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Hi</w:t>
            </w:r>
          </w:p>
        </w:tc>
        <w:tc>
          <w:tcPr>
            <w:tcW w:w="8046" w:type="dxa"/>
            <w:gridSpan w:val="5"/>
            <w:tcBorders>
              <w:top w:val="nil"/>
              <w:left w:val="nil"/>
              <w:bottom w:val="single" w:sz="8" w:space="0" w:color="auto"/>
              <w:right w:val="single" w:sz="8" w:space="0" w:color="auto"/>
            </w:tcBorders>
            <w:shd w:val="clear" w:color="auto" w:fill="auto"/>
            <w:noWrap/>
            <w:hideMark/>
          </w:tcPr>
          <w:p w14:paraId="009CAA50"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Currently requires assistance to complete majority of tasks.</w:t>
            </w:r>
          </w:p>
        </w:tc>
      </w:tr>
      <w:tr w:rsidR="00C7506A" w:rsidRPr="00EB0CF2" w14:paraId="4815E8E3"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14C04C36"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303861D0"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7E0D2E81"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5ABE0D6D"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8. Adaptive Devices</w:t>
            </w:r>
          </w:p>
        </w:tc>
      </w:tr>
      <w:tr w:rsidR="00C7506A" w:rsidRPr="00EB0CF2" w14:paraId="4EDBF621"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0B942196"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top w:val="nil"/>
              <w:left w:val="nil"/>
              <w:bottom w:val="nil"/>
              <w:right w:val="single" w:sz="4" w:space="0" w:color="auto"/>
            </w:tcBorders>
            <w:shd w:val="clear" w:color="auto" w:fill="auto"/>
            <w:noWrap/>
            <w:hideMark/>
          </w:tcPr>
          <w:p w14:paraId="4CD93828"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444C2701"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38812E5A"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Does not require any job adaptions.</w:t>
            </w:r>
          </w:p>
        </w:tc>
      </w:tr>
      <w:tr w:rsidR="00C7506A" w:rsidRPr="00EB0CF2" w14:paraId="36F8E6AF"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677E3C1C"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70D4DC21"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12</w:t>
            </w:r>
          </w:p>
        </w:tc>
        <w:tc>
          <w:tcPr>
            <w:tcW w:w="606" w:type="dxa"/>
            <w:tcBorders>
              <w:top w:val="nil"/>
              <w:left w:val="nil"/>
              <w:bottom w:val="nil"/>
              <w:right w:val="single" w:sz="8" w:space="0" w:color="auto"/>
            </w:tcBorders>
            <w:shd w:val="clear" w:color="000000" w:fill="FADBD3"/>
            <w:noWrap/>
            <w:hideMark/>
          </w:tcPr>
          <w:p w14:paraId="310DD5A6"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7ACA1E4A"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Able to work independently with adaptive equipment (e.g., jigs, etc.)</w:t>
            </w:r>
          </w:p>
        </w:tc>
      </w:tr>
      <w:tr w:rsidR="00C7506A" w:rsidRPr="00EB0CF2" w14:paraId="273E4559" w14:textId="77777777" w:rsidTr="00CA1889">
        <w:trPr>
          <w:trHeight w:val="207"/>
          <w:tblHeader/>
        </w:trPr>
        <w:tc>
          <w:tcPr>
            <w:tcW w:w="603" w:type="dxa"/>
            <w:tcBorders>
              <w:top w:val="nil"/>
              <w:left w:val="single" w:sz="8" w:space="0" w:color="auto"/>
              <w:bottom w:val="nil"/>
              <w:right w:val="single" w:sz="4" w:space="0" w:color="auto"/>
            </w:tcBorders>
            <w:shd w:val="clear" w:color="000000" w:fill="FADBD3"/>
            <w:noWrap/>
            <w:hideMark/>
          </w:tcPr>
          <w:p w14:paraId="05B68D56"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4758D3D7"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nil"/>
              <w:right w:val="single" w:sz="8" w:space="0" w:color="auto"/>
            </w:tcBorders>
            <w:shd w:val="clear" w:color="000000" w:fill="FADBD3"/>
            <w:noWrap/>
            <w:hideMark/>
          </w:tcPr>
          <w:p w14:paraId="35C3B067"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Hi</w:t>
            </w:r>
          </w:p>
        </w:tc>
        <w:tc>
          <w:tcPr>
            <w:tcW w:w="8046" w:type="dxa"/>
            <w:gridSpan w:val="5"/>
            <w:tcBorders>
              <w:top w:val="nil"/>
              <w:left w:val="nil"/>
              <w:bottom w:val="single" w:sz="8" w:space="0" w:color="auto"/>
              <w:right w:val="single" w:sz="8" w:space="0" w:color="auto"/>
            </w:tcBorders>
            <w:shd w:val="clear" w:color="auto" w:fill="auto"/>
            <w:noWrap/>
            <w:hideMark/>
          </w:tcPr>
          <w:p w14:paraId="2F533C55"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Unable to work independently &amp; requires personal assistance to complete majority of tasks.</w:t>
            </w:r>
          </w:p>
        </w:tc>
      </w:tr>
      <w:tr w:rsidR="00C7506A" w:rsidRPr="00EB0CF2" w14:paraId="77160605" w14:textId="77777777" w:rsidTr="00CA1889">
        <w:trPr>
          <w:trHeight w:val="207"/>
          <w:tblHeader/>
        </w:trPr>
        <w:tc>
          <w:tcPr>
            <w:tcW w:w="603" w:type="dxa"/>
            <w:tcBorders>
              <w:top w:val="nil"/>
              <w:left w:val="single" w:sz="8" w:space="0" w:color="auto"/>
              <w:right w:val="single" w:sz="4" w:space="0" w:color="auto"/>
            </w:tcBorders>
            <w:shd w:val="clear" w:color="000000" w:fill="FADBD3"/>
            <w:noWrap/>
            <w:hideMark/>
          </w:tcPr>
          <w:p w14:paraId="1AF73137"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right w:val="single" w:sz="4" w:space="0" w:color="auto"/>
            </w:tcBorders>
            <w:shd w:val="clear" w:color="auto" w:fill="auto"/>
            <w:noWrap/>
            <w:hideMark/>
          </w:tcPr>
          <w:p w14:paraId="1827C235"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right w:val="single" w:sz="8" w:space="0" w:color="auto"/>
            </w:tcBorders>
            <w:shd w:val="clear" w:color="000000" w:fill="FADBD3"/>
            <w:noWrap/>
            <w:hideMark/>
          </w:tcPr>
          <w:p w14:paraId="485219B6"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single" w:sz="8" w:space="0" w:color="auto"/>
              <w:left w:val="nil"/>
              <w:right w:val="single" w:sz="8" w:space="0" w:color="auto"/>
            </w:tcBorders>
            <w:shd w:val="clear" w:color="auto" w:fill="auto"/>
            <w:noWrap/>
            <w:hideMark/>
          </w:tcPr>
          <w:p w14:paraId="10B12646" w14:textId="77777777" w:rsidR="00C7506A" w:rsidRPr="00EB0CF2" w:rsidRDefault="00C7506A" w:rsidP="00CA1889">
            <w:pPr>
              <w:spacing w:before="0" w:after="0" w:line="240" w:lineRule="auto"/>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9. Behavioral Support</w:t>
            </w:r>
          </w:p>
        </w:tc>
      </w:tr>
      <w:tr w:rsidR="00C7506A" w:rsidRPr="00EB0CF2" w14:paraId="4EDA761A" w14:textId="77777777" w:rsidTr="00CA1889">
        <w:trPr>
          <w:trHeight w:val="199"/>
          <w:tblHeader/>
        </w:trPr>
        <w:tc>
          <w:tcPr>
            <w:tcW w:w="603" w:type="dxa"/>
            <w:tcBorders>
              <w:left w:val="single" w:sz="8" w:space="0" w:color="auto"/>
              <w:bottom w:val="nil"/>
              <w:right w:val="single" w:sz="4" w:space="0" w:color="auto"/>
            </w:tcBorders>
            <w:shd w:val="clear" w:color="000000" w:fill="FADBD3"/>
            <w:noWrap/>
            <w:hideMark/>
          </w:tcPr>
          <w:p w14:paraId="22F1EFAB"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w:t>
            </w:r>
          </w:p>
        </w:tc>
        <w:tc>
          <w:tcPr>
            <w:tcW w:w="603" w:type="dxa"/>
            <w:gridSpan w:val="2"/>
            <w:tcBorders>
              <w:left w:val="nil"/>
              <w:bottom w:val="nil"/>
              <w:right w:val="single" w:sz="4" w:space="0" w:color="auto"/>
            </w:tcBorders>
            <w:shd w:val="clear" w:color="auto" w:fill="auto"/>
            <w:noWrap/>
            <w:hideMark/>
          </w:tcPr>
          <w:p w14:paraId="368444B8"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left w:val="nil"/>
              <w:bottom w:val="nil"/>
              <w:right w:val="single" w:sz="8" w:space="0" w:color="auto"/>
            </w:tcBorders>
            <w:shd w:val="clear" w:color="000000" w:fill="FADBD3"/>
            <w:noWrap/>
            <w:hideMark/>
          </w:tcPr>
          <w:p w14:paraId="0B4D1945"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left w:val="nil"/>
              <w:bottom w:val="nil"/>
              <w:right w:val="single" w:sz="8" w:space="0" w:color="auto"/>
            </w:tcBorders>
            <w:shd w:val="clear" w:color="auto" w:fill="auto"/>
            <w:noWrap/>
            <w:hideMark/>
          </w:tcPr>
          <w:p w14:paraId="27CF180D"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Able to work independently. Any interfering behaviors are redirectable by employer's staff.</w:t>
            </w:r>
          </w:p>
        </w:tc>
      </w:tr>
      <w:tr w:rsidR="00C7506A" w:rsidRPr="00EB0CF2" w14:paraId="6BC9FD5F" w14:textId="77777777" w:rsidTr="00CA1889">
        <w:trPr>
          <w:trHeight w:val="199"/>
          <w:tblHeader/>
        </w:trPr>
        <w:tc>
          <w:tcPr>
            <w:tcW w:w="603" w:type="dxa"/>
            <w:tcBorders>
              <w:top w:val="nil"/>
              <w:left w:val="single" w:sz="8" w:space="0" w:color="auto"/>
              <w:bottom w:val="nil"/>
              <w:right w:val="single" w:sz="4" w:space="0" w:color="auto"/>
            </w:tcBorders>
            <w:shd w:val="clear" w:color="000000" w:fill="FADBD3"/>
            <w:noWrap/>
            <w:hideMark/>
          </w:tcPr>
          <w:p w14:paraId="2DF192F2"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nil"/>
              <w:right w:val="single" w:sz="4" w:space="0" w:color="auto"/>
            </w:tcBorders>
            <w:shd w:val="clear" w:color="auto" w:fill="auto"/>
            <w:noWrap/>
            <w:hideMark/>
          </w:tcPr>
          <w:p w14:paraId="279F1D0A"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12</w:t>
            </w:r>
          </w:p>
        </w:tc>
        <w:tc>
          <w:tcPr>
            <w:tcW w:w="606" w:type="dxa"/>
            <w:tcBorders>
              <w:top w:val="nil"/>
              <w:left w:val="nil"/>
              <w:bottom w:val="nil"/>
              <w:right w:val="single" w:sz="8" w:space="0" w:color="auto"/>
            </w:tcBorders>
            <w:shd w:val="clear" w:color="000000" w:fill="FADBD3"/>
            <w:noWrap/>
            <w:hideMark/>
          </w:tcPr>
          <w:p w14:paraId="1E29DB48"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8046" w:type="dxa"/>
            <w:gridSpan w:val="5"/>
            <w:tcBorders>
              <w:top w:val="nil"/>
              <w:left w:val="nil"/>
              <w:bottom w:val="nil"/>
              <w:right w:val="single" w:sz="8" w:space="0" w:color="auto"/>
            </w:tcBorders>
            <w:shd w:val="clear" w:color="auto" w:fill="auto"/>
            <w:noWrap/>
            <w:hideMark/>
          </w:tcPr>
          <w:p w14:paraId="46CE1A0B" w14:textId="77777777" w:rsidR="00C7506A" w:rsidRPr="00EB0CF2" w:rsidRDefault="00C7506A" w:rsidP="00CA1889">
            <w:pPr>
              <w:spacing w:before="0" w:after="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Able to work independently with intermittent intervention from CMH network staff.</w:t>
            </w:r>
          </w:p>
        </w:tc>
      </w:tr>
      <w:tr w:rsidR="00C7506A" w:rsidRPr="00EB0CF2" w14:paraId="37E256B8" w14:textId="77777777" w:rsidTr="00CA1889">
        <w:trPr>
          <w:trHeight w:val="199"/>
          <w:tblHeader/>
        </w:trPr>
        <w:tc>
          <w:tcPr>
            <w:tcW w:w="603" w:type="dxa"/>
            <w:tcBorders>
              <w:top w:val="nil"/>
              <w:left w:val="single" w:sz="8" w:space="0" w:color="auto"/>
              <w:bottom w:val="single" w:sz="4" w:space="0" w:color="auto"/>
              <w:right w:val="single" w:sz="4" w:space="0" w:color="auto"/>
            </w:tcBorders>
            <w:shd w:val="clear" w:color="000000" w:fill="FADBD3"/>
            <w:noWrap/>
            <w:hideMark/>
          </w:tcPr>
          <w:p w14:paraId="3F0A1C8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3" w:type="dxa"/>
            <w:gridSpan w:val="2"/>
            <w:tcBorders>
              <w:top w:val="nil"/>
              <w:left w:val="nil"/>
              <w:bottom w:val="single" w:sz="4" w:space="0" w:color="auto"/>
              <w:right w:val="single" w:sz="4" w:space="0" w:color="auto"/>
            </w:tcBorders>
            <w:shd w:val="clear" w:color="auto" w:fill="auto"/>
            <w:noWrap/>
            <w:hideMark/>
          </w:tcPr>
          <w:p w14:paraId="01F41F10" w14:textId="77777777" w:rsidR="00C7506A" w:rsidRPr="00EB0CF2" w:rsidRDefault="00C7506A" w:rsidP="00CA1889">
            <w:pPr>
              <w:spacing w:before="0" w:after="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 </w:t>
            </w:r>
          </w:p>
        </w:tc>
        <w:tc>
          <w:tcPr>
            <w:tcW w:w="606" w:type="dxa"/>
            <w:tcBorders>
              <w:top w:val="nil"/>
              <w:left w:val="nil"/>
              <w:bottom w:val="single" w:sz="4" w:space="0" w:color="auto"/>
              <w:right w:val="single" w:sz="8" w:space="0" w:color="auto"/>
            </w:tcBorders>
            <w:shd w:val="clear" w:color="000000" w:fill="FADBD3"/>
            <w:noWrap/>
            <w:hideMark/>
          </w:tcPr>
          <w:p w14:paraId="0D586402" w14:textId="77777777" w:rsidR="00C7506A" w:rsidRPr="00EB0CF2" w:rsidRDefault="00C7506A" w:rsidP="00CA1889">
            <w:pPr>
              <w:spacing w:before="0" w:after="40" w:line="240" w:lineRule="auto"/>
              <w:jc w:val="center"/>
              <w:rPr>
                <w:rFonts w:ascii="Optima" w:eastAsia="Times New Roman" w:hAnsi="Optima" w:cs="Calibri"/>
                <w:b/>
                <w:bCs/>
                <w:color w:val="000000"/>
                <w:sz w:val="18"/>
                <w:szCs w:val="18"/>
              </w:rPr>
            </w:pPr>
            <w:r w:rsidRPr="00EB0CF2">
              <w:rPr>
                <w:rFonts w:ascii="Optima" w:eastAsia="Times New Roman" w:hAnsi="Optima" w:cs="Calibri"/>
                <w:b/>
                <w:bCs/>
                <w:color w:val="000000"/>
                <w:sz w:val="18"/>
                <w:szCs w:val="18"/>
              </w:rPr>
              <w:t>Hi</w:t>
            </w:r>
          </w:p>
        </w:tc>
        <w:tc>
          <w:tcPr>
            <w:tcW w:w="8046" w:type="dxa"/>
            <w:gridSpan w:val="5"/>
            <w:tcBorders>
              <w:top w:val="nil"/>
              <w:left w:val="nil"/>
              <w:bottom w:val="single" w:sz="4" w:space="0" w:color="auto"/>
              <w:right w:val="single" w:sz="8" w:space="0" w:color="auto"/>
            </w:tcBorders>
            <w:shd w:val="clear" w:color="auto" w:fill="auto"/>
            <w:noWrap/>
            <w:hideMark/>
          </w:tcPr>
          <w:p w14:paraId="1301673D" w14:textId="77777777" w:rsidR="00C7506A" w:rsidRPr="00EB0CF2" w:rsidRDefault="00C7506A" w:rsidP="00CA1889">
            <w:pPr>
              <w:spacing w:before="0" w:after="40" w:line="240" w:lineRule="auto"/>
              <w:ind w:firstLineChars="200" w:firstLine="360"/>
              <w:rPr>
                <w:rFonts w:ascii="Optima" w:eastAsia="Times New Roman" w:hAnsi="Optima" w:cs="Calibri"/>
                <w:color w:val="000000"/>
                <w:sz w:val="18"/>
                <w:szCs w:val="18"/>
              </w:rPr>
            </w:pPr>
            <w:r w:rsidRPr="00EB0CF2">
              <w:rPr>
                <w:rFonts w:ascii="Optima" w:eastAsia="Times New Roman" w:hAnsi="Optima" w:cs="Calibri"/>
                <w:color w:val="000000"/>
                <w:sz w:val="18"/>
                <w:szCs w:val="18"/>
              </w:rPr>
              <w:t>Unable to work independently without regular intervention by CMH network staff.</w:t>
            </w:r>
          </w:p>
        </w:tc>
      </w:tr>
      <w:tr w:rsidR="00C7506A" w:rsidRPr="00D35F43" w14:paraId="271DCD2B" w14:textId="77777777" w:rsidTr="00CA1889">
        <w:trPr>
          <w:trHeight w:val="350"/>
          <w:tblHeader/>
        </w:trPr>
        <w:tc>
          <w:tcPr>
            <w:tcW w:w="603" w:type="dxa"/>
            <w:tcBorders>
              <w:top w:val="nil"/>
              <w:left w:val="single" w:sz="8" w:space="0" w:color="auto"/>
              <w:right w:val="nil"/>
            </w:tcBorders>
            <w:shd w:val="clear" w:color="000000" w:fill="D9D9D9"/>
            <w:noWrap/>
            <w:hideMark/>
          </w:tcPr>
          <w:p w14:paraId="0125963B" w14:textId="77777777" w:rsidR="00C7506A" w:rsidRPr="00D35F43" w:rsidRDefault="00C7506A" w:rsidP="00CA1889">
            <w:pPr>
              <w:spacing w:before="0" w:after="0" w:line="240" w:lineRule="auto"/>
              <w:rPr>
                <w:rFonts w:ascii="Optima" w:eastAsia="Times New Roman" w:hAnsi="Optima" w:cs="Calibri"/>
                <w:color w:val="000000"/>
                <w:sz w:val="19"/>
                <w:szCs w:val="19"/>
              </w:rPr>
            </w:pPr>
            <w:r w:rsidRPr="00D35F43">
              <w:rPr>
                <w:rFonts w:ascii="Optima" w:eastAsia="Times New Roman" w:hAnsi="Optima" w:cs="Calibri"/>
                <w:color w:val="000000"/>
                <w:sz w:val="19"/>
                <w:szCs w:val="19"/>
              </w:rPr>
              <w:t> </w:t>
            </w:r>
          </w:p>
        </w:tc>
        <w:tc>
          <w:tcPr>
            <w:tcW w:w="603" w:type="dxa"/>
            <w:gridSpan w:val="2"/>
            <w:tcBorders>
              <w:top w:val="nil"/>
              <w:left w:val="nil"/>
            </w:tcBorders>
            <w:shd w:val="clear" w:color="000000" w:fill="D9D9D9"/>
            <w:noWrap/>
            <w:hideMark/>
          </w:tcPr>
          <w:p w14:paraId="1A01108E" w14:textId="77777777" w:rsidR="00C7506A" w:rsidRPr="00D35F43" w:rsidRDefault="00C7506A" w:rsidP="00CA1889">
            <w:pPr>
              <w:spacing w:before="0" w:after="0" w:line="240" w:lineRule="auto"/>
              <w:rPr>
                <w:rFonts w:ascii="Optima" w:eastAsia="Times New Roman" w:hAnsi="Optima" w:cs="Calibri"/>
                <w:color w:val="000000"/>
                <w:sz w:val="19"/>
                <w:szCs w:val="19"/>
              </w:rPr>
            </w:pPr>
            <w:r w:rsidRPr="00D35F43">
              <w:rPr>
                <w:rFonts w:ascii="Optima" w:eastAsia="Times New Roman" w:hAnsi="Optima" w:cs="Calibri"/>
                <w:color w:val="000000"/>
                <w:sz w:val="19"/>
                <w:szCs w:val="19"/>
              </w:rPr>
              <w:t> </w:t>
            </w:r>
          </w:p>
        </w:tc>
        <w:tc>
          <w:tcPr>
            <w:tcW w:w="8652" w:type="dxa"/>
            <w:gridSpan w:val="6"/>
            <w:tcBorders>
              <w:top w:val="single" w:sz="4" w:space="0" w:color="auto"/>
              <w:right w:val="single" w:sz="8" w:space="0" w:color="000000"/>
            </w:tcBorders>
            <w:shd w:val="clear" w:color="000000" w:fill="D9D9D9"/>
            <w:noWrap/>
            <w:hideMark/>
          </w:tcPr>
          <w:p w14:paraId="35E4D721" w14:textId="77777777" w:rsidR="00C7506A" w:rsidRPr="00D35F43" w:rsidRDefault="00C7506A" w:rsidP="00CA1889">
            <w:pPr>
              <w:spacing w:before="0" w:after="0" w:line="240" w:lineRule="auto"/>
              <w:ind w:firstLineChars="500" w:firstLine="954"/>
              <w:rPr>
                <w:rFonts w:ascii="Optima" w:eastAsia="Times New Roman" w:hAnsi="Optima" w:cs="Calibri"/>
                <w:b/>
                <w:bCs/>
                <w:color w:val="000000"/>
                <w:sz w:val="19"/>
                <w:szCs w:val="19"/>
              </w:rPr>
            </w:pPr>
            <w:r w:rsidRPr="00D35F43">
              <w:rPr>
                <w:rFonts w:ascii="Optima" w:eastAsia="Times New Roman" w:hAnsi="Optima" w:cs="Calibri"/>
                <w:b/>
                <w:bCs/>
                <w:color w:val="000000"/>
                <w:sz w:val="19"/>
                <w:szCs w:val="19"/>
              </w:rPr>
              <w:t>Support Level Total</w:t>
            </w:r>
          </w:p>
        </w:tc>
      </w:tr>
    </w:tbl>
    <w:p w14:paraId="7FF37CB7" w14:textId="35864BAB" w:rsidR="00C7506A" w:rsidRDefault="00C7506A">
      <w:pPr>
        <w:spacing w:before="0" w:after="0" w:line="240" w:lineRule="auto"/>
      </w:pPr>
    </w:p>
    <w:p w14:paraId="7C11B6AC" w14:textId="77777777" w:rsidR="00C7506A" w:rsidRDefault="00C7506A">
      <w:pPr>
        <w:spacing w:before="0" w:after="0" w:line="240" w:lineRule="auto"/>
      </w:pPr>
    </w:p>
    <w:p w14:paraId="75D92561" w14:textId="77777777" w:rsidR="006817EE" w:rsidRDefault="006817EE" w:rsidP="002476FD">
      <w:pPr>
        <w:pStyle w:val="NoSpacing"/>
      </w:pPr>
    </w:p>
    <w:p w14:paraId="0D70B38C" w14:textId="77777777" w:rsidR="009A6F59" w:rsidRDefault="009A6F59" w:rsidP="009A6F59">
      <w:pPr>
        <w:pStyle w:val="ListNumber"/>
        <w:numPr>
          <w:ilvl w:val="0"/>
          <w:numId w:val="17"/>
        </w:numPr>
        <w:ind w:left="720"/>
      </w:pPr>
      <w:r w:rsidRPr="00043C33">
        <w:t>The incentives for providers to fade, built into the overall model, are not significantly undermined by termination of job coaching as a penalty for providers who achieve superior fading outcomes.</w:t>
      </w:r>
    </w:p>
    <w:p w14:paraId="37A4AC6C" w14:textId="77777777" w:rsidR="009A6F59" w:rsidRPr="00043C33" w:rsidRDefault="009A6F59" w:rsidP="009A6F59">
      <w:pPr>
        <w:pStyle w:val="ListNumber"/>
        <w:numPr>
          <w:ilvl w:val="0"/>
          <w:numId w:val="17"/>
        </w:numPr>
        <w:ind w:left="720"/>
      </w:pPr>
      <w:r w:rsidRPr="00043C33">
        <w:t>The risk-based model is fair to providers by ensuring upside gain can offset downside risk.</w:t>
      </w:r>
    </w:p>
    <w:p w14:paraId="437772F6" w14:textId="77777777" w:rsidR="009A6F59" w:rsidRPr="003C6666" w:rsidRDefault="009A6F59" w:rsidP="009A6F59">
      <w:pPr>
        <w:pStyle w:val="ListNumber"/>
        <w:numPr>
          <w:ilvl w:val="0"/>
          <w:numId w:val="17"/>
        </w:numPr>
        <w:ind w:left="720"/>
        <w:rPr>
          <w:sz w:val="24"/>
          <w:szCs w:val="24"/>
        </w:rPr>
      </w:pPr>
      <w:r w:rsidRPr="003C6666">
        <w:t>The value of the outcome – competitive integrated employment – is recognized in the payment structure, including the value of the benefits to the person and indirect cost savings for the program, created when a person has access to competitive integrated employment.</w:t>
      </w:r>
    </w:p>
    <w:p w14:paraId="487E24E4" w14:textId="77777777" w:rsidR="004D4C63" w:rsidRPr="00D42701" w:rsidRDefault="004D4C63" w:rsidP="00B11115">
      <w:pPr>
        <w:pStyle w:val="Heading4"/>
      </w:pPr>
      <w:r w:rsidRPr="00D42701">
        <w:t>Setting Target Fading Percentages for Each Acuity Tier and Each Employment Phase</w:t>
      </w:r>
    </w:p>
    <w:p w14:paraId="2A5A2A94" w14:textId="3FF4C259" w:rsidR="008D7748" w:rsidRDefault="004D4C63" w:rsidP="009A6F59">
      <w:pPr>
        <w:spacing w:after="0"/>
      </w:pPr>
      <w:r w:rsidRPr="00043C33">
        <w:t xml:space="preserve">Using data collected from providers on the current job coaching supports provided to individuals with IDD already working in competitive integrated employment (with Supported Employment job coaching services), </w:t>
      </w:r>
      <w:r w:rsidR="003175D1">
        <w:t>OCHN</w:t>
      </w:r>
      <w:r w:rsidRPr="00043C33">
        <w:t xml:space="preserve"> established fading percentages for each Tier and Phase. </w:t>
      </w:r>
      <w:r w:rsidR="00E80BF1">
        <w:t>Built into the model are t</w:t>
      </w:r>
      <w:r w:rsidRPr="00043C33">
        <w:t xml:space="preserve">he logical expectations that fading will be greater for people who have lower acuity and </w:t>
      </w:r>
      <w:r w:rsidR="00E80BF1" w:rsidRPr="00043C33">
        <w:t>who have held their jobs longer</w:t>
      </w:r>
      <w:r w:rsidR="00E80BF1">
        <w:t>.</w:t>
      </w:r>
      <w:r w:rsidRPr="00043C33">
        <w:t xml:space="preserve"> </w:t>
      </w:r>
    </w:p>
    <w:p w14:paraId="2BD0B94F" w14:textId="77777777" w:rsidR="00C9395A" w:rsidRPr="00043C33" w:rsidRDefault="00C9395A" w:rsidP="00022B8D">
      <w:pPr>
        <w:pStyle w:val="NoSpacing"/>
      </w:pPr>
    </w:p>
    <w:tbl>
      <w:tblPr>
        <w:tblW w:w="8940" w:type="dxa"/>
        <w:jc w:val="center"/>
        <w:tblLook w:val="0420" w:firstRow="1" w:lastRow="0" w:firstColumn="0" w:lastColumn="0" w:noHBand="0" w:noVBand="1"/>
        <w:tblCaption w:val="Setting Target Fading Percentages for Each Acuity Tier and Each Employment Phase"/>
      </w:tblPr>
      <w:tblGrid>
        <w:gridCol w:w="1760"/>
        <w:gridCol w:w="2520"/>
        <w:gridCol w:w="2300"/>
        <w:gridCol w:w="2360"/>
      </w:tblGrid>
      <w:tr w:rsidR="00452345" w:rsidRPr="003F0F2E" w14:paraId="234ABA21" w14:textId="77777777" w:rsidTr="00417488">
        <w:trPr>
          <w:trHeight w:val="450"/>
          <w:tblHeader/>
          <w:jc w:val="center"/>
        </w:trPr>
        <w:tc>
          <w:tcPr>
            <w:tcW w:w="1760" w:type="dxa"/>
            <w:tcBorders>
              <w:bottom w:val="single" w:sz="2" w:space="0" w:color="D9D9D9" w:themeColor="background1" w:themeShade="D9"/>
            </w:tcBorders>
            <w:shd w:val="clear" w:color="auto" w:fill="215868" w:themeFill="accent5" w:themeFillShade="80"/>
            <w:noWrap/>
            <w:vAlign w:val="bottom"/>
            <w:hideMark/>
          </w:tcPr>
          <w:p w14:paraId="60202AE2" w14:textId="77777777" w:rsidR="00452345" w:rsidRPr="003F0F2E" w:rsidRDefault="00452345" w:rsidP="00022B8D">
            <w:pPr>
              <w:spacing w:before="40" w:after="40" w:line="240" w:lineRule="auto"/>
              <w:rPr>
                <w:rStyle w:val="TableText"/>
                <w:rFonts w:ascii="Optima" w:eastAsiaTheme="minorHAnsi" w:hAnsi="Optima"/>
                <w:sz w:val="19"/>
                <w:szCs w:val="19"/>
              </w:rPr>
            </w:pPr>
            <w:r w:rsidRPr="003F0F2E">
              <w:rPr>
                <w:rStyle w:val="TableText"/>
                <w:rFonts w:ascii="Optima" w:eastAsiaTheme="minorHAnsi" w:hAnsi="Optima"/>
                <w:sz w:val="19"/>
                <w:szCs w:val="19"/>
              </w:rPr>
              <w:t> </w:t>
            </w:r>
          </w:p>
        </w:tc>
        <w:tc>
          <w:tcPr>
            <w:tcW w:w="2520" w:type="dxa"/>
            <w:tcBorders>
              <w:bottom w:val="single" w:sz="2" w:space="0" w:color="D9D9D9" w:themeColor="background1" w:themeShade="D9"/>
            </w:tcBorders>
            <w:shd w:val="clear" w:color="auto" w:fill="215868" w:themeFill="accent5" w:themeFillShade="80"/>
            <w:noWrap/>
            <w:vAlign w:val="bottom"/>
            <w:hideMark/>
          </w:tcPr>
          <w:p w14:paraId="7A652F66" w14:textId="4D00673A" w:rsidR="00452345" w:rsidRPr="00D154E3" w:rsidRDefault="00452345" w:rsidP="00022B8D">
            <w:pPr>
              <w:spacing w:before="40" w:after="40" w:line="240" w:lineRule="auto"/>
              <w:jc w:val="center"/>
              <w:rPr>
                <w:rStyle w:val="TableText"/>
                <w:rFonts w:ascii="Optima" w:eastAsiaTheme="minorHAnsi" w:hAnsi="Optima"/>
                <w:b/>
                <w:bCs/>
                <w:color w:val="FFFFFF" w:themeColor="background1"/>
                <w:sz w:val="19"/>
                <w:szCs w:val="19"/>
              </w:rPr>
            </w:pPr>
            <w:r w:rsidRPr="00D154E3">
              <w:rPr>
                <w:rStyle w:val="TableText"/>
                <w:rFonts w:ascii="Optima" w:eastAsiaTheme="minorHAnsi" w:hAnsi="Optima"/>
                <w:b/>
                <w:bCs/>
                <w:color w:val="FFFFFF" w:themeColor="background1"/>
                <w:sz w:val="19"/>
                <w:szCs w:val="19"/>
              </w:rPr>
              <w:t>Phase 1</w:t>
            </w:r>
            <w:r w:rsidR="008421BC">
              <w:rPr>
                <w:rStyle w:val="TableText"/>
                <w:rFonts w:ascii="Optima" w:eastAsiaTheme="minorHAnsi" w:hAnsi="Optima"/>
                <w:b/>
                <w:bCs/>
                <w:color w:val="FFFFFF" w:themeColor="background1"/>
                <w:sz w:val="19"/>
                <w:szCs w:val="19"/>
              </w:rPr>
              <w:br/>
            </w:r>
            <w:r w:rsidRPr="00D154E3">
              <w:rPr>
                <w:rStyle w:val="TableText"/>
                <w:rFonts w:ascii="Optima" w:eastAsiaTheme="minorHAnsi" w:hAnsi="Optima"/>
                <w:b/>
                <w:bCs/>
                <w:color w:val="FFFFFF" w:themeColor="background1"/>
                <w:sz w:val="19"/>
                <w:szCs w:val="19"/>
              </w:rPr>
              <w:t>0-11 Months on Job</w:t>
            </w:r>
          </w:p>
        </w:tc>
        <w:tc>
          <w:tcPr>
            <w:tcW w:w="2300" w:type="dxa"/>
            <w:tcBorders>
              <w:bottom w:val="single" w:sz="2" w:space="0" w:color="D9D9D9" w:themeColor="background1" w:themeShade="D9"/>
            </w:tcBorders>
            <w:shd w:val="clear" w:color="auto" w:fill="215868" w:themeFill="accent5" w:themeFillShade="80"/>
            <w:noWrap/>
            <w:vAlign w:val="bottom"/>
            <w:hideMark/>
          </w:tcPr>
          <w:p w14:paraId="0394D61B" w14:textId="2385050C" w:rsidR="00452345" w:rsidRPr="00D154E3" w:rsidRDefault="00452345" w:rsidP="00022B8D">
            <w:pPr>
              <w:spacing w:before="40" w:after="40" w:line="240" w:lineRule="auto"/>
              <w:jc w:val="center"/>
              <w:rPr>
                <w:rStyle w:val="TableText"/>
                <w:rFonts w:ascii="Optima" w:eastAsiaTheme="minorHAnsi" w:hAnsi="Optima"/>
                <w:b/>
                <w:bCs/>
                <w:color w:val="FFFFFF" w:themeColor="background1"/>
                <w:sz w:val="19"/>
                <w:szCs w:val="19"/>
              </w:rPr>
            </w:pPr>
            <w:r w:rsidRPr="00D154E3">
              <w:rPr>
                <w:rStyle w:val="TableText"/>
                <w:rFonts w:ascii="Optima" w:eastAsiaTheme="minorHAnsi" w:hAnsi="Optima"/>
                <w:b/>
                <w:bCs/>
                <w:color w:val="FFFFFF" w:themeColor="background1"/>
                <w:sz w:val="19"/>
                <w:szCs w:val="19"/>
              </w:rPr>
              <w:t>Phase 2</w:t>
            </w:r>
            <w:r w:rsidR="008421BC">
              <w:rPr>
                <w:rStyle w:val="TableText"/>
                <w:rFonts w:ascii="Optima" w:eastAsiaTheme="minorHAnsi" w:hAnsi="Optima"/>
                <w:b/>
                <w:bCs/>
                <w:color w:val="FFFFFF" w:themeColor="background1"/>
                <w:sz w:val="19"/>
                <w:szCs w:val="19"/>
              </w:rPr>
              <w:br/>
            </w:r>
            <w:r w:rsidRPr="00D154E3">
              <w:rPr>
                <w:rStyle w:val="TableText"/>
                <w:rFonts w:ascii="Optima" w:eastAsiaTheme="minorHAnsi" w:hAnsi="Optima"/>
                <w:b/>
                <w:bCs/>
                <w:color w:val="FFFFFF" w:themeColor="background1"/>
                <w:sz w:val="19"/>
                <w:szCs w:val="19"/>
              </w:rPr>
              <w:t>12-24 Months on Job</w:t>
            </w:r>
          </w:p>
        </w:tc>
        <w:tc>
          <w:tcPr>
            <w:tcW w:w="2360" w:type="dxa"/>
            <w:tcBorders>
              <w:bottom w:val="single" w:sz="2" w:space="0" w:color="D9D9D9" w:themeColor="background1" w:themeShade="D9"/>
            </w:tcBorders>
            <w:shd w:val="clear" w:color="auto" w:fill="215868" w:themeFill="accent5" w:themeFillShade="80"/>
            <w:noWrap/>
            <w:vAlign w:val="bottom"/>
            <w:hideMark/>
          </w:tcPr>
          <w:p w14:paraId="49A03CD6" w14:textId="411F6331" w:rsidR="00452345" w:rsidRPr="00D154E3" w:rsidRDefault="00452345" w:rsidP="00022B8D">
            <w:pPr>
              <w:spacing w:before="40" w:after="40" w:line="240" w:lineRule="auto"/>
              <w:jc w:val="center"/>
              <w:rPr>
                <w:rStyle w:val="TableText"/>
                <w:rFonts w:ascii="Optima" w:eastAsiaTheme="minorHAnsi" w:hAnsi="Optima"/>
                <w:b/>
                <w:bCs/>
                <w:color w:val="FFFFFF" w:themeColor="background1"/>
                <w:sz w:val="19"/>
                <w:szCs w:val="19"/>
              </w:rPr>
            </w:pPr>
            <w:r w:rsidRPr="00D154E3">
              <w:rPr>
                <w:rStyle w:val="TableText"/>
                <w:rFonts w:ascii="Optima" w:eastAsiaTheme="minorHAnsi" w:hAnsi="Optima"/>
                <w:b/>
                <w:bCs/>
                <w:color w:val="FFFFFF" w:themeColor="background1"/>
                <w:sz w:val="19"/>
                <w:szCs w:val="19"/>
              </w:rPr>
              <w:t>Phase 3</w:t>
            </w:r>
            <w:r w:rsidR="008421BC">
              <w:rPr>
                <w:rStyle w:val="TableText"/>
                <w:rFonts w:ascii="Optima" w:eastAsiaTheme="minorHAnsi" w:hAnsi="Optima"/>
                <w:b/>
                <w:bCs/>
                <w:color w:val="FFFFFF" w:themeColor="background1"/>
                <w:sz w:val="19"/>
                <w:szCs w:val="19"/>
              </w:rPr>
              <w:br/>
            </w:r>
            <w:r w:rsidRPr="00D154E3">
              <w:rPr>
                <w:rStyle w:val="TableText"/>
                <w:rFonts w:ascii="Optima" w:eastAsiaTheme="minorHAnsi" w:hAnsi="Optima"/>
                <w:b/>
                <w:bCs/>
                <w:color w:val="FFFFFF" w:themeColor="background1"/>
                <w:sz w:val="19"/>
                <w:szCs w:val="19"/>
              </w:rPr>
              <w:t>25+ Months on Job</w:t>
            </w:r>
          </w:p>
        </w:tc>
      </w:tr>
      <w:tr w:rsidR="00452345" w:rsidRPr="00A34376" w14:paraId="223438C4" w14:textId="77777777" w:rsidTr="00417488">
        <w:trPr>
          <w:trHeight w:val="374"/>
          <w:tblHeader/>
          <w:jc w:val="center"/>
        </w:trPr>
        <w:tc>
          <w:tcPr>
            <w:tcW w:w="176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hideMark/>
          </w:tcPr>
          <w:p w14:paraId="04D35C68" w14:textId="77777777" w:rsidR="00452345" w:rsidRPr="00A34376" w:rsidRDefault="00452345" w:rsidP="007202B3">
            <w:pPr>
              <w:spacing w:before="60" w:after="60" w:line="240" w:lineRule="auto"/>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High Acuity</w:t>
            </w:r>
          </w:p>
        </w:tc>
        <w:tc>
          <w:tcPr>
            <w:tcW w:w="252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tcPr>
          <w:p w14:paraId="3B8CC225" w14:textId="77777777" w:rsidR="00452345" w:rsidRPr="00A34376" w:rsidRDefault="00452345" w:rsidP="00D3434E">
            <w:pPr>
              <w:pStyle w:val="TablePercentages"/>
              <w:spacing w:before="60" w:after="60"/>
              <w:ind w:right="103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85%</w:t>
            </w:r>
          </w:p>
        </w:tc>
        <w:tc>
          <w:tcPr>
            <w:tcW w:w="230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tcPr>
          <w:p w14:paraId="2200E068" w14:textId="77777777" w:rsidR="00452345" w:rsidRPr="00A34376" w:rsidRDefault="00452345">
            <w:pPr>
              <w:pStyle w:val="TablePercentages"/>
              <w:spacing w:before="60" w:after="60"/>
              <w:ind w:right="85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65%</w:t>
            </w:r>
          </w:p>
        </w:tc>
        <w:tc>
          <w:tcPr>
            <w:tcW w:w="236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tcPr>
          <w:p w14:paraId="16ADBCE4" w14:textId="77777777" w:rsidR="00452345" w:rsidRPr="00A34376" w:rsidRDefault="00452345">
            <w:pPr>
              <w:pStyle w:val="TablePercentages"/>
              <w:spacing w:before="60" w:after="60"/>
              <w:ind w:right="85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45%</w:t>
            </w:r>
          </w:p>
        </w:tc>
      </w:tr>
      <w:tr w:rsidR="00452345" w:rsidRPr="00A34376" w14:paraId="7AD7B807" w14:textId="77777777" w:rsidTr="00417488">
        <w:trPr>
          <w:trHeight w:val="374"/>
          <w:tblHeader/>
          <w:jc w:val="center"/>
        </w:trPr>
        <w:tc>
          <w:tcPr>
            <w:tcW w:w="1760" w:type="dxa"/>
            <w:tcBorders>
              <w:top w:val="single" w:sz="2" w:space="0" w:color="D9D9D9" w:themeColor="background1" w:themeShade="D9"/>
              <w:bottom w:val="single" w:sz="2" w:space="0" w:color="D9D9D9" w:themeColor="background1" w:themeShade="D9"/>
            </w:tcBorders>
            <w:shd w:val="clear" w:color="auto" w:fill="FFFFFF" w:themeFill="background1"/>
            <w:noWrap/>
            <w:vAlign w:val="bottom"/>
            <w:hideMark/>
          </w:tcPr>
          <w:p w14:paraId="48728B0C" w14:textId="77777777" w:rsidR="00452345" w:rsidRPr="00A34376" w:rsidRDefault="00452345" w:rsidP="007202B3">
            <w:pPr>
              <w:spacing w:before="60" w:after="60" w:line="240" w:lineRule="auto"/>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Medium Acuity</w:t>
            </w:r>
          </w:p>
        </w:tc>
        <w:tc>
          <w:tcPr>
            <w:tcW w:w="2520" w:type="dxa"/>
            <w:tcBorders>
              <w:top w:val="single" w:sz="2" w:space="0" w:color="D9D9D9" w:themeColor="background1" w:themeShade="D9"/>
              <w:bottom w:val="single" w:sz="2" w:space="0" w:color="D9D9D9" w:themeColor="background1" w:themeShade="D9"/>
            </w:tcBorders>
            <w:shd w:val="clear" w:color="auto" w:fill="FFFFFF" w:themeFill="background1"/>
            <w:noWrap/>
            <w:vAlign w:val="bottom"/>
          </w:tcPr>
          <w:p w14:paraId="6D4D2F03" w14:textId="77777777" w:rsidR="00452345" w:rsidRPr="00A34376" w:rsidRDefault="00452345" w:rsidP="00D3434E">
            <w:pPr>
              <w:pStyle w:val="TablePercentages"/>
              <w:spacing w:before="60" w:after="60"/>
              <w:ind w:right="103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70%</w:t>
            </w:r>
          </w:p>
        </w:tc>
        <w:tc>
          <w:tcPr>
            <w:tcW w:w="2300" w:type="dxa"/>
            <w:tcBorders>
              <w:top w:val="single" w:sz="2" w:space="0" w:color="D9D9D9" w:themeColor="background1" w:themeShade="D9"/>
              <w:bottom w:val="single" w:sz="2" w:space="0" w:color="D9D9D9" w:themeColor="background1" w:themeShade="D9"/>
            </w:tcBorders>
            <w:shd w:val="clear" w:color="auto" w:fill="FFFFFF" w:themeFill="background1"/>
            <w:noWrap/>
            <w:vAlign w:val="bottom"/>
          </w:tcPr>
          <w:p w14:paraId="45117642" w14:textId="77777777" w:rsidR="00452345" w:rsidRPr="00A34376" w:rsidRDefault="00452345">
            <w:pPr>
              <w:pStyle w:val="TablePercentages"/>
              <w:spacing w:before="60" w:after="60"/>
              <w:ind w:right="85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45%</w:t>
            </w:r>
          </w:p>
        </w:tc>
        <w:tc>
          <w:tcPr>
            <w:tcW w:w="2360" w:type="dxa"/>
            <w:tcBorders>
              <w:top w:val="single" w:sz="2" w:space="0" w:color="D9D9D9" w:themeColor="background1" w:themeShade="D9"/>
              <w:bottom w:val="single" w:sz="2" w:space="0" w:color="D9D9D9" w:themeColor="background1" w:themeShade="D9"/>
            </w:tcBorders>
            <w:shd w:val="clear" w:color="auto" w:fill="FFFFFF" w:themeFill="background1"/>
            <w:noWrap/>
            <w:vAlign w:val="bottom"/>
          </w:tcPr>
          <w:p w14:paraId="49F298AB" w14:textId="77777777" w:rsidR="00452345" w:rsidRPr="00A34376" w:rsidRDefault="00452345">
            <w:pPr>
              <w:pStyle w:val="TablePercentages"/>
              <w:spacing w:before="60" w:after="60"/>
              <w:ind w:right="85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25%</w:t>
            </w:r>
          </w:p>
        </w:tc>
      </w:tr>
      <w:tr w:rsidR="00452345" w:rsidRPr="00A34376" w14:paraId="5497E7BF" w14:textId="77777777" w:rsidTr="00417488">
        <w:trPr>
          <w:trHeight w:val="374"/>
          <w:tblHeader/>
          <w:jc w:val="center"/>
        </w:trPr>
        <w:tc>
          <w:tcPr>
            <w:tcW w:w="176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hideMark/>
          </w:tcPr>
          <w:p w14:paraId="40BBD190" w14:textId="77777777" w:rsidR="00452345" w:rsidRPr="00A34376" w:rsidRDefault="00452345" w:rsidP="007202B3">
            <w:pPr>
              <w:spacing w:before="60" w:after="60" w:line="240" w:lineRule="auto"/>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Low Acuity</w:t>
            </w:r>
          </w:p>
        </w:tc>
        <w:tc>
          <w:tcPr>
            <w:tcW w:w="252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tcPr>
          <w:p w14:paraId="0063663F" w14:textId="77777777" w:rsidR="00452345" w:rsidRPr="00A34376" w:rsidRDefault="00452345" w:rsidP="00D3434E">
            <w:pPr>
              <w:pStyle w:val="TablePercentages"/>
              <w:spacing w:before="60" w:after="60"/>
              <w:ind w:right="103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60%</w:t>
            </w:r>
          </w:p>
        </w:tc>
        <w:tc>
          <w:tcPr>
            <w:tcW w:w="230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tcPr>
          <w:p w14:paraId="005625B4" w14:textId="77777777" w:rsidR="00452345" w:rsidRPr="00A34376" w:rsidRDefault="00452345">
            <w:pPr>
              <w:pStyle w:val="TablePercentages"/>
              <w:spacing w:before="60" w:after="60"/>
              <w:ind w:right="85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35%</w:t>
            </w:r>
          </w:p>
        </w:tc>
        <w:tc>
          <w:tcPr>
            <w:tcW w:w="2360" w:type="dxa"/>
            <w:tcBorders>
              <w:top w:val="single" w:sz="2" w:space="0" w:color="D9D9D9" w:themeColor="background1" w:themeShade="D9"/>
              <w:bottom w:val="single" w:sz="2" w:space="0" w:color="D9D9D9" w:themeColor="background1" w:themeShade="D9"/>
            </w:tcBorders>
            <w:shd w:val="clear" w:color="auto" w:fill="DAEEF3" w:themeFill="accent5" w:themeFillTint="33"/>
            <w:noWrap/>
            <w:vAlign w:val="bottom"/>
          </w:tcPr>
          <w:p w14:paraId="03F12152" w14:textId="77777777" w:rsidR="00452345" w:rsidRPr="00A34376" w:rsidRDefault="00452345">
            <w:pPr>
              <w:pStyle w:val="TablePercentages"/>
              <w:spacing w:before="60" w:after="60"/>
              <w:ind w:right="850"/>
              <w:rPr>
                <w:rStyle w:val="TableText"/>
                <w:rFonts w:ascii="Optima" w:eastAsiaTheme="minorHAnsi" w:hAnsi="Optima"/>
                <w:color w:val="262626" w:themeColor="text1" w:themeTint="D9"/>
                <w:sz w:val="19"/>
                <w:szCs w:val="19"/>
              </w:rPr>
            </w:pPr>
            <w:r w:rsidRPr="00A34376">
              <w:rPr>
                <w:rStyle w:val="TableText"/>
                <w:rFonts w:ascii="Optima" w:eastAsiaTheme="minorHAnsi" w:hAnsi="Optima"/>
                <w:color w:val="262626" w:themeColor="text1" w:themeTint="D9"/>
                <w:sz w:val="19"/>
                <w:szCs w:val="19"/>
              </w:rPr>
              <w:t>15%</w:t>
            </w:r>
          </w:p>
        </w:tc>
      </w:tr>
    </w:tbl>
    <w:p w14:paraId="62A25B97" w14:textId="46A98CA1" w:rsidR="004D4C63" w:rsidRDefault="004D4C63" w:rsidP="00A34376">
      <w:pPr>
        <w:pStyle w:val="NoSpacing"/>
      </w:pPr>
    </w:p>
    <w:p w14:paraId="09A08DAB" w14:textId="77777777" w:rsidR="004D4C63" w:rsidRPr="00D42701" w:rsidRDefault="004D4C63" w:rsidP="00B11115">
      <w:pPr>
        <w:pStyle w:val="Heading4"/>
      </w:pPr>
      <w:r w:rsidRPr="00D42701">
        <w:t>Calculating the Payment Per Hour Worked Based on $38.61 Cost Per Job Coach Hour of Service</w:t>
      </w:r>
    </w:p>
    <w:p w14:paraId="6F679C7B" w14:textId="5AA31813" w:rsidR="008D7748" w:rsidRDefault="004D4C63" w:rsidP="00494BC0">
      <w:pPr>
        <w:spacing w:after="180"/>
      </w:pPr>
      <w:r w:rsidRPr="00043C33">
        <w:t xml:space="preserve">As a final step, </w:t>
      </w:r>
      <w:r w:rsidR="003175D1">
        <w:t>OCHN</w:t>
      </w:r>
      <w:r w:rsidRPr="00043C33">
        <w:t xml:space="preserve"> multiplied</w:t>
      </w:r>
      <w:r w:rsidR="008B179E">
        <w:t xml:space="preserve"> the</w:t>
      </w:r>
      <w:r w:rsidRPr="00043C33">
        <w:t xml:space="preserve"> cost of a Job Coach hour of service by each target fading percentage to arrive at the payment per hour worked for each Tier/Phase combination</w:t>
      </w:r>
      <w:r w:rsidR="005043F4">
        <w:t xml:space="preserve">. </w:t>
      </w:r>
    </w:p>
    <w:p w14:paraId="3DDF70BC" w14:textId="77777777" w:rsidR="00C9395A" w:rsidRPr="00A34376" w:rsidRDefault="00C9395A" w:rsidP="00022B8D">
      <w:pPr>
        <w:pStyle w:val="NoSpacing"/>
        <w:rPr>
          <w:sz w:val="10"/>
          <w:szCs w:val="10"/>
        </w:rPr>
      </w:pPr>
    </w:p>
    <w:tbl>
      <w:tblPr>
        <w:tblW w:w="8940" w:type="dxa"/>
        <w:jc w:val="center"/>
        <w:tblLook w:val="0420" w:firstRow="1" w:lastRow="0" w:firstColumn="0" w:lastColumn="0" w:noHBand="0" w:noVBand="1"/>
        <w:tblCaption w:val="Payment per hour worked for each Tier/Phase combination"/>
      </w:tblPr>
      <w:tblGrid>
        <w:gridCol w:w="1760"/>
        <w:gridCol w:w="2520"/>
        <w:gridCol w:w="2300"/>
        <w:gridCol w:w="2360"/>
      </w:tblGrid>
      <w:tr w:rsidR="00D8238D" w:rsidRPr="00D8238D" w14:paraId="371B305F" w14:textId="77777777" w:rsidTr="001839A3">
        <w:trPr>
          <w:trHeight w:val="369"/>
          <w:tblHeader/>
          <w:jc w:val="center"/>
        </w:trPr>
        <w:tc>
          <w:tcPr>
            <w:tcW w:w="1760" w:type="dxa"/>
            <w:tcBorders>
              <w:bottom w:val="single" w:sz="2" w:space="0" w:color="BFBFBF" w:themeColor="background1" w:themeShade="BF"/>
            </w:tcBorders>
            <w:shd w:val="clear" w:color="auto" w:fill="403152" w:themeFill="accent4" w:themeFillShade="80"/>
            <w:noWrap/>
            <w:hideMark/>
          </w:tcPr>
          <w:p w14:paraId="74EAFFD5" w14:textId="186518CE" w:rsidR="00D8238D" w:rsidRPr="00D8238D" w:rsidRDefault="00D8238D" w:rsidP="00022B8D">
            <w:pPr>
              <w:spacing w:before="40" w:after="40"/>
              <w:jc w:val="center"/>
              <w:rPr>
                <w:rFonts w:ascii="Optima" w:hAnsi="Optima"/>
                <w:b/>
                <w:bCs/>
                <w:color w:val="FFFFFF" w:themeColor="background1"/>
                <w:sz w:val="19"/>
                <w:szCs w:val="19"/>
              </w:rPr>
            </w:pPr>
          </w:p>
        </w:tc>
        <w:tc>
          <w:tcPr>
            <w:tcW w:w="2520" w:type="dxa"/>
            <w:tcBorders>
              <w:bottom w:val="single" w:sz="2" w:space="0" w:color="BFBFBF" w:themeColor="background1" w:themeShade="BF"/>
            </w:tcBorders>
            <w:shd w:val="clear" w:color="auto" w:fill="403152" w:themeFill="accent4" w:themeFillShade="80"/>
            <w:noWrap/>
            <w:hideMark/>
          </w:tcPr>
          <w:p w14:paraId="325DAD64" w14:textId="1C7078D9" w:rsidR="00D8238D" w:rsidRPr="00D8238D" w:rsidRDefault="00D8238D" w:rsidP="00022B8D">
            <w:pPr>
              <w:spacing w:before="40" w:after="40" w:line="240" w:lineRule="auto"/>
              <w:jc w:val="center"/>
              <w:rPr>
                <w:rFonts w:ascii="Optima" w:hAnsi="Optima"/>
                <w:b/>
                <w:bCs/>
                <w:color w:val="FFFFFF" w:themeColor="background1"/>
                <w:sz w:val="19"/>
                <w:szCs w:val="19"/>
              </w:rPr>
            </w:pPr>
            <w:r w:rsidRPr="00D8238D">
              <w:rPr>
                <w:rFonts w:ascii="Optima" w:hAnsi="Optima"/>
                <w:b/>
                <w:bCs/>
                <w:color w:val="FFFFFF" w:themeColor="background1"/>
                <w:sz w:val="19"/>
                <w:szCs w:val="19"/>
              </w:rPr>
              <w:t>Phase 1</w:t>
            </w:r>
            <w:r w:rsidR="008421BC">
              <w:rPr>
                <w:rFonts w:ascii="Optima" w:hAnsi="Optima"/>
                <w:b/>
                <w:bCs/>
                <w:color w:val="FFFFFF" w:themeColor="background1"/>
                <w:sz w:val="19"/>
                <w:szCs w:val="19"/>
              </w:rPr>
              <w:br/>
            </w:r>
            <w:r w:rsidRPr="00D8238D">
              <w:rPr>
                <w:rFonts w:ascii="Optima" w:hAnsi="Optima"/>
                <w:b/>
                <w:bCs/>
                <w:color w:val="FFFFFF" w:themeColor="background1"/>
                <w:sz w:val="19"/>
                <w:szCs w:val="19"/>
              </w:rPr>
              <w:t>0-11 Months on Job</w:t>
            </w:r>
          </w:p>
        </w:tc>
        <w:tc>
          <w:tcPr>
            <w:tcW w:w="2300" w:type="dxa"/>
            <w:tcBorders>
              <w:bottom w:val="single" w:sz="2" w:space="0" w:color="BFBFBF" w:themeColor="background1" w:themeShade="BF"/>
            </w:tcBorders>
            <w:shd w:val="clear" w:color="auto" w:fill="403152" w:themeFill="accent4" w:themeFillShade="80"/>
            <w:noWrap/>
            <w:hideMark/>
          </w:tcPr>
          <w:p w14:paraId="5E08CCFB" w14:textId="21D8D6D4" w:rsidR="00D8238D" w:rsidRPr="00D8238D" w:rsidRDefault="00D8238D" w:rsidP="00022B8D">
            <w:pPr>
              <w:spacing w:before="40" w:after="40" w:line="240" w:lineRule="auto"/>
              <w:jc w:val="center"/>
              <w:rPr>
                <w:rFonts w:ascii="Optima" w:hAnsi="Optima"/>
                <w:b/>
                <w:bCs/>
                <w:color w:val="FFFFFF" w:themeColor="background1"/>
                <w:sz w:val="19"/>
                <w:szCs w:val="19"/>
              </w:rPr>
            </w:pPr>
            <w:r w:rsidRPr="00D8238D">
              <w:rPr>
                <w:rFonts w:ascii="Optima" w:hAnsi="Optima"/>
                <w:b/>
                <w:bCs/>
                <w:color w:val="FFFFFF" w:themeColor="background1"/>
                <w:sz w:val="19"/>
                <w:szCs w:val="19"/>
              </w:rPr>
              <w:t>Phase 2</w:t>
            </w:r>
            <w:r w:rsidR="008421BC">
              <w:rPr>
                <w:rFonts w:ascii="Optima" w:hAnsi="Optima"/>
                <w:b/>
                <w:bCs/>
                <w:color w:val="FFFFFF" w:themeColor="background1"/>
                <w:sz w:val="19"/>
                <w:szCs w:val="19"/>
              </w:rPr>
              <w:br/>
            </w:r>
            <w:r w:rsidRPr="00D8238D">
              <w:rPr>
                <w:rFonts w:ascii="Optima" w:hAnsi="Optima"/>
                <w:b/>
                <w:bCs/>
                <w:color w:val="FFFFFF" w:themeColor="background1"/>
                <w:sz w:val="19"/>
                <w:szCs w:val="19"/>
              </w:rPr>
              <w:t>12-24 Months on Job</w:t>
            </w:r>
          </w:p>
        </w:tc>
        <w:tc>
          <w:tcPr>
            <w:tcW w:w="2360" w:type="dxa"/>
            <w:tcBorders>
              <w:bottom w:val="single" w:sz="2" w:space="0" w:color="BFBFBF" w:themeColor="background1" w:themeShade="BF"/>
            </w:tcBorders>
            <w:shd w:val="clear" w:color="auto" w:fill="403152" w:themeFill="accent4" w:themeFillShade="80"/>
            <w:noWrap/>
            <w:hideMark/>
          </w:tcPr>
          <w:p w14:paraId="0306CE0B" w14:textId="16B64D1F" w:rsidR="00D8238D" w:rsidRPr="00D8238D" w:rsidRDefault="00D8238D" w:rsidP="00022B8D">
            <w:pPr>
              <w:spacing w:before="40" w:after="40" w:line="240" w:lineRule="auto"/>
              <w:jc w:val="center"/>
              <w:rPr>
                <w:rFonts w:ascii="Optima" w:hAnsi="Optima"/>
                <w:b/>
                <w:bCs/>
                <w:color w:val="FFFFFF" w:themeColor="background1"/>
                <w:sz w:val="19"/>
                <w:szCs w:val="19"/>
              </w:rPr>
            </w:pPr>
            <w:r w:rsidRPr="00D8238D">
              <w:rPr>
                <w:rFonts w:ascii="Optima" w:hAnsi="Optima"/>
                <w:b/>
                <w:bCs/>
                <w:color w:val="FFFFFF" w:themeColor="background1"/>
                <w:sz w:val="19"/>
                <w:szCs w:val="19"/>
              </w:rPr>
              <w:t>Phase 3</w:t>
            </w:r>
            <w:r w:rsidR="008421BC">
              <w:rPr>
                <w:rFonts w:ascii="Optima" w:hAnsi="Optima"/>
                <w:b/>
                <w:bCs/>
                <w:color w:val="FFFFFF" w:themeColor="background1"/>
                <w:sz w:val="19"/>
                <w:szCs w:val="19"/>
              </w:rPr>
              <w:br/>
            </w:r>
            <w:r w:rsidRPr="00D8238D">
              <w:rPr>
                <w:rFonts w:ascii="Optima" w:hAnsi="Optima"/>
                <w:b/>
                <w:bCs/>
                <w:color w:val="FFFFFF" w:themeColor="background1"/>
                <w:sz w:val="19"/>
                <w:szCs w:val="19"/>
              </w:rPr>
              <w:t>25+ Months on Job</w:t>
            </w:r>
          </w:p>
        </w:tc>
      </w:tr>
      <w:tr w:rsidR="00D8238D" w:rsidRPr="00A34376" w14:paraId="2EF11527" w14:textId="77777777" w:rsidTr="00FD52CC">
        <w:trPr>
          <w:trHeight w:val="374"/>
          <w:tblHeader/>
          <w:jc w:val="center"/>
        </w:trPr>
        <w:tc>
          <w:tcPr>
            <w:tcW w:w="176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291B8515" w14:textId="77777777" w:rsidR="00D8238D" w:rsidRPr="00A34376" w:rsidRDefault="00D8238D" w:rsidP="00022B8D">
            <w:pPr>
              <w:spacing w:before="60" w:after="6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High Acuity</w:t>
            </w:r>
          </w:p>
        </w:tc>
        <w:tc>
          <w:tcPr>
            <w:tcW w:w="252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1FCD3592" w14:textId="77777777" w:rsidR="00D8238D" w:rsidRPr="00A34376" w:rsidRDefault="00D8238D" w:rsidP="00022B8D">
            <w:pPr>
              <w:spacing w:before="60" w:after="60" w:line="240" w:lineRule="auto"/>
              <w:jc w:val="center"/>
              <w:rPr>
                <w:rFonts w:ascii="Optima" w:hAnsi="Optima"/>
                <w:color w:val="262626" w:themeColor="text1" w:themeTint="D9"/>
                <w:sz w:val="19"/>
                <w:szCs w:val="19"/>
              </w:rPr>
            </w:pPr>
            <w:r w:rsidRPr="00A34376">
              <w:rPr>
                <w:rFonts w:ascii="Optima" w:hAnsi="Optima"/>
                <w:color w:val="262626" w:themeColor="text1" w:themeTint="D9"/>
                <w:sz w:val="19"/>
                <w:szCs w:val="19"/>
              </w:rPr>
              <w:t>$32.82</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c>
          <w:tcPr>
            <w:tcW w:w="230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1E8CEBB2" w14:textId="77777777" w:rsidR="00D8238D" w:rsidRPr="00A34376" w:rsidRDefault="00D8238D" w:rsidP="00022B8D">
            <w:pPr>
              <w:spacing w:before="60" w:after="60" w:line="240" w:lineRule="auto"/>
              <w:jc w:val="center"/>
              <w:rPr>
                <w:rFonts w:ascii="Optima" w:hAnsi="Optima"/>
                <w:color w:val="262626" w:themeColor="text1" w:themeTint="D9"/>
                <w:sz w:val="19"/>
                <w:szCs w:val="19"/>
              </w:rPr>
            </w:pPr>
            <w:r w:rsidRPr="00A34376">
              <w:rPr>
                <w:rFonts w:ascii="Optima" w:hAnsi="Optima"/>
                <w:color w:val="262626" w:themeColor="text1" w:themeTint="D9"/>
                <w:sz w:val="19"/>
                <w:szCs w:val="19"/>
              </w:rPr>
              <w:t>$27.03</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c>
          <w:tcPr>
            <w:tcW w:w="236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1F3AD459" w14:textId="77777777" w:rsidR="00D8238D" w:rsidRPr="00A34376" w:rsidRDefault="00D8238D" w:rsidP="00022B8D">
            <w:pPr>
              <w:spacing w:before="60" w:after="60" w:line="240" w:lineRule="auto"/>
              <w:ind w:right="280"/>
              <w:jc w:val="center"/>
              <w:rPr>
                <w:rFonts w:ascii="Optima" w:hAnsi="Optima"/>
                <w:color w:val="262626" w:themeColor="text1" w:themeTint="D9"/>
                <w:sz w:val="19"/>
                <w:szCs w:val="19"/>
              </w:rPr>
            </w:pPr>
            <w:r w:rsidRPr="00A34376">
              <w:rPr>
                <w:rFonts w:ascii="Optima" w:hAnsi="Optima"/>
                <w:color w:val="262626" w:themeColor="text1" w:themeTint="D9"/>
                <w:sz w:val="19"/>
                <w:szCs w:val="19"/>
              </w:rPr>
              <w:t>$23.16</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r>
      <w:tr w:rsidR="00D8238D" w:rsidRPr="00A34376" w14:paraId="6FC7C883" w14:textId="77777777" w:rsidTr="00A53406">
        <w:trPr>
          <w:trHeight w:val="283"/>
          <w:tblHeader/>
          <w:jc w:val="center"/>
        </w:trPr>
        <w:tc>
          <w:tcPr>
            <w:tcW w:w="1760" w:type="dxa"/>
            <w:tcBorders>
              <w:top w:val="single" w:sz="2" w:space="0" w:color="BFBFBF" w:themeColor="background1" w:themeShade="BF"/>
              <w:bottom w:val="single" w:sz="2" w:space="0" w:color="BFBFBF" w:themeColor="background1" w:themeShade="BF"/>
            </w:tcBorders>
            <w:shd w:val="clear" w:color="auto" w:fill="E5DFEC" w:themeFill="accent4" w:themeFillTint="33"/>
            <w:noWrap/>
            <w:vAlign w:val="center"/>
            <w:hideMark/>
          </w:tcPr>
          <w:p w14:paraId="71C54332" w14:textId="77777777" w:rsidR="00D8238D" w:rsidRPr="00A34376" w:rsidRDefault="00D8238D" w:rsidP="00022B8D">
            <w:pPr>
              <w:spacing w:before="60" w:after="6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Medium Acuity</w:t>
            </w:r>
          </w:p>
        </w:tc>
        <w:tc>
          <w:tcPr>
            <w:tcW w:w="2520" w:type="dxa"/>
            <w:tcBorders>
              <w:top w:val="single" w:sz="2" w:space="0" w:color="BFBFBF" w:themeColor="background1" w:themeShade="BF"/>
              <w:bottom w:val="single" w:sz="2" w:space="0" w:color="BFBFBF" w:themeColor="background1" w:themeShade="BF"/>
            </w:tcBorders>
            <w:shd w:val="clear" w:color="auto" w:fill="E5DFEC" w:themeFill="accent4" w:themeFillTint="33"/>
            <w:noWrap/>
            <w:vAlign w:val="center"/>
            <w:hideMark/>
          </w:tcPr>
          <w:p w14:paraId="37AFC0B0" w14:textId="77777777" w:rsidR="00D8238D" w:rsidRPr="00A34376" w:rsidRDefault="00D8238D" w:rsidP="00022B8D">
            <w:pPr>
              <w:spacing w:before="60" w:after="60" w:line="240" w:lineRule="auto"/>
              <w:jc w:val="center"/>
              <w:rPr>
                <w:rFonts w:ascii="Optima" w:hAnsi="Optima"/>
                <w:color w:val="262626" w:themeColor="text1" w:themeTint="D9"/>
                <w:sz w:val="19"/>
                <w:szCs w:val="19"/>
              </w:rPr>
            </w:pPr>
            <w:r w:rsidRPr="00A34376">
              <w:rPr>
                <w:rFonts w:ascii="Optima" w:hAnsi="Optima"/>
                <w:color w:val="262626" w:themeColor="text1" w:themeTint="D9"/>
                <w:sz w:val="19"/>
                <w:szCs w:val="19"/>
              </w:rPr>
              <w:t>$25.09</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c>
          <w:tcPr>
            <w:tcW w:w="2300" w:type="dxa"/>
            <w:tcBorders>
              <w:top w:val="single" w:sz="2" w:space="0" w:color="BFBFBF" w:themeColor="background1" w:themeShade="BF"/>
              <w:bottom w:val="single" w:sz="2" w:space="0" w:color="BFBFBF" w:themeColor="background1" w:themeShade="BF"/>
            </w:tcBorders>
            <w:shd w:val="clear" w:color="auto" w:fill="E5DFEC" w:themeFill="accent4" w:themeFillTint="33"/>
            <w:noWrap/>
            <w:vAlign w:val="center"/>
            <w:hideMark/>
          </w:tcPr>
          <w:p w14:paraId="6C7FEC96" w14:textId="77777777" w:rsidR="00D8238D" w:rsidRPr="00A34376" w:rsidRDefault="00D8238D" w:rsidP="00022B8D">
            <w:pPr>
              <w:spacing w:before="60" w:after="60" w:line="240" w:lineRule="auto"/>
              <w:jc w:val="center"/>
              <w:rPr>
                <w:rFonts w:ascii="Optima" w:hAnsi="Optima"/>
                <w:color w:val="262626" w:themeColor="text1" w:themeTint="D9"/>
                <w:sz w:val="19"/>
                <w:szCs w:val="19"/>
              </w:rPr>
            </w:pPr>
            <w:r w:rsidRPr="00A34376">
              <w:rPr>
                <w:rFonts w:ascii="Optima" w:hAnsi="Optima"/>
                <w:color w:val="262626" w:themeColor="text1" w:themeTint="D9"/>
                <w:sz w:val="19"/>
                <w:szCs w:val="19"/>
              </w:rPr>
              <w:t>$17.37</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c>
          <w:tcPr>
            <w:tcW w:w="2360" w:type="dxa"/>
            <w:tcBorders>
              <w:top w:val="single" w:sz="2" w:space="0" w:color="BFBFBF" w:themeColor="background1" w:themeShade="BF"/>
              <w:bottom w:val="single" w:sz="2" w:space="0" w:color="BFBFBF" w:themeColor="background1" w:themeShade="BF"/>
            </w:tcBorders>
            <w:shd w:val="clear" w:color="auto" w:fill="E5DFEC" w:themeFill="accent4" w:themeFillTint="33"/>
            <w:noWrap/>
            <w:vAlign w:val="center"/>
            <w:hideMark/>
          </w:tcPr>
          <w:p w14:paraId="02A42FBB" w14:textId="77777777" w:rsidR="00D8238D" w:rsidRPr="00A34376" w:rsidRDefault="00D8238D" w:rsidP="00022B8D">
            <w:pPr>
              <w:spacing w:before="60" w:after="60" w:line="240" w:lineRule="auto"/>
              <w:ind w:right="280"/>
              <w:jc w:val="center"/>
              <w:rPr>
                <w:rFonts w:ascii="Optima" w:hAnsi="Optima"/>
                <w:color w:val="262626" w:themeColor="text1" w:themeTint="D9"/>
                <w:sz w:val="19"/>
                <w:szCs w:val="19"/>
              </w:rPr>
            </w:pPr>
            <w:r w:rsidRPr="00A34376">
              <w:rPr>
                <w:rFonts w:ascii="Optima" w:hAnsi="Optima"/>
                <w:color w:val="262626" w:themeColor="text1" w:themeTint="D9"/>
                <w:sz w:val="19"/>
                <w:szCs w:val="19"/>
              </w:rPr>
              <w:t>$13.51</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r>
      <w:tr w:rsidR="00D8238D" w:rsidRPr="00A34376" w14:paraId="6EDA3587" w14:textId="77777777" w:rsidTr="00FD52CC">
        <w:trPr>
          <w:trHeight w:val="374"/>
          <w:tblHeader/>
          <w:jc w:val="center"/>
        </w:trPr>
        <w:tc>
          <w:tcPr>
            <w:tcW w:w="176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5E64308B" w14:textId="77777777" w:rsidR="00D8238D" w:rsidRPr="00A34376" w:rsidRDefault="00D8238D" w:rsidP="00022B8D">
            <w:pPr>
              <w:spacing w:before="60" w:after="60" w:line="240" w:lineRule="auto"/>
              <w:rPr>
                <w:rFonts w:ascii="Optima" w:hAnsi="Optima"/>
                <w:color w:val="262626" w:themeColor="text1" w:themeTint="D9"/>
                <w:sz w:val="19"/>
                <w:szCs w:val="19"/>
              </w:rPr>
            </w:pPr>
            <w:r w:rsidRPr="00A34376">
              <w:rPr>
                <w:rFonts w:ascii="Optima" w:hAnsi="Optima"/>
                <w:color w:val="262626" w:themeColor="text1" w:themeTint="D9"/>
                <w:sz w:val="19"/>
                <w:szCs w:val="19"/>
              </w:rPr>
              <w:t>Low Acuity</w:t>
            </w:r>
          </w:p>
        </w:tc>
        <w:tc>
          <w:tcPr>
            <w:tcW w:w="252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44A72514" w14:textId="77777777" w:rsidR="00D8238D" w:rsidRPr="00A34376" w:rsidRDefault="00D8238D" w:rsidP="00022B8D">
            <w:pPr>
              <w:spacing w:before="60" w:after="60" w:line="240" w:lineRule="auto"/>
              <w:jc w:val="center"/>
              <w:rPr>
                <w:rFonts w:ascii="Optima" w:hAnsi="Optima"/>
                <w:color w:val="262626" w:themeColor="text1" w:themeTint="D9"/>
                <w:sz w:val="19"/>
                <w:szCs w:val="19"/>
              </w:rPr>
            </w:pPr>
            <w:r w:rsidRPr="00A34376">
              <w:rPr>
                <w:rFonts w:ascii="Optima" w:hAnsi="Optima"/>
                <w:color w:val="262626" w:themeColor="text1" w:themeTint="D9"/>
                <w:sz w:val="19"/>
                <w:szCs w:val="19"/>
              </w:rPr>
              <w:t>$17.37</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c>
          <w:tcPr>
            <w:tcW w:w="230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5B464F46" w14:textId="77777777" w:rsidR="00D8238D" w:rsidRPr="00A34376" w:rsidRDefault="00D8238D" w:rsidP="00022B8D">
            <w:pPr>
              <w:spacing w:before="60" w:after="60" w:line="240" w:lineRule="auto"/>
              <w:jc w:val="center"/>
              <w:rPr>
                <w:rFonts w:ascii="Optima" w:hAnsi="Optima"/>
                <w:color w:val="262626" w:themeColor="text1" w:themeTint="D9"/>
                <w:sz w:val="19"/>
                <w:szCs w:val="19"/>
              </w:rPr>
            </w:pPr>
            <w:r w:rsidRPr="00A34376">
              <w:rPr>
                <w:rFonts w:ascii="Optima" w:hAnsi="Optima"/>
                <w:color w:val="262626" w:themeColor="text1" w:themeTint="D9"/>
                <w:sz w:val="19"/>
                <w:szCs w:val="19"/>
              </w:rPr>
              <w:t>$9.65</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c>
          <w:tcPr>
            <w:tcW w:w="2360" w:type="dxa"/>
            <w:tcBorders>
              <w:top w:val="single" w:sz="2" w:space="0" w:color="BFBFBF" w:themeColor="background1" w:themeShade="BF"/>
              <w:bottom w:val="single" w:sz="2" w:space="0" w:color="BFBFBF" w:themeColor="background1" w:themeShade="BF"/>
            </w:tcBorders>
            <w:shd w:val="clear" w:color="auto" w:fill="FFFFFF" w:themeFill="background1"/>
            <w:noWrap/>
            <w:vAlign w:val="center"/>
            <w:hideMark/>
          </w:tcPr>
          <w:p w14:paraId="335C168F" w14:textId="77777777" w:rsidR="00D8238D" w:rsidRPr="00A34376" w:rsidRDefault="00D8238D" w:rsidP="00022B8D">
            <w:pPr>
              <w:spacing w:before="60" w:after="60" w:line="240" w:lineRule="auto"/>
              <w:ind w:right="280"/>
              <w:jc w:val="center"/>
              <w:rPr>
                <w:rFonts w:ascii="Optima" w:hAnsi="Optima"/>
                <w:color w:val="262626" w:themeColor="text1" w:themeTint="D9"/>
                <w:sz w:val="19"/>
                <w:szCs w:val="19"/>
              </w:rPr>
            </w:pPr>
            <w:r w:rsidRPr="00A34376">
              <w:rPr>
                <w:rFonts w:ascii="Optima" w:hAnsi="Optima"/>
                <w:color w:val="262626" w:themeColor="text1" w:themeTint="D9"/>
                <w:sz w:val="19"/>
                <w:szCs w:val="19"/>
              </w:rPr>
              <w:t>$5.79</w:t>
            </w:r>
            <w:r w:rsidR="003F2F83" w:rsidRPr="00A34376">
              <w:rPr>
                <w:rFonts w:ascii="Optima" w:hAnsi="Optima"/>
                <w:color w:val="262626" w:themeColor="text1" w:themeTint="D9"/>
                <w:sz w:val="19"/>
                <w:szCs w:val="19"/>
              </w:rPr>
              <w:t xml:space="preserve"> </w:t>
            </w:r>
            <w:r w:rsidRPr="00A34376">
              <w:rPr>
                <w:rFonts w:ascii="Optima" w:hAnsi="Optima"/>
                <w:color w:val="262626" w:themeColor="text1" w:themeTint="D9"/>
                <w:sz w:val="19"/>
                <w:szCs w:val="19"/>
              </w:rPr>
              <w:t>/hour worked</w:t>
            </w:r>
          </w:p>
        </w:tc>
      </w:tr>
    </w:tbl>
    <w:p w14:paraId="4444641E" w14:textId="77777777" w:rsidR="004D4C63" w:rsidRPr="00043C33" w:rsidRDefault="004D4C63" w:rsidP="002476FD">
      <w:pPr>
        <w:pStyle w:val="NoSpacing"/>
      </w:pPr>
    </w:p>
    <w:p w14:paraId="13C156C3" w14:textId="394F2C4D" w:rsidR="00CA5859" w:rsidRDefault="004D4C63" w:rsidP="00370E8F">
      <w:r w:rsidRPr="00043C33">
        <w:t>This ensures that if the Job Coaching provided to an individual in a particular Tier/Phase hits the target percentage (i.e.</w:t>
      </w:r>
      <w:r w:rsidR="00ED11D3">
        <w:t>,</w:t>
      </w:r>
      <w:r w:rsidRPr="00043C33">
        <w:t xml:space="preserve"> the coaching provided is done for that percentage of time that the individual is working), the provider will receive compensation equal to their Job Coaching costs. If they fade more, their compensation would exceed their Job Coaching costs, and if they fade less, their compensation would be less than their Job Coaching costs</w:t>
      </w:r>
      <w:r w:rsidR="0037194D">
        <w:t xml:space="preserve">. </w:t>
      </w:r>
      <w:r w:rsidRPr="00043C33">
        <w:t>Thus, the incentive is to find ways to maximize fading, which is aligning the financial incentive with best practice outcomes. As an example:</w:t>
      </w:r>
    </w:p>
    <w:p w14:paraId="38C74C6B" w14:textId="77777777" w:rsidR="004D4C63" w:rsidRPr="00473FA0" w:rsidRDefault="004D4C63" w:rsidP="00B1367E">
      <w:pPr>
        <w:rPr>
          <w:i/>
          <w:iCs/>
        </w:rPr>
      </w:pPr>
      <w:r w:rsidRPr="00473FA0">
        <w:rPr>
          <w:i/>
          <w:iCs/>
        </w:rPr>
        <w:t>John is in the Medium Acuity group</w:t>
      </w:r>
      <w:r w:rsidR="00860E42" w:rsidRPr="00473FA0">
        <w:rPr>
          <w:i/>
          <w:iCs/>
        </w:rPr>
        <w:t>,</w:t>
      </w:r>
      <w:r w:rsidRPr="00473FA0">
        <w:rPr>
          <w:i/>
          <w:iCs/>
        </w:rPr>
        <w:t xml:space="preserve"> and he has held his job for 18 months. </w:t>
      </w:r>
    </w:p>
    <w:p w14:paraId="50CB696E" w14:textId="77777777" w:rsidR="004D4C63" w:rsidRPr="00473FA0" w:rsidRDefault="004D4C63" w:rsidP="00B1367E">
      <w:pPr>
        <w:rPr>
          <w:i/>
          <w:iCs/>
        </w:rPr>
      </w:pPr>
      <w:r w:rsidRPr="00473FA0">
        <w:rPr>
          <w:i/>
          <w:iCs/>
        </w:rPr>
        <w:t xml:space="preserve">Using the table in the prior section above, his target fading percentage is 45%. This means the target for the Job Coach is to coach John 45% of the time he is working. (Remember, coaching includes all time the Job Coach spends on behalf of John, not just face-to-face time.) </w:t>
      </w:r>
    </w:p>
    <w:p w14:paraId="26988285" w14:textId="77777777" w:rsidR="004D4C63" w:rsidRPr="00473FA0" w:rsidRDefault="004D4C63" w:rsidP="00B1367E">
      <w:pPr>
        <w:rPr>
          <w:i/>
          <w:iCs/>
        </w:rPr>
      </w:pPr>
      <w:r w:rsidRPr="00473FA0">
        <w:rPr>
          <w:i/>
          <w:iCs/>
        </w:rPr>
        <w:t>If John works 20 hours a week, the 45% target would equate to 9 hours a week of Job Coaching.</w:t>
      </w:r>
    </w:p>
    <w:p w14:paraId="43D3EED3" w14:textId="77777777" w:rsidR="004D4C63" w:rsidRPr="00473FA0" w:rsidRDefault="004D4C63" w:rsidP="00B1367E">
      <w:pPr>
        <w:rPr>
          <w:i/>
          <w:iCs/>
        </w:rPr>
      </w:pPr>
      <w:r w:rsidRPr="00473FA0">
        <w:rPr>
          <w:i/>
          <w:iCs/>
        </w:rPr>
        <w:t>If the Job Coach coaches John 9 hours/week, the weekly cost to the agency is $38.61 X 9 hours = $347.</w:t>
      </w:r>
      <w:r w:rsidR="00B276A9">
        <w:rPr>
          <w:i/>
          <w:iCs/>
        </w:rPr>
        <w:t>40.</w:t>
      </w:r>
    </w:p>
    <w:p w14:paraId="347DEB92" w14:textId="77777777" w:rsidR="004D4C63" w:rsidRPr="00473FA0" w:rsidRDefault="004D4C63" w:rsidP="00B1367E">
      <w:pPr>
        <w:rPr>
          <w:i/>
          <w:iCs/>
        </w:rPr>
      </w:pPr>
      <w:r w:rsidRPr="00473FA0">
        <w:rPr>
          <w:i/>
          <w:iCs/>
        </w:rPr>
        <w:t xml:space="preserve">Using the table immediately above, John’s payment per hour worked is $17.37. </w:t>
      </w:r>
    </w:p>
    <w:p w14:paraId="5DC30E7D" w14:textId="77777777" w:rsidR="004D4C63" w:rsidRPr="00473FA0" w:rsidRDefault="004D4C63" w:rsidP="00B1367E">
      <w:pPr>
        <w:rPr>
          <w:i/>
          <w:iCs/>
        </w:rPr>
      </w:pPr>
      <w:r w:rsidRPr="00473FA0">
        <w:rPr>
          <w:i/>
          <w:iCs/>
        </w:rPr>
        <w:t>If John works 20 hours/week, the weekly payment to the agency is $17.37 X 20 hours = $347.</w:t>
      </w:r>
      <w:r w:rsidR="00B276A9">
        <w:rPr>
          <w:i/>
          <w:iCs/>
        </w:rPr>
        <w:t>40.</w:t>
      </w:r>
    </w:p>
    <w:p w14:paraId="1F0FB212" w14:textId="77777777" w:rsidR="004D4C63" w:rsidRPr="00113DA0" w:rsidRDefault="004D4C63" w:rsidP="00B1367E">
      <w:pPr>
        <w:rPr>
          <w:b/>
          <w:bCs/>
          <w:i/>
          <w:iCs/>
          <w:sz w:val="24"/>
          <w:szCs w:val="24"/>
        </w:rPr>
      </w:pPr>
      <w:r w:rsidRPr="00113DA0">
        <w:rPr>
          <w:b/>
          <w:bCs/>
          <w:i/>
          <w:iCs/>
        </w:rPr>
        <w:t>If the fading target is met, the income from the payment per hour worked covers the job coaching costs.</w:t>
      </w:r>
    </w:p>
    <w:p w14:paraId="382F1C27" w14:textId="77777777" w:rsidR="004D4C63" w:rsidRPr="00473FA0" w:rsidRDefault="004D4C63" w:rsidP="00B1367E">
      <w:pPr>
        <w:rPr>
          <w:i/>
          <w:iCs/>
        </w:rPr>
      </w:pPr>
      <w:r w:rsidRPr="00473FA0">
        <w:rPr>
          <w:i/>
          <w:iCs/>
        </w:rPr>
        <w:t>If coaching is less, the cost to the agency for the coach is less; but the payment per hour worked remains the same. Thus, the agency earns net income as a result of fading more than the target percentage</w:t>
      </w:r>
      <w:r w:rsidR="005043F4" w:rsidRPr="00473FA0">
        <w:rPr>
          <w:i/>
          <w:iCs/>
        </w:rPr>
        <w:t xml:space="preserve">. </w:t>
      </w:r>
    </w:p>
    <w:p w14:paraId="0257E62E" w14:textId="77777777" w:rsidR="004D4C63" w:rsidRPr="00473FA0" w:rsidRDefault="004D4C63" w:rsidP="00B1367E">
      <w:pPr>
        <w:rPr>
          <w:i/>
          <w:iCs/>
        </w:rPr>
      </w:pPr>
      <w:r w:rsidRPr="00473FA0">
        <w:rPr>
          <w:i/>
          <w:iCs/>
        </w:rPr>
        <w:t>In contrast, if coaching is more, the cost to the agency for the coach is more; but the payment per hour worked remains the same. Thus, the agency experiences a net loss as a result of fading less than the target percentage</w:t>
      </w:r>
      <w:r w:rsidR="005043F4" w:rsidRPr="00473FA0">
        <w:rPr>
          <w:i/>
          <w:iCs/>
        </w:rPr>
        <w:t xml:space="preserve">. </w:t>
      </w:r>
    </w:p>
    <w:p w14:paraId="0126164E" w14:textId="77777777" w:rsidR="004D4C63" w:rsidRPr="00097085" w:rsidRDefault="004D4C63" w:rsidP="00B1367E">
      <w:r w:rsidRPr="00097085">
        <w:t>The need for an agency to achieve at least the targeted fading percentage, and ideally fade a greater amount, results in the agency putting more emphasis on finding the right job match and on using all of the best practice strategies that result in the job coach being able to fade.</w:t>
      </w:r>
    </w:p>
    <w:p w14:paraId="2D326C88" w14:textId="77777777" w:rsidR="004D4C63" w:rsidRPr="00D42701" w:rsidRDefault="004D4C63" w:rsidP="00B11115">
      <w:pPr>
        <w:pStyle w:val="Heading4"/>
      </w:pPr>
      <w:r w:rsidRPr="00D42701">
        <w:t>Revising the Inter-Agency Cash Transfer Agreement to Launch a Customized Employment Pilot Initiative</w:t>
      </w:r>
      <w:r w:rsidR="005A7871" w:rsidRPr="00D42701">
        <w:t xml:space="preserve"> with Michigan Rehabilitation Services</w:t>
      </w:r>
      <w:r w:rsidRPr="00D42701">
        <w:t xml:space="preserve">, Focused on People with IDD </w:t>
      </w:r>
    </w:p>
    <w:p w14:paraId="027A5EBE" w14:textId="77777777" w:rsidR="004D4C63" w:rsidRPr="00043C33" w:rsidRDefault="004D4C63" w:rsidP="00B1367E">
      <w:r w:rsidRPr="00BE4ED1">
        <w:t xml:space="preserve">As part of the larger change effort </w:t>
      </w:r>
      <w:r w:rsidR="003175D1">
        <w:t>OCHN</w:t>
      </w:r>
      <w:r w:rsidRPr="00BE4ED1">
        <w:t xml:space="preserve"> undertook to increase competitive integrated employment opportunities and outcomes for the individuals with disabilities it serves, they also considered how they might better leverage their Inter-Agency Cash Transfer Agreement (ICTA) with Michigan Rehabilitation Services (MRS).</w:t>
      </w:r>
      <w:r w:rsidRPr="00043C33">
        <w:t xml:space="preserve"> The partnership was viewed as valuable</w:t>
      </w:r>
      <w:r w:rsidR="0022372C">
        <w:t>,</w:t>
      </w:r>
      <w:r w:rsidRPr="00043C33">
        <w:t xml:space="preserve"> but the outcomes from the existing ICTA were not as good as </w:t>
      </w:r>
      <w:r w:rsidR="003175D1">
        <w:t>OCHN</w:t>
      </w:r>
      <w:r w:rsidRPr="00043C33">
        <w:t xml:space="preserve"> hoped they would be. </w:t>
      </w:r>
      <w:r w:rsidRPr="00AC1EFB">
        <w:t xml:space="preserve">Additionally, </w:t>
      </w:r>
      <w:r w:rsidR="003175D1">
        <w:t>OCHN</w:t>
      </w:r>
      <w:r w:rsidRPr="00AC1EFB">
        <w:t xml:space="preserve"> recognized that if all of their efforts around the IDD services and provider network were going to be effective, they need</w:t>
      </w:r>
      <w:r w:rsidR="00A16460" w:rsidRPr="00AC1EFB">
        <w:t>ed</w:t>
      </w:r>
      <w:r w:rsidRPr="00AC1EFB">
        <w:t xml:space="preserve"> to ensure individuals with IDD had a way to obtain competitive integrated employment and for providers to get reimbursed for learning and using best practices to assist individuals </w:t>
      </w:r>
      <w:r w:rsidR="00A16460" w:rsidRPr="00AC1EFB">
        <w:t>in obtaining</w:t>
      </w:r>
      <w:r w:rsidRPr="00AC1EFB">
        <w:t xml:space="preserve"> this employment</w:t>
      </w:r>
      <w:r w:rsidRPr="00043C33">
        <w:t xml:space="preserve">. After consideration, </w:t>
      </w:r>
      <w:r w:rsidR="003175D1">
        <w:t>OCHN</w:t>
      </w:r>
      <w:r w:rsidRPr="00043C33">
        <w:t xml:space="preserve"> decided to approach MRS about redefining the terms of the ICTA and </w:t>
      </w:r>
      <w:r w:rsidR="00F258B1">
        <w:t xml:space="preserve">used </w:t>
      </w:r>
      <w:r w:rsidRPr="00043C33">
        <w:t xml:space="preserve">the cash transfer to support access to </w:t>
      </w:r>
      <w:r w:rsidR="00A22E00">
        <w:t>CE</w:t>
      </w:r>
      <w:r w:rsidRPr="00043C33">
        <w:t xml:space="preserve"> services for individuals with IDD served by </w:t>
      </w:r>
      <w:r w:rsidR="003175D1">
        <w:t>OCHN</w:t>
      </w:r>
      <w:r w:rsidRPr="00043C33">
        <w:t>.</w:t>
      </w:r>
    </w:p>
    <w:p w14:paraId="2B914E58" w14:textId="1E273A43" w:rsidR="004D4C63" w:rsidRPr="00043C33" w:rsidRDefault="004D4C63" w:rsidP="00B1367E">
      <w:r w:rsidRPr="00043C33">
        <w:t xml:space="preserve">The focus on CE made sense for </w:t>
      </w:r>
      <w:r w:rsidR="00A16460">
        <w:t xml:space="preserve">several </w:t>
      </w:r>
      <w:r w:rsidRPr="00043C33">
        <w:t>reasons. First, WIOA had passed in 2014, requiring all state VR agencies to offer CE services. MRS did not yet pay for CE</w:t>
      </w:r>
      <w:r w:rsidR="00CA5859">
        <w:t>,</w:t>
      </w:r>
      <w:r w:rsidRPr="00043C33">
        <w:t xml:space="preserve"> but using the ICTA in this way would be an opportunity for MRS to do so on a pilot basis</w:t>
      </w:r>
      <w:r w:rsidR="0037194D">
        <w:t xml:space="preserve">. </w:t>
      </w:r>
      <w:r w:rsidRPr="00043C33">
        <w:t>Second, there continues to be evidence from across the country that CE is recognized as an evidence-based practice for people with IDD</w:t>
      </w:r>
      <w:r w:rsidR="0037194D">
        <w:t xml:space="preserve">. </w:t>
      </w:r>
      <w:r w:rsidRPr="00043C33">
        <w:t xml:space="preserve">Third, a large provider affiliated with </w:t>
      </w:r>
      <w:r w:rsidR="003175D1">
        <w:t>OCHN</w:t>
      </w:r>
      <w:r w:rsidRPr="00043C33">
        <w:t xml:space="preserve"> had been participating in the SourceAmerica “Pathways to Careers” initiative</w:t>
      </w:r>
      <w:r w:rsidR="004A35E2">
        <w:t>,</w:t>
      </w:r>
      <w:r w:rsidRPr="00043C33">
        <w:rPr>
          <w:rStyle w:val="FootnoteReference"/>
          <w:sz w:val="24"/>
          <w:szCs w:val="24"/>
        </w:rPr>
        <w:footnoteReference w:id="35"/>
      </w:r>
      <w:r w:rsidRPr="00043C33">
        <w:t xml:space="preserve"> which utilizes a high-fidelity CE approach</w:t>
      </w:r>
      <w:r w:rsidR="0037194D">
        <w:t xml:space="preserve">. </w:t>
      </w:r>
      <w:r w:rsidRPr="00043C33">
        <w:t>That provider had experienced significant early success and was a strong proponent for the value and effectiveness of CE in dialogue with both peer providers and MRS.</w:t>
      </w:r>
    </w:p>
    <w:p w14:paraId="0077415B" w14:textId="4DE452DC" w:rsidR="004D4C63" w:rsidRPr="0029596C" w:rsidRDefault="003175D1" w:rsidP="00B1367E">
      <w:r>
        <w:t>OCHN</w:t>
      </w:r>
      <w:r w:rsidR="004D4C63" w:rsidRPr="00043C33">
        <w:t xml:space="preserve"> worked with MRS to develop the framework for the CE pilot, adopting the sequence of services typically associated with CE process and adopting milestone rates that were based on </w:t>
      </w:r>
      <w:r w:rsidR="004D4C63" w:rsidRPr="0029596C">
        <w:t xml:space="preserve">rates in place by other state VR agencies for </w:t>
      </w:r>
      <w:r w:rsidR="00665904">
        <w:t>“</w:t>
      </w:r>
      <w:r w:rsidR="004D4C63" w:rsidRPr="0029596C">
        <w:t>like</w:t>
      </w:r>
      <w:r w:rsidR="00665904">
        <w:t>”</w:t>
      </w:r>
      <w:r w:rsidR="004D4C63" w:rsidRPr="0029596C">
        <w:t xml:space="preserve"> services and the assumptions underlying these rates with regard to:</w:t>
      </w:r>
    </w:p>
    <w:p w14:paraId="7A12F571" w14:textId="77777777" w:rsidR="004D4C63" w:rsidRPr="00043C33" w:rsidRDefault="004D4C63" w:rsidP="0029596C">
      <w:pPr>
        <w:pStyle w:val="ListBullet"/>
      </w:pPr>
      <w:r w:rsidRPr="00043C33">
        <w:t>Average time involved to complete the milestone</w:t>
      </w:r>
    </w:p>
    <w:p w14:paraId="445EED25" w14:textId="77777777" w:rsidR="004D4C63" w:rsidRPr="00043C33" w:rsidRDefault="004D4C63" w:rsidP="0029596C">
      <w:pPr>
        <w:pStyle w:val="ListBullet"/>
      </w:pPr>
      <w:r w:rsidRPr="00043C33">
        <w:t>Qualification of staff delivering the CE services and appropriate hourly wage for these staff</w:t>
      </w:r>
    </w:p>
    <w:p w14:paraId="08BC803B" w14:textId="4B4B93D1" w:rsidR="004D4C63" w:rsidRPr="00043C33" w:rsidRDefault="004D4C63" w:rsidP="00F7360C">
      <w:pPr>
        <w:pStyle w:val="ListBullet"/>
      </w:pPr>
      <w:r w:rsidRPr="00043C33">
        <w:t>Total hourly cost for staff delivering the CE services</w:t>
      </w:r>
    </w:p>
    <w:p w14:paraId="42901E77" w14:textId="3DC408BD" w:rsidR="004D4C63" w:rsidRPr="009E7729" w:rsidRDefault="004D4C63" w:rsidP="00B1367E">
      <w:pPr>
        <w:rPr>
          <w:b/>
          <w:bCs/>
        </w:rPr>
      </w:pPr>
      <w:r w:rsidRPr="009E7729">
        <w:rPr>
          <w:b/>
          <w:bCs/>
        </w:rPr>
        <w:t>MRS-</w:t>
      </w:r>
      <w:r w:rsidR="003175D1" w:rsidRPr="009E7729">
        <w:rPr>
          <w:b/>
          <w:bCs/>
        </w:rPr>
        <w:t>OCHN</w:t>
      </w:r>
      <w:r w:rsidRPr="009E7729">
        <w:rPr>
          <w:b/>
          <w:bCs/>
        </w:rPr>
        <w:t xml:space="preserve"> Customized Employment Pilot Milestone Schedule:</w:t>
      </w:r>
    </w:p>
    <w:p w14:paraId="2DED9C90" w14:textId="7A710E47" w:rsidR="004D4C63" w:rsidRPr="00CE73A7" w:rsidRDefault="004D4C63" w:rsidP="00086A85">
      <w:pPr>
        <w:pStyle w:val="ListNumber"/>
        <w:numPr>
          <w:ilvl w:val="0"/>
          <w:numId w:val="13"/>
        </w:numPr>
        <w:ind w:left="720"/>
        <w:rPr>
          <w:b/>
          <w:bCs/>
        </w:rPr>
      </w:pPr>
      <w:r w:rsidRPr="00CE73A7">
        <w:rPr>
          <w:b/>
          <w:bCs/>
        </w:rPr>
        <w:t>Discovery and Profile $1</w:t>
      </w:r>
      <w:r w:rsidR="00665904">
        <w:rPr>
          <w:b/>
          <w:bCs/>
        </w:rPr>
        <w:t>,</w:t>
      </w:r>
      <w:r w:rsidRPr="00CE73A7">
        <w:rPr>
          <w:b/>
          <w:bCs/>
        </w:rPr>
        <w:t>600</w:t>
      </w:r>
      <w:r w:rsidRPr="00CE73A7">
        <w:rPr>
          <w:b/>
          <w:bCs/>
        </w:rPr>
        <w:tab/>
      </w:r>
      <w:r w:rsidRPr="00CE73A7">
        <w:rPr>
          <w:b/>
          <w:bCs/>
        </w:rPr>
        <w:tab/>
      </w:r>
      <w:r w:rsidRPr="00CE73A7">
        <w:rPr>
          <w:b/>
          <w:bCs/>
        </w:rPr>
        <w:tab/>
      </w:r>
    </w:p>
    <w:p w14:paraId="0F9C1848" w14:textId="77777777" w:rsidR="004D4C63" w:rsidRPr="006C6AB5" w:rsidRDefault="004D4C63" w:rsidP="00516BD3">
      <w:pPr>
        <w:ind w:left="360"/>
      </w:pPr>
      <w:r w:rsidRPr="006C6AB5">
        <w:t xml:space="preserve">Discovery and written Profile is to be completed within 60 days. MRS will generate a Vendor Authorization for Purchase at the time of referral (prior to beginning service) to be paid within 30 days of submission of an invoice with </w:t>
      </w:r>
      <w:r w:rsidR="00BF0436">
        <w:t xml:space="preserve">a </w:t>
      </w:r>
      <w:r w:rsidRPr="006C6AB5">
        <w:t>completed Profile.</w:t>
      </w:r>
    </w:p>
    <w:p w14:paraId="725C3F12" w14:textId="77777777" w:rsidR="004D4C63" w:rsidRPr="00CE73A7" w:rsidRDefault="004D4C63" w:rsidP="00673B7A">
      <w:pPr>
        <w:pStyle w:val="ListNumber"/>
        <w:rPr>
          <w:b/>
          <w:bCs/>
        </w:rPr>
      </w:pPr>
      <w:r w:rsidRPr="00CE73A7">
        <w:rPr>
          <w:b/>
          <w:bCs/>
        </w:rPr>
        <w:t>Internship for Experience, Skill-Building</w:t>
      </w:r>
      <w:r w:rsidR="00BD6ED2" w:rsidRPr="00CE73A7">
        <w:rPr>
          <w:b/>
          <w:bCs/>
        </w:rPr>
        <w:t>,</w:t>
      </w:r>
      <w:r w:rsidRPr="00CE73A7">
        <w:rPr>
          <w:b/>
          <w:bCs/>
        </w:rPr>
        <w:t xml:space="preserve"> and Employer Reference</w:t>
      </w:r>
    </w:p>
    <w:p w14:paraId="57EC893A" w14:textId="77777777" w:rsidR="004D4C63" w:rsidRPr="006C6AB5" w:rsidRDefault="004D4C63" w:rsidP="00516BD3">
      <w:pPr>
        <w:ind w:left="360"/>
      </w:pPr>
      <w:r w:rsidRPr="006C6AB5">
        <w:t>By way of MRS Vendor Authorization for Purchase standard:</w:t>
      </w:r>
    </w:p>
    <w:p w14:paraId="2859614B" w14:textId="77777777" w:rsidR="004D4C63" w:rsidRPr="006C6AB5" w:rsidRDefault="004D4C63" w:rsidP="002D55F2">
      <w:pPr>
        <w:pStyle w:val="ListBullet"/>
        <w:ind w:left="1080"/>
      </w:pPr>
      <w:r w:rsidRPr="006C6AB5">
        <w:rPr>
          <w:b/>
        </w:rPr>
        <w:t>$500</w:t>
      </w:r>
      <w:r w:rsidRPr="006C6AB5">
        <w:t xml:space="preserve"> paid upon identifying and securing an internship opportunity for the individual.</w:t>
      </w:r>
    </w:p>
    <w:p w14:paraId="07F65151" w14:textId="3F20719C" w:rsidR="004D4C63" w:rsidRPr="00C20E16" w:rsidRDefault="004D4C63" w:rsidP="002D55F2">
      <w:pPr>
        <w:pStyle w:val="ListBullet"/>
        <w:ind w:left="1080"/>
      </w:pPr>
      <w:r w:rsidRPr="00C20E16">
        <w:rPr>
          <w:b/>
        </w:rPr>
        <w:t>$1,000</w:t>
      </w:r>
      <w:r w:rsidRPr="00C20E16">
        <w:t xml:space="preserve"> paid upon completion of at least a 24</w:t>
      </w:r>
      <w:r w:rsidR="00492CA9">
        <w:t>-</w:t>
      </w:r>
      <w:r w:rsidRPr="00C20E16">
        <w:t xml:space="preserve">hour internship (12-15 hours/week), service and submission of </w:t>
      </w:r>
      <w:r w:rsidR="002B1AB6" w:rsidRPr="00C20E16">
        <w:t xml:space="preserve">an </w:t>
      </w:r>
      <w:r w:rsidRPr="00C20E16">
        <w:t xml:space="preserve">acceptable report summarizing </w:t>
      </w:r>
      <w:r w:rsidR="002B1AB6" w:rsidRPr="00C20E16">
        <w:t xml:space="preserve">the </w:t>
      </w:r>
      <w:r w:rsidRPr="00C20E16">
        <w:t>internship and learning, including a letter of reference from the employer.</w:t>
      </w:r>
    </w:p>
    <w:p w14:paraId="0F9A4674" w14:textId="77777777" w:rsidR="004D4C63" w:rsidRPr="009B2E91" w:rsidRDefault="004D4C63" w:rsidP="002D55F2">
      <w:pPr>
        <w:pStyle w:val="ListBullet"/>
        <w:ind w:left="1080"/>
      </w:pPr>
      <w:r w:rsidRPr="006C6AB5">
        <w:rPr>
          <w:b/>
        </w:rPr>
        <w:t>Stipend</w:t>
      </w:r>
      <w:r w:rsidRPr="006C6AB5">
        <w:t xml:space="preserve"> paid for the individual commensurate with </w:t>
      </w:r>
      <w:r w:rsidR="00BF0436">
        <w:t xml:space="preserve">the </w:t>
      </w:r>
      <w:r w:rsidRPr="006C6AB5">
        <w:t>minimum wage</w:t>
      </w:r>
      <w:r w:rsidR="0066655C">
        <w:t xml:space="preserve"> </w:t>
      </w:r>
      <w:r w:rsidRPr="006C6AB5">
        <w:t xml:space="preserve">per hour and related employer payroll costs paid upon completion of the internship and the submission of </w:t>
      </w:r>
      <w:r w:rsidR="000612E3">
        <w:t xml:space="preserve">an </w:t>
      </w:r>
      <w:r w:rsidRPr="006C6AB5">
        <w:t>acceptable report.</w:t>
      </w:r>
    </w:p>
    <w:p w14:paraId="2C8D8232" w14:textId="77777777" w:rsidR="004D4C63" w:rsidRPr="00CE73A7" w:rsidRDefault="004D4C63" w:rsidP="00673B7A">
      <w:pPr>
        <w:pStyle w:val="ListNumber"/>
        <w:rPr>
          <w:b/>
          <w:bCs/>
        </w:rPr>
      </w:pPr>
      <w:r w:rsidRPr="00CE73A7">
        <w:rPr>
          <w:b/>
          <w:bCs/>
        </w:rPr>
        <w:t>Customized Supported Employment Placement (C-SEP)</w:t>
      </w:r>
    </w:p>
    <w:p w14:paraId="4BC87887" w14:textId="4E7B1DEA" w:rsidR="004D4C63" w:rsidRPr="006C6AB5" w:rsidRDefault="004D4C63" w:rsidP="002D55F2">
      <w:pPr>
        <w:pStyle w:val="ListBullet"/>
        <w:ind w:left="1080"/>
      </w:pPr>
      <w:r w:rsidRPr="006C6AB5">
        <w:rPr>
          <w:b/>
        </w:rPr>
        <w:t>$1,000</w:t>
      </w:r>
      <w:r w:rsidRPr="006C6AB5">
        <w:t xml:space="preserve"> upon individual completing 1 month on </w:t>
      </w:r>
      <w:r w:rsidR="006D4856">
        <w:t>the</w:t>
      </w:r>
      <w:r w:rsidRPr="006C6AB5">
        <w:t xml:space="preserve"> job(s) that is at least 12 hours</w:t>
      </w:r>
      <w:r w:rsidR="0066655C">
        <w:t xml:space="preserve"> per </w:t>
      </w:r>
      <w:r w:rsidRPr="006C6AB5">
        <w:t>week</w:t>
      </w:r>
      <w:r w:rsidR="005043F4">
        <w:t xml:space="preserve">. </w:t>
      </w:r>
    </w:p>
    <w:p w14:paraId="64C4AE01" w14:textId="2C51BC5F" w:rsidR="004D4C63" w:rsidRPr="006C6AB5" w:rsidRDefault="006F5BB7" w:rsidP="002D55F2">
      <w:pPr>
        <w:pStyle w:val="ListBullet"/>
        <w:ind w:left="1080"/>
      </w:pPr>
      <w:r>
        <w:rPr>
          <w:b/>
        </w:rPr>
        <w:t>$</w:t>
      </w:r>
      <w:r w:rsidR="004D4C63" w:rsidRPr="006C6AB5">
        <w:rPr>
          <w:b/>
        </w:rPr>
        <w:t>1,200</w:t>
      </w:r>
      <w:r w:rsidR="004D4C63" w:rsidRPr="006C6AB5">
        <w:t xml:space="preserve"> upon individual completing 2 months on the job(s), working an average of at least 1) hours</w:t>
      </w:r>
      <w:r w:rsidR="0066655C">
        <w:t xml:space="preserve"> per</w:t>
      </w:r>
      <w:r w:rsidR="004D4C63" w:rsidRPr="006C6AB5">
        <w:t xml:space="preserve"> week.</w:t>
      </w:r>
    </w:p>
    <w:p w14:paraId="685449D5" w14:textId="44E6F8E8" w:rsidR="004D4C63" w:rsidRPr="006C6AB5" w:rsidRDefault="006F5BB7" w:rsidP="002D55F2">
      <w:pPr>
        <w:pStyle w:val="ListBullet"/>
        <w:ind w:left="1080"/>
      </w:pPr>
      <w:r>
        <w:rPr>
          <w:b/>
        </w:rPr>
        <w:t>$</w:t>
      </w:r>
      <w:r w:rsidR="004D4C63" w:rsidRPr="006C6AB5">
        <w:rPr>
          <w:b/>
        </w:rPr>
        <w:t xml:space="preserve">1,400 </w:t>
      </w:r>
      <w:r w:rsidR="004D4C63" w:rsidRPr="006C6AB5">
        <w:t xml:space="preserve">upon individual completing 3 months on the job(s), working an average of at least 12 hours </w:t>
      </w:r>
      <w:r w:rsidR="0066655C">
        <w:t xml:space="preserve">per </w:t>
      </w:r>
      <w:r w:rsidR="004D4C63" w:rsidRPr="006C6AB5">
        <w:t>week.</w:t>
      </w:r>
    </w:p>
    <w:p w14:paraId="04A158AF" w14:textId="77777777" w:rsidR="004D4C63" w:rsidRPr="006C6AB5" w:rsidRDefault="004D4C63" w:rsidP="0035635D">
      <w:pPr>
        <w:ind w:left="360"/>
      </w:pPr>
      <w:r w:rsidRPr="006C6AB5">
        <w:t>Note</w:t>
      </w:r>
      <w:r w:rsidR="008C4BED">
        <w:t xml:space="preserve">: </w:t>
      </w:r>
      <w:r w:rsidRPr="006C6AB5">
        <w:t>Job Training and Coaching costs will be separately reimbursed as described below.</w:t>
      </w:r>
    </w:p>
    <w:p w14:paraId="3CD3DF0E" w14:textId="77777777" w:rsidR="004D4C63" w:rsidRPr="00FC4068" w:rsidRDefault="004D4C63" w:rsidP="00673B7A">
      <w:pPr>
        <w:pStyle w:val="ListNumber"/>
        <w:rPr>
          <w:b/>
          <w:bCs/>
        </w:rPr>
      </w:pPr>
      <w:r w:rsidRPr="00FC4068">
        <w:rPr>
          <w:b/>
          <w:bCs/>
        </w:rPr>
        <w:t>Job Analysis, Training, Coaching</w:t>
      </w:r>
      <w:r w:rsidR="006F5BB7" w:rsidRPr="00FC4068">
        <w:rPr>
          <w:b/>
          <w:bCs/>
        </w:rPr>
        <w:t>,</w:t>
      </w:r>
      <w:r w:rsidRPr="00FC4068">
        <w:rPr>
          <w:b/>
          <w:bCs/>
        </w:rPr>
        <w:t xml:space="preserve"> and Support/Facilitation of Natural Supports</w:t>
      </w:r>
    </w:p>
    <w:p w14:paraId="2720FFBE" w14:textId="77777777" w:rsidR="004D4C63" w:rsidRPr="006C6AB5" w:rsidRDefault="004D4C63" w:rsidP="0035635D">
      <w:pPr>
        <w:ind w:left="360"/>
      </w:pPr>
      <w:r w:rsidRPr="006C6AB5">
        <w:t xml:space="preserve">Will be authorized and paid by MRS at a customary and typical hourly rate. </w:t>
      </w:r>
    </w:p>
    <w:p w14:paraId="37FFE5D4" w14:textId="77777777" w:rsidR="004D4C63" w:rsidRPr="00FC4068" w:rsidRDefault="004D4C63" w:rsidP="00B1367E">
      <w:pPr>
        <w:rPr>
          <w:b/>
          <w:bCs/>
        </w:rPr>
      </w:pPr>
      <w:r w:rsidRPr="00FC4068">
        <w:rPr>
          <w:b/>
          <w:bCs/>
        </w:rPr>
        <w:t>Total Cost Per Case for All Milestones Outlined Above:</w:t>
      </w:r>
    </w:p>
    <w:p w14:paraId="4BDA67DF" w14:textId="2D6356AC" w:rsidR="007218C8" w:rsidRDefault="00136DF5" w:rsidP="007218C8">
      <w:r>
        <w:t xml:space="preserve">Recording </w:t>
      </w:r>
      <w:r w:rsidR="004D4C63" w:rsidRPr="001653A0">
        <w:t>at least 12 hours</w:t>
      </w:r>
      <w:r>
        <w:t xml:space="preserve"> per </w:t>
      </w:r>
      <w:r w:rsidR="004D4C63" w:rsidRPr="001653A0">
        <w:t>week</w:t>
      </w:r>
      <w:r w:rsidR="00616B6B">
        <w:t xml:space="preserve"> on the job </w:t>
      </w:r>
      <w:r w:rsidR="004D4C63" w:rsidRPr="001653A0">
        <w:sym w:font="Wingdings" w:char="F0E0"/>
      </w:r>
      <w:r w:rsidR="004D4C63" w:rsidRPr="001653A0">
        <w:t>$6,700 + Job Coaching/Supports and stipend commensurate with minimum wage for all hours worked.</w:t>
      </w:r>
    </w:p>
    <w:p w14:paraId="58573BCA" w14:textId="77777777" w:rsidR="004D4C63" w:rsidRPr="00D21173" w:rsidRDefault="004D4C63" w:rsidP="00B1367E">
      <w:pPr>
        <w:rPr>
          <w:b/>
          <w:bCs/>
        </w:rPr>
      </w:pPr>
      <w:r w:rsidRPr="00D21173">
        <w:rPr>
          <w:b/>
          <w:bCs/>
        </w:rPr>
        <w:t>Job Training/Coaching Beyond Four Weeks:</w:t>
      </w:r>
    </w:p>
    <w:p w14:paraId="259DA59A" w14:textId="6BE7B285" w:rsidR="004D4C63" w:rsidRPr="00043C33" w:rsidRDefault="004D4C63" w:rsidP="00B1367E">
      <w:r w:rsidRPr="00043C33">
        <w:t xml:space="preserve">Job Supports, including Job Coaching, needed beyond four weeks on the job(s) shall be the responsibility of </w:t>
      </w:r>
      <w:r w:rsidR="003175D1">
        <w:t>OCHN</w:t>
      </w:r>
      <w:r w:rsidRPr="00043C33">
        <w:t xml:space="preserve"> and shall be authorized on the individual’s Medicaid Waiver Plan of Service</w:t>
      </w:r>
      <w:r w:rsidR="005043F4">
        <w:t xml:space="preserve">. </w:t>
      </w:r>
    </w:p>
    <w:p w14:paraId="2BE6CA08" w14:textId="77777777" w:rsidR="004D4C63" w:rsidRPr="00D21173" w:rsidRDefault="004D4C63" w:rsidP="00B1367E">
      <w:pPr>
        <w:rPr>
          <w:b/>
          <w:bCs/>
        </w:rPr>
      </w:pPr>
      <w:r w:rsidRPr="00D21173">
        <w:rPr>
          <w:b/>
          <w:bCs/>
        </w:rPr>
        <w:t>Providers:</w:t>
      </w:r>
    </w:p>
    <w:p w14:paraId="4FE15A84" w14:textId="77777777" w:rsidR="004D4C63" w:rsidRPr="00043C33" w:rsidRDefault="004D4C63" w:rsidP="00B1367E">
      <w:r w:rsidRPr="00043C33">
        <w:t xml:space="preserve">Two providers contracted with both OCHN and MRS for Supported Employment, who had both </w:t>
      </w:r>
      <w:r w:rsidR="006F5BB7">
        <w:t xml:space="preserve">the </w:t>
      </w:r>
      <w:r w:rsidRPr="00043C33">
        <w:t xml:space="preserve">capacity and interest in providing CE services to individuals with IDD served by </w:t>
      </w:r>
      <w:r w:rsidR="003175D1">
        <w:t>OCHN</w:t>
      </w:r>
      <w:r w:rsidRPr="00043C33">
        <w:t>, were recruited and offered expert technical assistance during implementation from CE in return for:</w:t>
      </w:r>
    </w:p>
    <w:p w14:paraId="135A49FB" w14:textId="77777777" w:rsidR="004D4C63" w:rsidRPr="00043C33" w:rsidRDefault="004D4C63" w:rsidP="00086A85">
      <w:pPr>
        <w:pStyle w:val="ListBullet"/>
        <w:numPr>
          <w:ilvl w:val="0"/>
          <w:numId w:val="8"/>
        </w:numPr>
      </w:pPr>
      <w:r w:rsidRPr="00043C33">
        <w:t xml:space="preserve">Having existing </w:t>
      </w:r>
      <w:r w:rsidR="00F655C6">
        <w:t>Supported Employment</w:t>
      </w:r>
      <w:r w:rsidRPr="00043C33">
        <w:t xml:space="preserve"> staff sufficient to handle anticipated referrals for CE.</w:t>
      </w:r>
    </w:p>
    <w:p w14:paraId="09D4D55D" w14:textId="77777777" w:rsidR="004D4C63" w:rsidRPr="00043C33" w:rsidRDefault="004D4C63" w:rsidP="00086A85">
      <w:pPr>
        <w:pStyle w:val="ListBullet"/>
        <w:numPr>
          <w:ilvl w:val="0"/>
          <w:numId w:val="8"/>
        </w:numPr>
      </w:pPr>
      <w:r w:rsidRPr="00043C33">
        <w:t>Committing to providing staff to receive CE referrals who were already certified in CE or committed to obtaining the certification in a timely manner.</w:t>
      </w:r>
    </w:p>
    <w:p w14:paraId="450A0695" w14:textId="77777777" w:rsidR="004D4C63" w:rsidRPr="00043C33" w:rsidRDefault="004814F2" w:rsidP="00086A85">
      <w:pPr>
        <w:pStyle w:val="ListBullet"/>
        <w:numPr>
          <w:ilvl w:val="0"/>
          <w:numId w:val="8"/>
        </w:numPr>
      </w:pPr>
      <w:r>
        <w:t>The w</w:t>
      </w:r>
      <w:r w:rsidR="004D4C63" w:rsidRPr="00043C33">
        <w:t xml:space="preserve">illingness to commit the time of appropriate administrative and </w:t>
      </w:r>
      <w:r w:rsidR="00F655C6">
        <w:t>Supported Employment</w:t>
      </w:r>
      <w:r w:rsidR="004D4C63" w:rsidRPr="00043C33">
        <w:t xml:space="preserve"> staff necessary to participate fully in the CE Pilot, including participation in CE training, technical assistance via phone or in-person, monthly or quarterly pilot steering committee meetings, evaluation activities, etc.</w:t>
      </w:r>
    </w:p>
    <w:p w14:paraId="2CAB6C01" w14:textId="77777777" w:rsidR="004D4C63" w:rsidRPr="00043C33" w:rsidRDefault="004814F2" w:rsidP="00086A85">
      <w:pPr>
        <w:pStyle w:val="ListBullet"/>
        <w:numPr>
          <w:ilvl w:val="0"/>
          <w:numId w:val="8"/>
        </w:numPr>
      </w:pPr>
      <w:r>
        <w:t>The w</w:t>
      </w:r>
      <w:r w:rsidR="004D4C63" w:rsidRPr="00043C33">
        <w:t xml:space="preserve">illingness to commit financial resources to match (dollar for dollar) a grant to the vendor from the Michigan Developmental Disabilities Council to underwrite the costs of staff certification (if staff </w:t>
      </w:r>
      <w:r w:rsidR="00CB48BE">
        <w:t xml:space="preserve">is </w:t>
      </w:r>
      <w:r w:rsidR="004D4C63" w:rsidRPr="00043C33">
        <w:t>not already certified) and additional technical assistance and training from a CE expert during the pilot.</w:t>
      </w:r>
    </w:p>
    <w:p w14:paraId="475B2F17" w14:textId="32B89B24" w:rsidR="004D4C63" w:rsidRPr="00356FE9" w:rsidRDefault="005B357C" w:rsidP="00086A85">
      <w:pPr>
        <w:pStyle w:val="ListBullet"/>
        <w:numPr>
          <w:ilvl w:val="0"/>
          <w:numId w:val="8"/>
        </w:numPr>
      </w:pPr>
      <w:r w:rsidRPr="00356FE9">
        <w:t>The c</w:t>
      </w:r>
      <w:r w:rsidR="004D4C63" w:rsidRPr="00356FE9">
        <w:t xml:space="preserve">ommitment to ensuring sufficient </w:t>
      </w:r>
      <w:r w:rsidR="00F655C6">
        <w:t>Supported Employment</w:t>
      </w:r>
      <w:r w:rsidR="004D4C63" w:rsidRPr="00356FE9">
        <w:t xml:space="preserve"> Job Coaching staff necessary to provide the Job Analysis, Training</w:t>
      </w:r>
      <w:r w:rsidR="00002753" w:rsidRPr="00356FE9">
        <w:t>,</w:t>
      </w:r>
      <w:r w:rsidR="004D4C63" w:rsidRPr="00356FE9">
        <w:t xml:space="preserve"> and Support/Facilitation of Natural Supports service individuals placed into customized </w:t>
      </w:r>
      <w:r w:rsidR="00F655C6">
        <w:t>Supported Employment</w:t>
      </w:r>
      <w:r w:rsidR="004D4C63" w:rsidRPr="00356FE9">
        <w:t xml:space="preserve"> positions during </w:t>
      </w:r>
      <w:r w:rsidR="00916D56">
        <w:t xml:space="preserve">fiscal year </w:t>
      </w:r>
      <w:r w:rsidR="004D4C63" w:rsidRPr="00356FE9">
        <w:t>2017, and commitment to ensuring these Job Coaches have training and technical assistance to implement best practices outlined in the Job Analysis, Training</w:t>
      </w:r>
      <w:r w:rsidR="00356FE9">
        <w:t>,</w:t>
      </w:r>
      <w:r w:rsidR="004D4C63" w:rsidRPr="00356FE9">
        <w:t xml:space="preserve"> and Support/Facilitation of Natural Supports service description.</w:t>
      </w:r>
    </w:p>
    <w:p w14:paraId="2F747A30" w14:textId="635B947E" w:rsidR="007218C8" w:rsidRDefault="004D4C63" w:rsidP="00370E8F">
      <w:r w:rsidRPr="00A6046E">
        <w:t xml:space="preserve">Overall, </w:t>
      </w:r>
      <w:r w:rsidR="003175D1" w:rsidRPr="00A6046E">
        <w:t>OCHN</w:t>
      </w:r>
      <w:r w:rsidRPr="00A6046E">
        <w:t xml:space="preserve"> understood </w:t>
      </w:r>
      <w:r w:rsidR="004814F2" w:rsidRPr="00A6046E">
        <w:t xml:space="preserve">that </w:t>
      </w:r>
      <w:r w:rsidRPr="00A6046E">
        <w:t>a multi-faceted approach to aligning financial incentives for increasing competitive integrated employment, addressing both its SMI and IDD populations and using outcome and milestone-based reimbursement models, design</w:t>
      </w:r>
      <w:r w:rsidR="004814F2" w:rsidRPr="00A6046E">
        <w:t>ed</w:t>
      </w:r>
      <w:r w:rsidRPr="00A6046E">
        <w:t xml:space="preserve"> in collaboration with employment service providers and funding partners, put appropriate emphasis on services that lead to successful outcomes.</w:t>
      </w:r>
      <w:r w:rsidRPr="00043C33">
        <w:t xml:space="preserve"> </w:t>
      </w:r>
      <w:r w:rsidRPr="00A6046E">
        <w:t xml:space="preserve">Additionally, the </w:t>
      </w:r>
      <w:r w:rsidR="003175D1" w:rsidRPr="00A6046E">
        <w:t>OCHN</w:t>
      </w:r>
      <w:r w:rsidRPr="00A6046E">
        <w:t xml:space="preserve"> rebalancing of employment service reimbursement rates, including appropriate cost-justified reductions in facility-based prevocational (Skill Building) rates and the creation of separate rates for </w:t>
      </w:r>
      <w:r w:rsidR="00F52A6F" w:rsidRPr="00A6046E">
        <w:t>C</w:t>
      </w:r>
      <w:r w:rsidRPr="00A6046E">
        <w:t>ommunity-</w:t>
      </w:r>
      <w:r w:rsidR="00F52A6F" w:rsidRPr="00A6046E">
        <w:t>B</w:t>
      </w:r>
      <w:r w:rsidRPr="00A6046E">
        <w:t>ased Skill Building</w:t>
      </w:r>
      <w:r w:rsidR="00631BFA" w:rsidRPr="00A6046E">
        <w:t>,</w:t>
      </w:r>
      <w:r w:rsidRPr="00A6046E">
        <w:t xml:space="preserve"> was critical </w:t>
      </w:r>
      <w:r w:rsidR="00631BFA" w:rsidRPr="00A6046E">
        <w:t>in ensuring</w:t>
      </w:r>
      <w:r w:rsidRPr="00A6046E">
        <w:t xml:space="preserve"> the changes as a whole had the desired impact and providers were clearly incentivized to develop and expand capacity to deliver services supporting competitive integrated employment and community integration</w:t>
      </w:r>
      <w:r w:rsidR="00631BFA" w:rsidRPr="00A6046E">
        <w:t>.</w:t>
      </w:r>
      <w:r w:rsidR="00631BFA">
        <w:t xml:space="preserve"> This rebalancing was</w:t>
      </w:r>
      <w:r w:rsidRPr="0054664A">
        <w:t xml:space="preserve"> consistent with the Medicaid HCBS Settings Rule, Title II of the Americans with Disabilities Act, the Workforce Innovation and Opportunity Act</w:t>
      </w:r>
      <w:r w:rsidR="00631BFA">
        <w:t>,</w:t>
      </w:r>
      <w:r w:rsidRPr="0054664A">
        <w:t xml:space="preserve"> and evidence-based practices for advancing competitive integrated employment for both people with SMI and IDD.</w:t>
      </w:r>
    </w:p>
    <w:p w14:paraId="4492D2D6" w14:textId="77777777" w:rsidR="004D4C63" w:rsidRPr="00A049B4" w:rsidRDefault="004D4C63" w:rsidP="00B11115">
      <w:pPr>
        <w:pStyle w:val="Heading1"/>
      </w:pPr>
      <w:bookmarkStart w:id="61" w:name="_Toc70944208"/>
      <w:r w:rsidRPr="00A049B4">
        <w:t>Establishing Funding Streams Dedicated Solely to Advancing Competitive Integrated Employment</w:t>
      </w:r>
      <w:bookmarkEnd w:id="61"/>
      <w:r w:rsidRPr="00A049B4">
        <w:t xml:space="preserve"> </w:t>
      </w:r>
    </w:p>
    <w:p w14:paraId="4FAF3522" w14:textId="77777777" w:rsidR="004D4C63" w:rsidRPr="00043C33" w:rsidRDefault="004D4C63" w:rsidP="00B11115">
      <w:pPr>
        <w:pStyle w:val="Heading2"/>
      </w:pPr>
      <w:bookmarkStart w:id="62" w:name="_Toc70944209"/>
      <w:r w:rsidRPr="00043C33">
        <w:t>C</w:t>
      </w:r>
      <w:r w:rsidR="009915F2">
        <w:t>ase Example</w:t>
      </w:r>
      <w:r w:rsidR="008C4BED">
        <w:t xml:space="preserve">: </w:t>
      </w:r>
      <w:r w:rsidRPr="00043C33">
        <w:t>D</w:t>
      </w:r>
      <w:r w:rsidR="009915F2">
        <w:t>elaware</w:t>
      </w:r>
      <w:r w:rsidRPr="00043C33">
        <w:t xml:space="preserve"> </w:t>
      </w:r>
      <w:r w:rsidR="009915F2" w:rsidRPr="009915F2">
        <w:t>Pathways to Employment 1915i State Plan Amendment</w:t>
      </w:r>
      <w:bookmarkEnd w:id="62"/>
    </w:p>
    <w:p w14:paraId="0F962794" w14:textId="77777777" w:rsidR="004D4C63" w:rsidRPr="00043C33" w:rsidRDefault="004D4C63" w:rsidP="00B1367E">
      <w:r w:rsidRPr="00043C33">
        <w:t>In January 2015, the Delaware Department of Health and Social Services</w:t>
      </w:r>
      <w:r w:rsidR="00927411">
        <w:t>—</w:t>
      </w:r>
      <w:r w:rsidRPr="00043C33">
        <w:t>the single state Medicaid agency</w:t>
      </w:r>
      <w:r w:rsidR="00927411">
        <w:t>—</w:t>
      </w:r>
      <w:r w:rsidRPr="00043C33">
        <w:t xml:space="preserve">received approval for the </w:t>
      </w:r>
      <w:r w:rsidRPr="00043C33">
        <w:rPr>
          <w:i/>
        </w:rPr>
        <w:t>Pathways to Employment</w:t>
      </w:r>
      <w:r w:rsidRPr="00043C33">
        <w:t xml:space="preserve"> Medicaid 1915i State Plan Amendment</w:t>
      </w:r>
      <w:r w:rsidRPr="00043C33">
        <w:rPr>
          <w:rStyle w:val="FootnoteReference"/>
          <w:rFonts w:eastAsia="Times New Roman" w:cstheme="minorHAnsi"/>
          <w:sz w:val="24"/>
          <w:szCs w:val="24"/>
        </w:rPr>
        <w:footnoteReference w:id="36"/>
      </w:r>
      <w:r w:rsidRPr="00043C33">
        <w:t xml:space="preserve"> permitting it to offer a new set of HCBS services solely and specifically focused on advancing competitive integrated employment:</w:t>
      </w:r>
    </w:p>
    <w:p w14:paraId="0E792485" w14:textId="77777777" w:rsidR="004D4C63" w:rsidRPr="00043C33" w:rsidRDefault="004D4C63" w:rsidP="002D55F2">
      <w:pPr>
        <w:pStyle w:val="ListBullet"/>
      </w:pPr>
      <w:r w:rsidRPr="00043C33">
        <w:t>Employment Navigator (Case Manager focused on competitive integrated employment)</w:t>
      </w:r>
    </w:p>
    <w:p w14:paraId="587ACE4B" w14:textId="77777777" w:rsidR="004D4C63" w:rsidRPr="00043C33" w:rsidRDefault="004D4C63" w:rsidP="002D55F2">
      <w:pPr>
        <w:pStyle w:val="ListBullet"/>
      </w:pPr>
      <w:r w:rsidRPr="00043C33">
        <w:t>Career Exploration and Assessment</w:t>
      </w:r>
    </w:p>
    <w:p w14:paraId="7A48F420" w14:textId="77777777" w:rsidR="004D4C63" w:rsidRPr="00043C33" w:rsidRDefault="004D4C63" w:rsidP="002D55F2">
      <w:pPr>
        <w:pStyle w:val="ListBullet"/>
      </w:pPr>
      <w:r w:rsidRPr="00043C33">
        <w:t>Benefits Counseling (Focus on work incentives)</w:t>
      </w:r>
    </w:p>
    <w:p w14:paraId="5BCA6A82" w14:textId="77777777" w:rsidR="004D4C63" w:rsidRPr="00043C33" w:rsidRDefault="004D4C63" w:rsidP="002D55F2">
      <w:pPr>
        <w:pStyle w:val="ListBullet"/>
      </w:pPr>
      <w:r w:rsidRPr="00043C33">
        <w:t>Financial Coaching Plus</w:t>
      </w:r>
    </w:p>
    <w:p w14:paraId="7F64D2DE" w14:textId="77777777" w:rsidR="004D4C63" w:rsidRPr="00043C33" w:rsidRDefault="004D4C63" w:rsidP="002D55F2">
      <w:pPr>
        <w:pStyle w:val="ListBullet"/>
      </w:pPr>
      <w:r w:rsidRPr="00043C33">
        <w:t xml:space="preserve">Orientation, Mobility, and Assistive Technology </w:t>
      </w:r>
    </w:p>
    <w:p w14:paraId="59FA8017" w14:textId="77777777" w:rsidR="004D4C63" w:rsidRPr="00043C33" w:rsidRDefault="004D4C63" w:rsidP="002D55F2">
      <w:pPr>
        <w:pStyle w:val="ListBullet"/>
      </w:pPr>
      <w:r w:rsidRPr="00043C33">
        <w:t>Individual Supported Employment</w:t>
      </w:r>
    </w:p>
    <w:p w14:paraId="7A10CC7E" w14:textId="6F24939C" w:rsidR="004D4C63" w:rsidRPr="00043C33" w:rsidRDefault="004D4C63" w:rsidP="002D55F2">
      <w:pPr>
        <w:pStyle w:val="ListBullet"/>
      </w:pPr>
      <w:r w:rsidRPr="00043C33">
        <w:t xml:space="preserve">Small Group Supported Employment (Maximum group size is </w:t>
      </w:r>
      <w:r w:rsidR="00916D56">
        <w:t>four</w:t>
      </w:r>
      <w:r w:rsidRPr="00043C33">
        <w:t>; minimum wage or higher required; outcome expected to be competitive integrated employment in individualized position)</w:t>
      </w:r>
    </w:p>
    <w:p w14:paraId="7181EB51" w14:textId="77777777" w:rsidR="004D4C63" w:rsidRPr="00043C33" w:rsidRDefault="004D4C63" w:rsidP="002D55F2">
      <w:pPr>
        <w:pStyle w:val="ListBullet"/>
      </w:pPr>
      <w:r w:rsidRPr="00043C33">
        <w:t>Non-Medical Transportation</w:t>
      </w:r>
    </w:p>
    <w:p w14:paraId="202D71D9" w14:textId="77777777" w:rsidR="004D4C63" w:rsidRPr="00F7360C" w:rsidRDefault="004D4C63" w:rsidP="002D55F2">
      <w:pPr>
        <w:pStyle w:val="ListBullet"/>
        <w:rPr>
          <w:sz w:val="24"/>
          <w:szCs w:val="24"/>
        </w:rPr>
      </w:pPr>
      <w:r w:rsidRPr="00043C33">
        <w:t>Personal Care (including option for self-direction)</w:t>
      </w:r>
    </w:p>
    <w:p w14:paraId="0A754935" w14:textId="77777777" w:rsidR="004D4C63" w:rsidRPr="00043C33" w:rsidRDefault="004D4C63" w:rsidP="00B1367E">
      <w:r w:rsidRPr="00043C33">
        <w:t>All of the services are defined specifically to address</w:t>
      </w:r>
      <w:r w:rsidR="002268C9">
        <w:t xml:space="preserve"> the</w:t>
      </w:r>
      <w:r w:rsidRPr="00043C33">
        <w:t xml:space="preserve"> supports needed for obtaining and maintaining competitive integrated employment</w:t>
      </w:r>
      <w:r w:rsidR="005043F4">
        <w:t xml:space="preserve">. </w:t>
      </w:r>
    </w:p>
    <w:p w14:paraId="508632A5" w14:textId="372FD0C5" w:rsidR="004D4C63" w:rsidRPr="00043C33" w:rsidRDefault="002268C9" w:rsidP="00B1367E">
      <w:r w:rsidRPr="00043C33">
        <w:t>Two divisions within DHSS administer the program</w:t>
      </w:r>
      <w:r w:rsidR="008C4BED">
        <w:t xml:space="preserve">: </w:t>
      </w:r>
      <w:r w:rsidR="007218C8">
        <w:t>T</w:t>
      </w:r>
      <w:r w:rsidR="0020568B" w:rsidRPr="00043C33">
        <w:t>he</w:t>
      </w:r>
      <w:r w:rsidR="004D4C63" w:rsidRPr="00043C33">
        <w:t xml:space="preserve"> Developmental Disabilities Division and the Aging and Adults with Physical Disabilities Division</w:t>
      </w:r>
      <w:r w:rsidR="0037194D">
        <w:t xml:space="preserve">. </w:t>
      </w:r>
      <w:r w:rsidR="004D4C63" w:rsidRPr="006C6AB5">
        <w:rPr>
          <w:b/>
          <w:bCs/>
        </w:rPr>
        <w:t xml:space="preserve">The program serves individuals, ages 14-25, who have a desire to work in a competitive work environment </w:t>
      </w:r>
      <w:r w:rsidR="004D4C63" w:rsidRPr="006C6AB5">
        <w:t xml:space="preserve">and for which the services provided are not otherwise available to the individual under either special education and related services as defined in section 602(16) and (17) of the Education of the Handicapped Act (20 U.S.C. 1401(16) and (17)) or </w:t>
      </w:r>
      <w:r w:rsidR="00323E00">
        <w:t>VR</w:t>
      </w:r>
      <w:r w:rsidR="004D4C63" w:rsidRPr="006C6AB5">
        <w:t xml:space="preserve"> services available to the individual through a program funded under section</w:t>
      </w:r>
      <w:r w:rsidR="004D4C63" w:rsidRPr="00043C33">
        <w:t xml:space="preserve"> </w:t>
      </w:r>
      <w:r w:rsidR="004D4C63" w:rsidRPr="006C6AB5">
        <w:t>110 of the Rehabilitation Act of 1973 (29 U.S.C. 730)</w:t>
      </w:r>
      <w:r w:rsidR="0037194D">
        <w:t xml:space="preserve">. </w:t>
      </w:r>
      <w:r w:rsidR="004D4C63" w:rsidRPr="006C6AB5">
        <w:t>Specifically, the program serves the following target populations:</w:t>
      </w:r>
    </w:p>
    <w:p w14:paraId="4751CD37" w14:textId="77777777" w:rsidR="004D4C63" w:rsidRPr="00043C33" w:rsidRDefault="004D4C63" w:rsidP="002D55F2">
      <w:pPr>
        <w:pStyle w:val="ListBullet"/>
      </w:pPr>
      <w:r w:rsidRPr="00043C33">
        <w:rPr>
          <w:b/>
        </w:rPr>
        <w:t>Individuals who are Visually Impaired</w:t>
      </w:r>
      <w:r w:rsidR="008C4BED">
        <w:rPr>
          <w:b/>
        </w:rPr>
        <w:t xml:space="preserve">: </w:t>
      </w:r>
      <w:r w:rsidRPr="00043C33">
        <w:t xml:space="preserve">Individuals </w:t>
      </w:r>
      <w:r w:rsidR="00EE0F47">
        <w:t xml:space="preserve">who </w:t>
      </w:r>
      <w:r w:rsidRPr="00043C33">
        <w:t>are unemployed</w:t>
      </w:r>
      <w:r w:rsidR="00EE0F47">
        <w:t xml:space="preserve">, </w:t>
      </w:r>
      <w:r w:rsidRPr="00043C33">
        <w:t>underemployed</w:t>
      </w:r>
      <w:r w:rsidR="00EE0F47">
        <w:t>,</w:t>
      </w:r>
      <w:r w:rsidRPr="00043C33">
        <w:t xml:space="preserve"> or at risk of losing their job without supports.</w:t>
      </w:r>
    </w:p>
    <w:p w14:paraId="283A98B0" w14:textId="77777777" w:rsidR="004D4C63" w:rsidRPr="00043C33" w:rsidRDefault="004D4C63" w:rsidP="002D55F2">
      <w:pPr>
        <w:pStyle w:val="ListBullet"/>
      </w:pPr>
      <w:r w:rsidRPr="00043C33">
        <w:rPr>
          <w:b/>
        </w:rPr>
        <w:t>Individuals with Physical Disabilities</w:t>
      </w:r>
      <w:r w:rsidR="008C4BED">
        <w:rPr>
          <w:b/>
        </w:rPr>
        <w:t xml:space="preserve">: </w:t>
      </w:r>
      <w:r w:rsidRPr="00043C33">
        <w:t xml:space="preserve">Individuals whose physical condition affects their ability to live independently, who need ongoing assistance with at least </w:t>
      </w:r>
      <w:r w:rsidR="005C727C">
        <w:t>one</w:t>
      </w:r>
      <w:r w:rsidRPr="00043C33">
        <w:t xml:space="preserve"> </w:t>
      </w:r>
      <w:r w:rsidR="00F6596B">
        <w:t>of the Ac</w:t>
      </w:r>
      <w:r w:rsidR="008311E5">
        <w:t>tivit</w:t>
      </w:r>
      <w:r w:rsidR="00F6596B">
        <w:t>ies</w:t>
      </w:r>
      <w:r w:rsidR="008311E5">
        <w:t xml:space="preserve"> of </w:t>
      </w:r>
      <w:r w:rsidR="00F6596B">
        <w:t>Daily L</w:t>
      </w:r>
      <w:r w:rsidR="008311E5">
        <w:t>iving (</w:t>
      </w:r>
      <w:r w:rsidRPr="00043C33">
        <w:t>ADL</w:t>
      </w:r>
      <w:r w:rsidR="008311E5">
        <w:t>)</w:t>
      </w:r>
      <w:r w:rsidR="0064684D">
        <w:t>,</w:t>
      </w:r>
      <w:r w:rsidRPr="00043C33">
        <w:t xml:space="preserve"> and who are at risk of being unable to sustain competitive employment without supports.</w:t>
      </w:r>
    </w:p>
    <w:p w14:paraId="6B006C61" w14:textId="77777777" w:rsidR="004D4C63" w:rsidRPr="00043C33" w:rsidRDefault="004D4C63" w:rsidP="002D55F2">
      <w:pPr>
        <w:pStyle w:val="ListBullet"/>
      </w:pPr>
      <w:r w:rsidRPr="00043C33">
        <w:rPr>
          <w:b/>
        </w:rPr>
        <w:t>Individuals with Intellectual Disabilities, Autism Spectrum Disorders</w:t>
      </w:r>
      <w:r w:rsidR="0064684D">
        <w:rPr>
          <w:b/>
        </w:rPr>
        <w:t>,</w:t>
      </w:r>
      <w:r w:rsidRPr="00043C33">
        <w:rPr>
          <w:b/>
        </w:rPr>
        <w:t xml:space="preserve"> or Asperger’s Syndrome</w:t>
      </w:r>
      <w:r w:rsidR="008C4BED">
        <w:rPr>
          <w:b/>
        </w:rPr>
        <w:t xml:space="preserve">: </w:t>
      </w:r>
      <w:r w:rsidRPr="00082B9E">
        <w:t>Individuals with significant limitations in adaptive function and/or who need assistance with at least one area of ADL, and/or who have difficulty understanding and interpreting social situations and are unlikely to be able to obtain or sustain competitive employment without supports</w:t>
      </w:r>
      <w:r w:rsidR="0064684D" w:rsidRPr="00082B9E">
        <w:t>.</w:t>
      </w:r>
    </w:p>
    <w:p w14:paraId="0A4ABA48" w14:textId="77777777" w:rsidR="004D4C63" w:rsidRPr="00043C33" w:rsidRDefault="004D4C63" w:rsidP="00B1367E">
      <w:r w:rsidRPr="00043C33">
        <w:t xml:space="preserve">A program like this enables a state that may have limited new financial resources to create access to services that support competitive integrated employment in a way that ensures the new investment goes exclusively to advancing competitive integrated employment. The 1915i State Plan Amendment option also allows the state to establish a specific target population(s) even though offering the services through the Medicaid State plan requires the state to make the program an entitlement (no waiting list permitted) for those specified target populations. These unique features allow a state to establish a pure </w:t>
      </w:r>
      <w:r w:rsidRPr="00043C33">
        <w:rPr>
          <w:b/>
          <w:i/>
        </w:rPr>
        <w:t>Employment First</w:t>
      </w:r>
      <w:r w:rsidRPr="00043C33">
        <w:t xml:space="preserve"> HCBS option. </w:t>
      </w:r>
    </w:p>
    <w:p w14:paraId="6FD90524" w14:textId="77777777" w:rsidR="004D4C63" w:rsidRPr="00DA6B5C" w:rsidRDefault="0035640D" w:rsidP="00B11115">
      <w:pPr>
        <w:pStyle w:val="Heading2"/>
      </w:pPr>
      <w:bookmarkStart w:id="63" w:name="_Toc70944210"/>
      <w:r w:rsidRPr="00DA6B5C">
        <w:t>Case Example</w:t>
      </w:r>
      <w:r w:rsidR="008C4BED" w:rsidRPr="00DA6B5C">
        <w:t xml:space="preserve">: </w:t>
      </w:r>
      <w:r w:rsidR="004D4C63" w:rsidRPr="00DA6B5C">
        <w:t>G</w:t>
      </w:r>
      <w:r w:rsidR="00E866BD" w:rsidRPr="00DA6B5C">
        <w:t>eorg</w:t>
      </w:r>
      <w:r w:rsidR="003A79CF" w:rsidRPr="00DA6B5C">
        <w:t>i</w:t>
      </w:r>
      <w:r w:rsidR="00E866BD" w:rsidRPr="00DA6B5C">
        <w:t>a</w:t>
      </w:r>
      <w:r w:rsidR="004D4C63" w:rsidRPr="00DA6B5C">
        <w:t xml:space="preserve"> “</w:t>
      </w:r>
      <w:r w:rsidR="00E866BD" w:rsidRPr="00DA6B5C">
        <w:t>Employment Express</w:t>
      </w:r>
      <w:r w:rsidR="004D4C63" w:rsidRPr="00DA6B5C">
        <w:t xml:space="preserve">” </w:t>
      </w:r>
      <w:r w:rsidR="003A79CF" w:rsidRPr="00DA6B5C">
        <w:t>Competitive Integrated Employment Program</w:t>
      </w:r>
      <w:bookmarkEnd w:id="63"/>
    </w:p>
    <w:p w14:paraId="73A71DA0" w14:textId="77777777" w:rsidR="001736C4" w:rsidRPr="001736C4" w:rsidRDefault="001736C4" w:rsidP="00B1367E">
      <w:r w:rsidRPr="001736C4">
        <w:t>“Employment Express” is a new funding structure administered by the Georgia Department of Behavioral Health and Developmental Disabilities (GDBHDD) and involves a collaborative partnership with the Georgia Vocational Rehabilitation Agency (GVRA)</w:t>
      </w:r>
      <w:r w:rsidR="006677B7">
        <w:t xml:space="preserve">. </w:t>
      </w:r>
      <w:r w:rsidRPr="001736C4">
        <w:t>The program went live statewide on March 1, 2018. The goal of the two agency’s collaboration is to support individuals with significant IDD in finding and maintaining competitive integrated employment.</w:t>
      </w:r>
      <w:r w:rsidRPr="001736C4">
        <w:rPr>
          <w:vertAlign w:val="superscript"/>
        </w:rPr>
        <w:footnoteReference w:id="37"/>
      </w:r>
      <w:r w:rsidRPr="001736C4">
        <w:t xml:space="preserve"> The Employment Express Funding Track (EEFT) is designed</w:t>
      </w:r>
      <w:r w:rsidRPr="001736C4">
        <w:rPr>
          <w:b/>
          <w:bCs/>
        </w:rPr>
        <w:t xml:space="preserve"> </w:t>
      </w:r>
      <w:r w:rsidRPr="001736C4">
        <w:t xml:space="preserve">to fund extended/long-term Supported Employment supports in a way that provides a quick path to competitive integrated employment. </w:t>
      </w:r>
    </w:p>
    <w:p w14:paraId="6D288486" w14:textId="77777777" w:rsidR="009447EB" w:rsidRPr="009447EB" w:rsidRDefault="009447EB" w:rsidP="00B1367E">
      <w:r w:rsidRPr="009447EB">
        <w:t xml:space="preserve">Persons with IDD who want to work in the community and are determined pre-eligible for </w:t>
      </w:r>
      <w:r w:rsidR="00AC2334">
        <w:t>G</w:t>
      </w:r>
      <w:r w:rsidRPr="009447EB">
        <w:t xml:space="preserve">DBHDD Medicaid Waiver services can bypass the Planning List and be </w:t>
      </w:r>
      <w:r w:rsidRPr="009A1FC1">
        <w:t xml:space="preserve">immediately </w:t>
      </w:r>
      <w:r w:rsidRPr="0019107C">
        <w:t xml:space="preserve">referred to </w:t>
      </w:r>
      <w:r w:rsidR="00356213" w:rsidRPr="0019107C">
        <w:t xml:space="preserve">the </w:t>
      </w:r>
      <w:r w:rsidRPr="0019107C">
        <w:t>Georgia Vocational Rehabilitation Agency (GVRA</w:t>
      </w:r>
      <w:r w:rsidRPr="009A1FC1">
        <w:t>) for funding of the early phas</w:t>
      </w:r>
      <w:r w:rsidRPr="009447EB">
        <w:t>e of S</w:t>
      </w:r>
      <w:r w:rsidR="00CE2DA9">
        <w:t>upported Employment</w:t>
      </w:r>
      <w:r w:rsidRPr="009447EB">
        <w:t xml:space="preserve"> supports to achieve competitive integrated employment</w:t>
      </w:r>
      <w:r w:rsidR="006677B7">
        <w:t xml:space="preserve">. </w:t>
      </w:r>
      <w:r w:rsidRPr="009447EB">
        <w:t xml:space="preserve">The </w:t>
      </w:r>
      <w:r w:rsidR="00AC2334">
        <w:t>G</w:t>
      </w:r>
      <w:r w:rsidRPr="009447EB">
        <w:t>DBHDD then funds the extended phase of S</w:t>
      </w:r>
      <w:r w:rsidR="00CE2DA9">
        <w:t>upported Employment</w:t>
      </w:r>
      <w:r w:rsidRPr="009447EB">
        <w:t xml:space="preserve"> supports through this state funding structure</w:t>
      </w:r>
      <w:r w:rsidR="00356213">
        <w:t>,</w:t>
      </w:r>
      <w:r w:rsidRPr="009447EB">
        <w:t xml:space="preserve"> which includes the provision of Support Coordination to address employment/career goals, needs related to job loss</w:t>
      </w:r>
      <w:r w:rsidR="00356213">
        <w:t>,</w:t>
      </w:r>
      <w:r w:rsidRPr="009447EB">
        <w:t xml:space="preserve"> and other unmet needs not related to employment</w:t>
      </w:r>
      <w:r w:rsidR="00E80C64">
        <w:t xml:space="preserve">. </w:t>
      </w:r>
    </w:p>
    <w:p w14:paraId="4670FD31" w14:textId="4C8AE93A" w:rsidR="00AC2334" w:rsidRDefault="00AC2334" w:rsidP="00B1367E">
      <w:r w:rsidRPr="00AC2334">
        <w:t>A strong example of sequencing</w:t>
      </w:r>
      <w:r w:rsidRPr="00AC2334">
        <w:rPr>
          <w:vertAlign w:val="superscript"/>
        </w:rPr>
        <w:footnoteReference w:id="38"/>
      </w:r>
      <w:r w:rsidRPr="00AC2334">
        <w:t xml:space="preserve"> of resources and services, GVRA provides the early supports up through on-the-job stabilization, which can occur as early as </w:t>
      </w:r>
      <w:r w:rsidR="00916D56">
        <w:t>60</w:t>
      </w:r>
      <w:r w:rsidRPr="00AC2334">
        <w:t xml:space="preserve"> days after an individual begins in a competitive integrated job. At this point the “Employment Express Funding Track” state funding is offered by the </w:t>
      </w:r>
      <w:r>
        <w:t>G</w:t>
      </w:r>
      <w:r w:rsidRPr="00AC2334">
        <w:t>DBHDD. This funding is available as long as the job lasts and is paid at a monthly maintenance rate to the Supported Employment provider.</w:t>
      </w:r>
      <w:r w:rsidRPr="00AC2334">
        <w:rPr>
          <w:vertAlign w:val="superscript"/>
        </w:rPr>
        <w:footnoteReference w:id="39"/>
      </w:r>
      <w:r w:rsidRPr="00AC2334">
        <w:t xml:space="preserve"> To qualify, the individual supported must be working an average of 10 or more hours per week and Supported Employment (including Support Coordination) must be the only </w:t>
      </w:r>
      <w:r w:rsidR="006B6476">
        <w:t>G</w:t>
      </w:r>
      <w:r w:rsidRPr="00AC2334">
        <w:t xml:space="preserve">DBHDD-funded service the person receives. </w:t>
      </w:r>
    </w:p>
    <w:p w14:paraId="77AE2C05" w14:textId="77777777" w:rsidR="00AC2334" w:rsidRPr="00AC2334" w:rsidRDefault="00AC2334" w:rsidP="00B1367E">
      <w:r w:rsidRPr="001B1F3A">
        <w:t>While this model does not leverage federal funding except for the GVRA-funded portion of the services, the use of state funding by GDBHDD to create the immediate availability of supports to sustain competitive integrated employment for individuals with IDD who need long-term support advances Employment First</w:t>
      </w:r>
      <w:r w:rsidRPr="001B1F3A">
        <w:rPr>
          <w:vertAlign w:val="superscript"/>
        </w:rPr>
        <w:footnoteReference w:id="40"/>
      </w:r>
      <w:r w:rsidRPr="001B1F3A">
        <w:t xml:space="preserve"> in a critical way.</w:t>
      </w:r>
      <w:r w:rsidRPr="00AC2334">
        <w:t xml:space="preserve"> </w:t>
      </w:r>
    </w:p>
    <w:p w14:paraId="6FDBB93E" w14:textId="77777777" w:rsidR="004D4C63" w:rsidRPr="00A049B4" w:rsidRDefault="004D4C63" w:rsidP="00B11115">
      <w:pPr>
        <w:pStyle w:val="Heading1"/>
      </w:pPr>
      <w:bookmarkStart w:id="64" w:name="_Toc70944211"/>
      <w:r w:rsidRPr="00A049B4">
        <w:t>Models for Paying Employers to Assume the Post-Hire Roles Typically Filled by Employment Service Provider Agencies</w:t>
      </w:r>
      <w:bookmarkEnd w:id="64"/>
    </w:p>
    <w:p w14:paraId="5B5E826C" w14:textId="7A9B8A76" w:rsidR="004D4C63" w:rsidRPr="00043C33" w:rsidRDefault="004D4C63" w:rsidP="000648F7">
      <w:pPr>
        <w:rPr>
          <w:sz w:val="24"/>
          <w:szCs w:val="24"/>
        </w:rPr>
      </w:pPr>
      <w:r w:rsidRPr="006C6AB5">
        <w:t xml:space="preserve">As the efforts to increase opportunities for competitive integrated employment steadily continue to grow, there are obvious system capacity issues that begin to surface or show themselves more prominently. For a variety of reasons, it is clear in many places around the country that there </w:t>
      </w:r>
      <w:r w:rsidR="00961061">
        <w:t>is</w:t>
      </w:r>
      <w:r w:rsidRPr="006C6AB5">
        <w:t xml:space="preserve"> not enough willing, able</w:t>
      </w:r>
      <w:r w:rsidR="00854EAE">
        <w:t>,</w:t>
      </w:r>
      <w:r w:rsidRPr="006C6AB5">
        <w:t xml:space="preserve"> and available providers of Supported Employment services</w:t>
      </w:r>
      <w:r w:rsidR="0037194D">
        <w:t xml:space="preserve">. </w:t>
      </w:r>
      <w:r w:rsidRPr="006C6AB5">
        <w:t>If providers are present, they often do not have adequate staff trained, experienced</w:t>
      </w:r>
      <w:r w:rsidR="00854EAE">
        <w:t>,</w:t>
      </w:r>
      <w:r w:rsidRPr="006C6AB5">
        <w:t xml:space="preserve"> and available to deliver the various services individuals with disabilities need to explore, obtain</w:t>
      </w:r>
      <w:r w:rsidR="00854EAE">
        <w:t>,</w:t>
      </w:r>
      <w:r w:rsidRPr="006C6AB5">
        <w:t xml:space="preserve"> and maintain competitive integrated employment</w:t>
      </w:r>
      <w:r w:rsidR="0037194D">
        <w:t xml:space="preserve">. </w:t>
      </w:r>
      <w:r w:rsidRPr="0003146B">
        <w:t>This problem is acute when it comes to job coaching and the provision of needed training and on-the-job support once a person obtains competitive integrated employment.</w:t>
      </w:r>
      <w:r w:rsidRPr="006C6AB5">
        <w:t xml:space="preserve"> The direct service workforce crisis in the</w:t>
      </w:r>
      <w:r w:rsidRPr="00043C33">
        <w:rPr>
          <w:sz w:val="24"/>
          <w:szCs w:val="24"/>
        </w:rPr>
        <w:t xml:space="preserve"> </w:t>
      </w:r>
      <w:r w:rsidRPr="006C6AB5">
        <w:t>broader field of disability services</w:t>
      </w:r>
      <w:r w:rsidRPr="00055456">
        <w:rPr>
          <w:vertAlign w:val="superscript"/>
        </w:rPr>
        <w:footnoteReference w:id="41"/>
      </w:r>
      <w:r w:rsidRPr="00055456">
        <w:rPr>
          <w:vertAlign w:val="superscript"/>
        </w:rPr>
        <w:t xml:space="preserve"> </w:t>
      </w:r>
      <w:r w:rsidR="00804C7E" w:rsidRPr="006C6AB5">
        <w:t xml:space="preserve">directly </w:t>
      </w:r>
      <w:r w:rsidRPr="006C6AB5">
        <w:t>impacts Supported Employment providers. Many agencies do not have sufficient job coaching staff due to this crisis and other factors</w:t>
      </w:r>
      <w:r w:rsidR="005043F4">
        <w:t xml:space="preserve">. </w:t>
      </w:r>
    </w:p>
    <w:p w14:paraId="53BE4FA9" w14:textId="77777777" w:rsidR="004D4C63" w:rsidRDefault="004D4C63" w:rsidP="00B1367E">
      <w:r w:rsidRPr="00043C33">
        <w:t>As is often the case, out of crisis comes some of the most innovative, common</w:t>
      </w:r>
      <w:r w:rsidR="00804C7E">
        <w:t>-</w:t>
      </w:r>
      <w:r w:rsidRPr="00043C33">
        <w:t>sense solutions. Across the country, there is increasing awareness that employers (supervisors, co-workers) are typically the best sources of training and on-the-job-supports for people with disabilities. This is the case for many reasons:</w:t>
      </w:r>
    </w:p>
    <w:p w14:paraId="4702EBD9" w14:textId="77777777" w:rsidR="004D4C63" w:rsidRPr="00043C33" w:rsidRDefault="004D4C63" w:rsidP="002D55F2">
      <w:pPr>
        <w:pStyle w:val="ListBullet"/>
      </w:pPr>
      <w:r w:rsidRPr="00043C33">
        <w:t>Those who work for the company know best how the company expects the work to be done, and they know from experience how training of new employees is best carried out to ensure those employees do the work the way the company expects it will be done.</w:t>
      </w:r>
      <w:r w:rsidRPr="00043C33">
        <w:rPr>
          <w:rStyle w:val="FootnoteReference"/>
          <w:sz w:val="24"/>
          <w:szCs w:val="24"/>
        </w:rPr>
        <w:footnoteReference w:id="42"/>
      </w:r>
      <w:r w:rsidRPr="00043C33">
        <w:t xml:space="preserve"> If </w:t>
      </w:r>
      <w:r w:rsidR="008A4E97" w:rsidRPr="00043C33">
        <w:t xml:space="preserve">someone </w:t>
      </w:r>
      <w:r w:rsidR="008A4E97">
        <w:t xml:space="preserve">who works for the company </w:t>
      </w:r>
      <w:r w:rsidR="008A4E97" w:rsidRPr="00043C33">
        <w:t>teaches a person with a disability</w:t>
      </w:r>
      <w:r w:rsidRPr="00043C33">
        <w:t>, the training is done the way all new employees receive training. While accommodations may be provided (</w:t>
      </w:r>
      <w:r w:rsidR="00023280">
        <w:t xml:space="preserve">e.g., </w:t>
      </w:r>
      <w:r w:rsidRPr="00043C33">
        <w:t>communication; extended training period; adaptive equipment; support from a Supported Employment Specialist), approaching training this way is much more likely to lead to an employee with a disability experiencing long-term success than if a job coach that does not work for the employer assumes primary responsibility for training</w:t>
      </w:r>
      <w:r w:rsidR="005043F4">
        <w:t xml:space="preserve">. </w:t>
      </w:r>
    </w:p>
    <w:p w14:paraId="561EBB6C" w14:textId="21727C61" w:rsidR="004D4C63" w:rsidRPr="00043C33" w:rsidRDefault="004D4C63" w:rsidP="002D55F2">
      <w:pPr>
        <w:pStyle w:val="ListBullet"/>
      </w:pPr>
      <w:r w:rsidRPr="00043C33">
        <w:t>When natural trainers (i.e.</w:t>
      </w:r>
      <w:r w:rsidR="00DC3287">
        <w:t>,</w:t>
      </w:r>
      <w:r w:rsidRPr="00043C33">
        <w:t xml:space="preserve"> whoever would train any new employee filling the position the person with a disability is filling) provide the training, this creates the opportunity for the natural people in the workplace to understand how to communicate with, and effectively train and supervise/direct</w:t>
      </w:r>
      <w:r w:rsidR="002451FF">
        <w:t>,</w:t>
      </w:r>
      <w:r w:rsidRPr="00043C33">
        <w:t xml:space="preserve"> the employee with a disability. It also allows the employee with a disability to understand how to communicate with the natural people in the workplace. Without a third party (</w:t>
      </w:r>
      <w:r w:rsidR="00023280">
        <w:t xml:space="preserve">e.g., </w:t>
      </w:r>
      <w:r w:rsidRPr="00043C33">
        <w:t>job coach) trying to act as a go-between rather than supporting this natural process, the groundwork is laid for the employee with a disability to receive</w:t>
      </w:r>
      <w:r w:rsidR="002451FF">
        <w:t xml:space="preserve"> </w:t>
      </w:r>
      <w:r w:rsidRPr="00043C33">
        <w:t>the natural supports need</w:t>
      </w:r>
      <w:r w:rsidR="00916D56">
        <w:t>ed</w:t>
      </w:r>
      <w:r w:rsidRPr="00043C33">
        <w:t xml:space="preserve"> to be successful on the job</w:t>
      </w:r>
      <w:r w:rsidR="002451FF" w:rsidRPr="002451FF">
        <w:t xml:space="preserve"> </w:t>
      </w:r>
      <w:r w:rsidR="002451FF" w:rsidRPr="00043C33">
        <w:t>in an effective way</w:t>
      </w:r>
      <w:r w:rsidR="002451FF">
        <w:t>.</w:t>
      </w:r>
    </w:p>
    <w:p w14:paraId="74090508" w14:textId="77777777" w:rsidR="004D4C63" w:rsidRPr="00043C33" w:rsidRDefault="004D4C63" w:rsidP="002D55F2">
      <w:pPr>
        <w:pStyle w:val="ListBullet"/>
      </w:pPr>
      <w:r w:rsidRPr="00043C33">
        <w:t>There is a shortage of job coaches, especially in rural areas</w:t>
      </w:r>
      <w:r w:rsidR="005043F4">
        <w:t xml:space="preserve">. </w:t>
      </w:r>
    </w:p>
    <w:p w14:paraId="19130C34" w14:textId="77777777" w:rsidR="004D4C63" w:rsidRPr="00043C33" w:rsidRDefault="004D4C63" w:rsidP="002D55F2">
      <w:pPr>
        <w:pStyle w:val="ListBullet"/>
      </w:pPr>
      <w:r w:rsidRPr="00043C33">
        <w:t>Some workplaces are crowded, and the presence of a job coach creates issues for other employees.</w:t>
      </w:r>
    </w:p>
    <w:p w14:paraId="0AC7E9F4" w14:textId="77777777" w:rsidR="004D4C63" w:rsidRPr="00043C33" w:rsidRDefault="004D4C63" w:rsidP="002D55F2">
      <w:pPr>
        <w:pStyle w:val="ListBullet"/>
      </w:pPr>
      <w:r w:rsidRPr="00043C33">
        <w:t>Some employers do not want job coaches employed by other agencies in their workplaces.</w:t>
      </w:r>
    </w:p>
    <w:p w14:paraId="3266FEEC" w14:textId="77777777" w:rsidR="004D4C63" w:rsidRPr="00043C33" w:rsidRDefault="004D4C63" w:rsidP="002D55F2">
      <w:pPr>
        <w:pStyle w:val="ListBullet"/>
      </w:pPr>
      <w:r w:rsidRPr="00043C33">
        <w:t>Many supported employees would rather not have a “special” person that is in the workplace with them to provide them the support they need.</w:t>
      </w:r>
    </w:p>
    <w:p w14:paraId="344E6FF0" w14:textId="77777777" w:rsidR="004D4C63" w:rsidRPr="00AA323C" w:rsidRDefault="004D4C63" w:rsidP="002D55F2">
      <w:pPr>
        <w:pStyle w:val="ListBullet"/>
        <w:rPr>
          <w:sz w:val="24"/>
          <w:szCs w:val="24"/>
        </w:rPr>
      </w:pPr>
      <w:r w:rsidRPr="00282756">
        <w:t>If people need intermittent support during their shift, or support only at the beginning and/or end of their shift, using Supported Employment funding to send a job coach (tra</w:t>
      </w:r>
      <w:r w:rsidRPr="00AD5FAA">
        <w:t xml:space="preserve">vel time + travel expense) to the workplace to offer, for example, </w:t>
      </w:r>
      <w:r w:rsidR="00EA04FB" w:rsidRPr="00AA323C">
        <w:t>15-minute</w:t>
      </w:r>
      <w:r w:rsidRPr="00AA323C">
        <w:t>s of support in each hour</w:t>
      </w:r>
      <w:r w:rsidRPr="00282756">
        <w:t xml:space="preserve">, is not cost-effective as compared to being able to reimburse the employer for a co-worker or supervisor providing the </w:t>
      </w:r>
      <w:r w:rsidR="00EA04FB" w:rsidRPr="00AD5FAA">
        <w:t>15-minute</w:t>
      </w:r>
      <w:r w:rsidRPr="00AA323C">
        <w:t>s of support that is needed each hour.</w:t>
      </w:r>
    </w:p>
    <w:p w14:paraId="4029199D" w14:textId="264DA120" w:rsidR="00FD3B8E" w:rsidRDefault="004D4C63" w:rsidP="00B1367E">
      <w:r w:rsidRPr="00043C33">
        <w:t>These are the most common reasons there is increasing attention being paid to using funding streams for competitive integrated employment (namely Supported Employment funding streams) to compensate employers directly when they assume the primary and ongoing responsibility for training and supervising an employee with a disability, including the extra training and support that that employee may need to be successful on the job. Examples of ways to compensate employers directly are discussed below.</w:t>
      </w:r>
    </w:p>
    <w:p w14:paraId="03C86432" w14:textId="77777777" w:rsidR="004D4C63" w:rsidRPr="00AE79AC" w:rsidRDefault="004D4C63" w:rsidP="00B1367E">
      <w:pPr>
        <w:rPr>
          <w:b/>
          <w:bCs/>
        </w:rPr>
      </w:pPr>
      <w:r w:rsidRPr="00AE79AC">
        <w:rPr>
          <w:b/>
          <w:bCs/>
        </w:rPr>
        <w:t>1. Vocational Rehabilitation and American Job Center On-the-Job Training Options</w:t>
      </w:r>
    </w:p>
    <w:p w14:paraId="39B88292" w14:textId="77777777" w:rsidR="004D4C63" w:rsidRPr="00043C33" w:rsidRDefault="004D4C63" w:rsidP="00B1367E">
      <w:r w:rsidRPr="00043C33">
        <w:t xml:space="preserve">Paying employers for on-the-job training (OJT) is something both </w:t>
      </w:r>
      <w:r w:rsidR="004A6A7C">
        <w:t>VR</w:t>
      </w:r>
      <w:r w:rsidRPr="00043C33">
        <w:t xml:space="preserve"> agencies and American Job Centers can do.</w:t>
      </w:r>
      <w:r w:rsidR="0045502A">
        <w:rPr>
          <w:rStyle w:val="FootnoteReference"/>
        </w:rPr>
        <w:footnoteReference w:id="43"/>
      </w:r>
      <w:r w:rsidR="007C08F5">
        <w:t xml:space="preserve"> </w:t>
      </w:r>
      <w:r w:rsidRPr="00043C33">
        <w:t>By using this strategy, employers are assured the new hire learns the company</w:t>
      </w:r>
      <w:r w:rsidR="00AA323C">
        <w:t>’s</w:t>
      </w:r>
      <w:r w:rsidRPr="00043C33">
        <w:t xml:space="preserve"> work processes and the company’s way of getting the work done. OJT allows for an individual to be hired who might not otherwise have been hired due to </w:t>
      </w:r>
      <w:r w:rsidR="00AA323C">
        <w:t xml:space="preserve">a </w:t>
      </w:r>
      <w:r w:rsidRPr="00043C33">
        <w:t>lack of experience and skills. The new hire who receives OJT has an enhanced opportunity to learn the job and achieve performance that enables them to retain the job</w:t>
      </w:r>
      <w:r w:rsidR="005043F4">
        <w:t xml:space="preserve">. </w:t>
      </w:r>
    </w:p>
    <w:p w14:paraId="7675DB8D" w14:textId="77777777" w:rsidR="004D4C63" w:rsidRPr="0045502A" w:rsidRDefault="004D4C63" w:rsidP="00B1367E">
      <w:pPr>
        <w:rPr>
          <w:b/>
        </w:rPr>
      </w:pPr>
      <w:r w:rsidRPr="00043C33">
        <w:rPr>
          <w:shd w:val="clear" w:color="auto" w:fill="FFFFFF"/>
        </w:rPr>
        <w:t xml:space="preserve">Further, businesses </w:t>
      </w:r>
      <w:r w:rsidR="00AA323C" w:rsidRPr="00043C33">
        <w:rPr>
          <w:shd w:val="clear" w:color="auto" w:fill="FFFFFF"/>
        </w:rPr>
        <w:t>that</w:t>
      </w:r>
      <w:r w:rsidRPr="00043C33">
        <w:rPr>
          <w:shd w:val="clear" w:color="auto" w:fill="FFFFFF"/>
        </w:rPr>
        <w:t xml:space="preserve"> participate in internships for people with disabilities are 4.5 times more likely to hire a person with a disability.</w:t>
      </w:r>
      <w:r w:rsidRPr="00043C33">
        <w:rPr>
          <w:rStyle w:val="FootnoteReference"/>
          <w:rFonts w:cstheme="minorHAnsi"/>
          <w:color w:val="000000"/>
          <w:sz w:val="24"/>
          <w:szCs w:val="24"/>
          <w:shd w:val="clear" w:color="auto" w:fill="FFFFFF"/>
        </w:rPr>
        <w:footnoteReference w:id="44"/>
      </w:r>
      <w:r w:rsidRPr="00043C33">
        <w:rPr>
          <w:shd w:val="clear" w:color="auto" w:fill="FFFFFF"/>
        </w:rPr>
        <w:t xml:space="preserve"> </w:t>
      </w:r>
      <w:r w:rsidR="00F00048">
        <w:rPr>
          <w:shd w:val="clear" w:color="auto" w:fill="FFFFFF"/>
        </w:rPr>
        <w:t>B</w:t>
      </w:r>
      <w:r w:rsidRPr="00043C33">
        <w:rPr>
          <w:shd w:val="clear" w:color="auto" w:fill="FFFFFF"/>
        </w:rPr>
        <w:t>ecause of its similarity to internships,</w:t>
      </w:r>
      <w:r w:rsidR="00F00048" w:rsidRPr="00F00048">
        <w:rPr>
          <w:shd w:val="clear" w:color="auto" w:fill="FFFFFF"/>
        </w:rPr>
        <w:t xml:space="preserve"> </w:t>
      </w:r>
      <w:r w:rsidR="00F00048" w:rsidRPr="00043C33">
        <w:rPr>
          <w:shd w:val="clear" w:color="auto" w:fill="FFFFFF"/>
        </w:rPr>
        <w:t>OJT</w:t>
      </w:r>
      <w:r w:rsidRPr="00043C33">
        <w:rPr>
          <w:shd w:val="clear" w:color="auto" w:fill="FFFFFF"/>
        </w:rPr>
        <w:t xml:space="preserve"> is assumed to produce similar outcomes</w:t>
      </w:r>
      <w:r w:rsidR="00F00048">
        <w:rPr>
          <w:shd w:val="clear" w:color="auto" w:fill="FFFFFF"/>
        </w:rPr>
        <w:t>.</w:t>
      </w:r>
    </w:p>
    <w:p w14:paraId="22749920" w14:textId="77777777" w:rsidR="004D4C63" w:rsidRPr="00043C33" w:rsidRDefault="004D4C63" w:rsidP="00B1367E">
      <w:r w:rsidRPr="00043C33">
        <w:t xml:space="preserve">There are a variety of ways OJT is implemented across the country. American Job Centers follow the </w:t>
      </w:r>
      <w:r w:rsidR="005E6869">
        <w:t>WIOA</w:t>
      </w:r>
      <w:r w:rsidRPr="00043C33">
        <w:t>:</w:t>
      </w:r>
      <w:r w:rsidRPr="00043C33">
        <w:rPr>
          <w:rStyle w:val="FootnoteReference"/>
          <w:rFonts w:cstheme="minorHAnsi"/>
          <w:color w:val="000000"/>
          <w:sz w:val="24"/>
          <w:szCs w:val="24"/>
        </w:rPr>
        <w:footnoteReference w:id="45"/>
      </w:r>
    </w:p>
    <w:p w14:paraId="6E231F7D" w14:textId="77777777" w:rsidR="004D4C63" w:rsidRPr="004017D8" w:rsidRDefault="00F72C01" w:rsidP="00B1367E">
      <w:pPr>
        <w:rPr>
          <w:rFonts w:ascii="Times New Roman" w:hAnsi="Times New Roman"/>
          <w:color w:val="auto"/>
        </w:rPr>
      </w:pPr>
      <w:r>
        <w:t>OJT</w:t>
      </w:r>
      <w:r w:rsidR="004D4C63" w:rsidRPr="00043C33">
        <w:t xml:space="preserve"> is defined as training by an employer that is provided to a paid participant while engaged in productive work in a job. The training provides knowledge or skills essential to the full and adequate performance of the job</w:t>
      </w:r>
      <w:r w:rsidR="005043F4">
        <w:t xml:space="preserve">. </w:t>
      </w:r>
      <w:r w:rsidR="004D4C63" w:rsidRPr="00043C33">
        <w:t xml:space="preserve">The training is made available through a program that provides reimbursement to the employer of up to 50% of the wage rate of the participant (in some cases 75%) for the extraordinary costs of providing training and additional supervision related to the training. </w:t>
      </w:r>
      <w:r w:rsidR="004D4C63" w:rsidRPr="004150EE">
        <w:t>The training is expected to be limited in duration as appropriate to the occupation, content of the training, prior work experience of the participant</w:t>
      </w:r>
      <w:r w:rsidR="009306B0" w:rsidRPr="004150EE">
        <w:t>,</w:t>
      </w:r>
      <w:r w:rsidR="004D4C63" w:rsidRPr="004150EE">
        <w:t xml:space="preserve"> and the service strategy appropriate to the </w:t>
      </w:r>
      <w:r w:rsidR="007117CD" w:rsidRPr="004150EE">
        <w:t>participant</w:t>
      </w:r>
      <w:r w:rsidR="007117CD" w:rsidRPr="00043C33">
        <w:t xml:space="preserve">. </w:t>
      </w:r>
      <w:r w:rsidR="00294522" w:rsidRPr="00961061">
        <w:t>For information on OJT in your state, review your WIOA State Plan at</w:t>
      </w:r>
      <w:r w:rsidR="004017D8">
        <w:t xml:space="preserve"> </w:t>
      </w:r>
      <w:hyperlink r:id="rId38" w:history="1">
        <w:r w:rsidR="004017D8" w:rsidRPr="00837BFC">
          <w:rPr>
            <w:rStyle w:val="Hyperlink"/>
            <w:color w:val="7030A0"/>
          </w:rPr>
          <w:t>https://www2.ed.gov/about/offices/list/osers/rsa/wioa/state-plans/index.html</w:t>
        </w:r>
      </w:hyperlink>
      <w:r w:rsidR="004017D8" w:rsidRPr="00837BFC">
        <w:rPr>
          <w:color w:val="7030A0"/>
        </w:rPr>
        <w:t>.</w:t>
      </w:r>
    </w:p>
    <w:p w14:paraId="547BE775" w14:textId="48E5DA2C" w:rsidR="004D4C63" w:rsidRPr="00043C33" w:rsidRDefault="004D4C63" w:rsidP="00B1367E">
      <w:r w:rsidRPr="00235614">
        <w:t>The federal regulations further expect that OJT will only be implemented with employers who intend to provide continued long-term employment, with wages and benefits, to the employee for which the OJT payment is made. OJT may also be used when a worker is not a new hire</w:t>
      </w:r>
      <w:r w:rsidR="00A66316">
        <w:t>,</w:t>
      </w:r>
      <w:r w:rsidRPr="00235614">
        <w:t xml:space="preserve"> but</w:t>
      </w:r>
      <w:r w:rsidRPr="00043C33">
        <w:t xml:space="preserve"> </w:t>
      </w:r>
      <w:r w:rsidRPr="00235614">
        <w:t>instead needs OJT to</w:t>
      </w:r>
      <w:r w:rsidRPr="00043C33">
        <w:t xml:space="preserve"> learn new technologies, new production</w:t>
      </w:r>
      <w:r w:rsidR="00A66316">
        <w:t>,</w:t>
      </w:r>
      <w:r w:rsidRPr="00043C33">
        <w:t xml:space="preserve"> or service procedures introduced by an employer, or the worker is moving into a new position with the same employer that requires additional skills. Local Workforce Development Boards administering the funding available for OJT may also define other purposes for appropriate use of OJT in their local area.</w:t>
      </w:r>
    </w:p>
    <w:p w14:paraId="306B66D2" w14:textId="77777777" w:rsidR="004D4C63" w:rsidRPr="00043C33" w:rsidRDefault="004D4C63" w:rsidP="00B1367E">
      <w:r w:rsidRPr="00043C33">
        <w:t>As an example of structuring OJT as an outcome-based reimbursement, one of Tennessee’s Local Workforce Development Board</w:t>
      </w:r>
      <w:r w:rsidR="000419CA">
        <w:t>s</w:t>
      </w:r>
      <w:r w:rsidRPr="00043C33">
        <w:t xml:space="preserve"> (Area 12) uses a performance-based OJT payment. They only reimburse the employer if the employee completes the entire training program.</w:t>
      </w:r>
      <w:r w:rsidRPr="00043C33">
        <w:rPr>
          <w:rStyle w:val="FootnoteReference"/>
          <w:rFonts w:cstheme="minorHAnsi"/>
          <w:sz w:val="24"/>
          <w:szCs w:val="24"/>
        </w:rPr>
        <w:footnoteReference w:id="46"/>
      </w:r>
      <w:r w:rsidRPr="00043C33">
        <w:t xml:space="preserve"> </w:t>
      </w:r>
    </w:p>
    <w:p w14:paraId="23544EAC" w14:textId="77777777" w:rsidR="004D4C63" w:rsidRPr="00043C33" w:rsidRDefault="004D4C63" w:rsidP="00B1367E">
      <w:r w:rsidRPr="00043C33">
        <w:t xml:space="preserve">Where state </w:t>
      </w:r>
      <w:r w:rsidR="004A6A7C">
        <w:t>VR</w:t>
      </w:r>
      <w:r w:rsidRPr="00043C33">
        <w:t xml:space="preserve"> agencies use OJT, the exact requirements vary by state</w:t>
      </w:r>
      <w:r w:rsidR="005043F4">
        <w:t xml:space="preserve">. </w:t>
      </w:r>
    </w:p>
    <w:p w14:paraId="745AE1CA" w14:textId="77777777" w:rsidR="004D4C63" w:rsidRPr="00043C33" w:rsidRDefault="004D4C63" w:rsidP="00B1367E">
      <w:r w:rsidRPr="00043C33">
        <w:t>Some states (</w:t>
      </w:r>
      <w:r w:rsidR="00023280">
        <w:t xml:space="preserve">e.g., </w:t>
      </w:r>
      <w:r w:rsidRPr="00043C33">
        <w:t>Florida Division of Vocational Rehabilitation</w:t>
      </w:r>
      <w:r w:rsidRPr="00043C33">
        <w:rPr>
          <w:rStyle w:val="FootnoteReference"/>
          <w:rFonts w:cstheme="minorHAnsi"/>
          <w:color w:val="000000"/>
          <w:sz w:val="24"/>
          <w:szCs w:val="24"/>
        </w:rPr>
        <w:footnoteReference w:id="47"/>
      </w:r>
      <w:r w:rsidRPr="00043C33">
        <w:t>) do not require the employer to commit to hiring a person</w:t>
      </w:r>
      <w:r w:rsidR="005043F4">
        <w:t xml:space="preserve">. </w:t>
      </w:r>
      <w:r w:rsidRPr="00043C33">
        <w:t xml:space="preserve">They describe </w:t>
      </w:r>
      <w:r w:rsidR="00DF5D3A">
        <w:rPr>
          <w:rFonts w:eastAsia="Times New Roman"/>
        </w:rPr>
        <w:t>OJT</w:t>
      </w:r>
      <w:r w:rsidRPr="00043C33">
        <w:rPr>
          <w:rFonts w:eastAsia="Times New Roman"/>
        </w:rPr>
        <w:t xml:space="preserve"> as an opportunity for the employer “to see if the job and your business are a good fit with the trainee.” </w:t>
      </w:r>
      <w:r w:rsidRPr="00043C33">
        <w:t>I</w:t>
      </w:r>
      <w:r w:rsidRPr="00043C33">
        <w:rPr>
          <w:rFonts w:eastAsia="Times New Roman"/>
        </w:rPr>
        <w:t>n the OJT option, Florida’s Division of Vocational Rehabilitation may provide:</w:t>
      </w:r>
    </w:p>
    <w:p w14:paraId="5D950342" w14:textId="77777777" w:rsidR="004D4C63" w:rsidRPr="00043C33" w:rsidRDefault="004D4C63" w:rsidP="00235614">
      <w:pPr>
        <w:pStyle w:val="ListBullet"/>
      </w:pPr>
      <w:r w:rsidRPr="00043C33">
        <w:t>Reimbursement for the trainee’s salary and taxes the employer must pay on this salary.</w:t>
      </w:r>
    </w:p>
    <w:p w14:paraId="38AAE500" w14:textId="77777777" w:rsidR="004D4C63" w:rsidRPr="00043C33" w:rsidRDefault="004D4C63" w:rsidP="00235614">
      <w:pPr>
        <w:pStyle w:val="ListBullet"/>
      </w:pPr>
      <w:r w:rsidRPr="00043C33">
        <w:t>Support services (uniforms, tools, bus passes)</w:t>
      </w:r>
    </w:p>
    <w:p w14:paraId="0F200BAB" w14:textId="77777777" w:rsidR="004D4C63" w:rsidRPr="00F7360C" w:rsidRDefault="004D4C63" w:rsidP="00F7360C">
      <w:pPr>
        <w:pStyle w:val="ListBullet"/>
        <w:rPr>
          <w:rFonts w:cstheme="minorHAnsi"/>
          <w:sz w:val="24"/>
          <w:szCs w:val="24"/>
        </w:rPr>
      </w:pPr>
      <w:r w:rsidRPr="00043C33">
        <w:t>Job-site assessment and any needed accommodations other than those typically implemented by the employer (</w:t>
      </w:r>
      <w:r w:rsidR="00023280">
        <w:t xml:space="preserve">e.g., </w:t>
      </w:r>
      <w:r w:rsidRPr="00043C33">
        <w:t>modification of job duties; changing style of training and/or communication)</w:t>
      </w:r>
    </w:p>
    <w:p w14:paraId="5B6C4A5A" w14:textId="77777777" w:rsidR="004D4C63" w:rsidRPr="00043C33" w:rsidRDefault="004D4C63" w:rsidP="00B1367E">
      <w:r w:rsidRPr="00043C33">
        <w:t>Other state VR agencies that provide OJT require the commitment of the employer to hire the person after training if the person is satisfactorily performing the essential functions of the job.</w:t>
      </w:r>
    </w:p>
    <w:p w14:paraId="646D577A" w14:textId="77777777" w:rsidR="004D4C63" w:rsidRPr="00F7360C" w:rsidRDefault="004D4C63" w:rsidP="00B1367E">
      <w:r w:rsidRPr="00F7360C">
        <w:t xml:space="preserve">In New York, </w:t>
      </w:r>
      <w:r w:rsidR="00DF5D3A">
        <w:t xml:space="preserve">OJT </w:t>
      </w:r>
      <w:r w:rsidRPr="00F7360C">
        <w:t xml:space="preserve">funded by the state </w:t>
      </w:r>
      <w:r w:rsidR="004A6A7C">
        <w:t>VR</w:t>
      </w:r>
      <w:r w:rsidRPr="00F7360C">
        <w:t xml:space="preserve"> agency is specific training provided in an actual work setting by an employer, related to the particular job for which the consumer is hired. </w:t>
      </w:r>
      <w:r w:rsidRPr="00F7360C">
        <w:rPr>
          <w:b/>
          <w:i/>
        </w:rPr>
        <w:t>It includes a commitment by the employer to retain the consumer as an employee after successful completion of training if the consumer is meeting the essential performance standards of the job</w:t>
      </w:r>
      <w:r w:rsidRPr="00F7360C">
        <w:t>.</w:t>
      </w:r>
      <w:r w:rsidRPr="00F7360C">
        <w:rPr>
          <w:rStyle w:val="FootnoteReference"/>
          <w:rFonts w:cstheme="minorHAnsi"/>
          <w:sz w:val="24"/>
          <w:szCs w:val="24"/>
        </w:rPr>
        <w:footnoteReference w:id="48"/>
      </w:r>
      <w:r w:rsidRPr="00F7360C">
        <w:t xml:space="preserve"> </w:t>
      </w:r>
      <w:r w:rsidR="004A6A7C" w:rsidRPr="00F7360C">
        <w:t xml:space="preserve">New York’s </w:t>
      </w:r>
      <w:r w:rsidR="004A6A7C">
        <w:t>VR</w:t>
      </w:r>
      <w:r w:rsidR="004A6A7C" w:rsidRPr="00F7360C">
        <w:t xml:space="preserve"> agency </w:t>
      </w:r>
      <w:r w:rsidRPr="00F7360C">
        <w:t>partially reimburse</w:t>
      </w:r>
      <w:r w:rsidR="004A6A7C">
        <w:t>s the employer</w:t>
      </w:r>
      <w:r w:rsidRPr="00F7360C">
        <w:t xml:space="preserve"> for training expenses: either through </w:t>
      </w:r>
      <w:r w:rsidR="004A6A7C">
        <w:t xml:space="preserve">the </w:t>
      </w:r>
      <w:r w:rsidRPr="00F7360C">
        <w:t xml:space="preserve">partial payment of the wages of the consumer or the wages of the supervisor or co-worker providing the training and related supervision. The expectation is that the OJT payment to the employer is reduced over time as the trainee becomes more proficient in the skills required to achieve a competitive level of performance. No more than 50% of the training costs </w:t>
      </w:r>
      <w:r w:rsidR="0025426C" w:rsidRPr="00F7360C">
        <w:t xml:space="preserve">may be reimbursed </w:t>
      </w:r>
      <w:r w:rsidRPr="00F7360C">
        <w:t>over the entire duration of the training period.</w:t>
      </w:r>
    </w:p>
    <w:p w14:paraId="51C1DC07" w14:textId="77777777" w:rsidR="004D4C63" w:rsidRPr="00E00A48" w:rsidRDefault="004D4C63" w:rsidP="00B1367E">
      <w:pPr>
        <w:rPr>
          <w:b/>
          <w:bCs/>
        </w:rPr>
      </w:pPr>
      <w:r w:rsidRPr="00E00A48">
        <w:rPr>
          <w:b/>
          <w:bCs/>
        </w:rPr>
        <w:t>2.</w:t>
      </w:r>
      <w:r w:rsidR="00235614" w:rsidRPr="00E00A48">
        <w:rPr>
          <w:b/>
          <w:bCs/>
        </w:rPr>
        <w:t xml:space="preserve"> </w:t>
      </w:r>
      <w:r w:rsidRPr="00E00A48">
        <w:rPr>
          <w:b/>
          <w:bCs/>
        </w:rPr>
        <w:t>Using Medicaid to Pay Employers for Job Training and Coaching Supports</w:t>
      </w:r>
    </w:p>
    <w:p w14:paraId="1522EA49" w14:textId="77777777" w:rsidR="004D4C63" w:rsidRPr="002E01A9" w:rsidRDefault="004D4C63" w:rsidP="00B1367E">
      <w:r w:rsidRPr="002E01A9">
        <w:t>In September 2011, the Centers for Medicare and Medicaid Services (CMS) published an informational bulletin</w:t>
      </w:r>
      <w:r w:rsidRPr="002E01A9">
        <w:rPr>
          <w:rStyle w:val="FootnoteReference"/>
          <w:sz w:val="24"/>
          <w:szCs w:val="24"/>
        </w:rPr>
        <w:footnoteReference w:id="49"/>
      </w:r>
      <w:r w:rsidRPr="002E01A9">
        <w:t xml:space="preserve"> that included clarifying that it is permissible for states to use Medicaid Supported Employment service dollars to pay an employer for supports provided by a supervisor or co-worker in lieu of using a traditional Supported Employment provider agency to provide these supports</w:t>
      </w:r>
      <w:r w:rsidR="005043F4">
        <w:t xml:space="preserve">. </w:t>
      </w:r>
      <w:r w:rsidRPr="002E01A9">
        <w:t xml:space="preserve">The guidance in this Informational Bulletin is now in the </w:t>
      </w:r>
      <w:r w:rsidRPr="002E01A9">
        <w:rPr>
          <w:bCs/>
        </w:rPr>
        <w:t>CMS 1915c Home and Community-Based Waiver Technical Guide (Version 3.5):</w:t>
      </w:r>
    </w:p>
    <w:p w14:paraId="7782C204" w14:textId="77777777" w:rsidR="004D4C63" w:rsidRPr="002E01A9" w:rsidRDefault="004D4C63" w:rsidP="00B1367E">
      <w:pPr>
        <w:rPr>
          <w:b/>
          <w:sz w:val="24"/>
          <w:szCs w:val="24"/>
        </w:rPr>
      </w:pPr>
      <w:r w:rsidRPr="002E01A9">
        <w:t>“Statewide rate</w:t>
      </w:r>
      <w:r w:rsidR="00ED73C5">
        <w:t>-</w:t>
      </w:r>
      <w:r w:rsidRPr="002E01A9">
        <w:t>setting methodologies, which are further described in I-2-a of the waiver application</w:t>
      </w:r>
      <w:r w:rsidR="00ED73C5">
        <w:t>,</w:t>
      </w:r>
      <w:r w:rsidRPr="002E01A9">
        <w:t xml:space="preserve"> may be used to embrace new models of support that help a person obtain and maintain integrated employment in the community. </w:t>
      </w:r>
      <w:r w:rsidRPr="00E33D7B">
        <w:rPr>
          <w:bCs/>
        </w:rPr>
        <w:t>These may include co-worker support models…”</w:t>
      </w:r>
      <w:r w:rsidR="007C2D15">
        <w:t xml:space="preserve"> </w:t>
      </w:r>
      <w:r w:rsidRPr="002E01A9">
        <w:t>[Page 153]</w:t>
      </w:r>
    </w:p>
    <w:p w14:paraId="6E5A08F0" w14:textId="77777777" w:rsidR="004D4C63" w:rsidRPr="00A049B4" w:rsidRDefault="00100BA2" w:rsidP="00B11115">
      <w:pPr>
        <w:pStyle w:val="Heading2"/>
      </w:pPr>
      <w:bookmarkStart w:id="65" w:name="_Toc70944212"/>
      <w:r w:rsidRPr="00A049B4">
        <w:t>Case Example</w:t>
      </w:r>
      <w:r w:rsidR="008C4BED" w:rsidRPr="00A049B4">
        <w:t xml:space="preserve">: </w:t>
      </w:r>
      <w:r w:rsidR="004D4C63" w:rsidRPr="00A049B4">
        <w:t>O</w:t>
      </w:r>
      <w:r w:rsidRPr="00A049B4">
        <w:t>klahoma</w:t>
      </w:r>
      <w:bookmarkEnd w:id="65"/>
    </w:p>
    <w:p w14:paraId="0F15D833" w14:textId="188CF04D" w:rsidR="004D4C63" w:rsidRPr="002E01A9" w:rsidRDefault="004D4C63" w:rsidP="00B1367E">
      <w:r w:rsidRPr="002E01A9">
        <w:t>Again, it is important to acknowledge the state of Oklahoma in blazing a trail on this approach. Oklahoma’s Developmental Disabilities Services Division created the “Contracts with Industry” initiative over a decade ago, using Medicaid Waiver Supported Employment dollars to pay employers directly for supports that would have otherwise been provided by a traditional Supported Employment agency.</w:t>
      </w:r>
      <w:r w:rsidRPr="002E01A9">
        <w:rPr>
          <w:rStyle w:val="FootnoteReference"/>
          <w:sz w:val="24"/>
          <w:szCs w:val="24"/>
        </w:rPr>
        <w:footnoteReference w:id="50"/>
      </w:r>
      <w:r w:rsidR="0001180B">
        <w:t xml:space="preserve"> </w:t>
      </w:r>
    </w:p>
    <w:p w14:paraId="5413DD7D" w14:textId="77777777" w:rsidR="004D4C63" w:rsidRPr="00A049B4" w:rsidRDefault="00100BA2" w:rsidP="00B11115">
      <w:pPr>
        <w:pStyle w:val="Heading2"/>
      </w:pPr>
      <w:bookmarkStart w:id="66" w:name="_Toc70944213"/>
      <w:r w:rsidRPr="00A049B4">
        <w:t>Case Example</w:t>
      </w:r>
      <w:r w:rsidR="008C4BED" w:rsidRPr="00A049B4">
        <w:t xml:space="preserve">: </w:t>
      </w:r>
      <w:r w:rsidR="004D4C63" w:rsidRPr="00A049B4">
        <w:t>W</w:t>
      </w:r>
      <w:r w:rsidRPr="00A049B4">
        <w:t>isconsin</w:t>
      </w:r>
      <w:bookmarkEnd w:id="66"/>
    </w:p>
    <w:p w14:paraId="1924F0C2" w14:textId="77777777" w:rsidR="004D4C63" w:rsidRPr="002E01A9" w:rsidRDefault="004D4C63" w:rsidP="00B1367E">
      <w:r w:rsidRPr="002E01A9">
        <w:t>Since the CMS Informational Bulletin</w:t>
      </w:r>
      <w:r w:rsidR="00ED73C5">
        <w:t xml:space="preserve"> was</w:t>
      </w:r>
      <w:r w:rsidRPr="002E01A9">
        <w:t xml:space="preserve"> released in 2011, some states have specified this option in their approved service definition for Supported Employment in their Medicaid Waiver</w:t>
      </w:r>
      <w:r w:rsidR="005043F4">
        <w:t xml:space="preserve">. </w:t>
      </w:r>
    </w:p>
    <w:p w14:paraId="39350EFB" w14:textId="77777777" w:rsidR="004D4C63" w:rsidRPr="002E01A9" w:rsidRDefault="004D4C63" w:rsidP="00B1367E">
      <w:r w:rsidRPr="002E01A9">
        <w:t>One such state is Wisconsin, where the approved service definition for their 1915c waiver</w:t>
      </w:r>
      <w:r w:rsidR="00ED73C5">
        <w:t xml:space="preserve"> </w:t>
      </w:r>
      <w:r w:rsidRPr="002E01A9">
        <w:t>serving people with IDD and physical disabilities includes this language:</w:t>
      </w:r>
    </w:p>
    <w:p w14:paraId="438C781E" w14:textId="77777777" w:rsidR="004D4C63" w:rsidRPr="009A6F59" w:rsidRDefault="004D4C63" w:rsidP="00022B8D">
      <w:pPr>
        <w:spacing w:before="240" w:after="240"/>
        <w:ind w:left="720" w:right="1350"/>
        <w:rPr>
          <w:b/>
          <w:bCs/>
          <w:i/>
          <w:iCs/>
          <w:color w:val="1F497D" w:themeColor="text2"/>
          <w:sz w:val="18"/>
          <w:szCs w:val="18"/>
        </w:rPr>
      </w:pPr>
      <w:r w:rsidRPr="009A6F59">
        <w:rPr>
          <w:b/>
          <w:bCs/>
          <w:i/>
          <w:iCs/>
          <w:color w:val="1F497D" w:themeColor="text2"/>
          <w:sz w:val="18"/>
          <w:szCs w:val="18"/>
        </w:rPr>
        <w:t>“Individual employment support services may be provided by a co-worker or other job site personnel</w:t>
      </w:r>
      <w:r w:rsidRPr="009A6F59">
        <w:rPr>
          <w:i/>
          <w:iCs/>
          <w:color w:val="1F497D" w:themeColor="text2"/>
          <w:sz w:val="18"/>
          <w:szCs w:val="18"/>
        </w:rPr>
        <w:t xml:space="preserve"> provided that the services are not part of the normal duties of the co-worker, supervisor</w:t>
      </w:r>
      <w:r w:rsidR="00ED73C5" w:rsidRPr="009A6F59">
        <w:rPr>
          <w:i/>
          <w:iCs/>
          <w:color w:val="1F497D" w:themeColor="text2"/>
          <w:sz w:val="18"/>
          <w:szCs w:val="18"/>
        </w:rPr>
        <w:t>,</w:t>
      </w:r>
      <w:r w:rsidRPr="009A6F59">
        <w:rPr>
          <w:i/>
          <w:iCs/>
          <w:color w:val="1F497D" w:themeColor="text2"/>
          <w:sz w:val="18"/>
          <w:szCs w:val="18"/>
        </w:rPr>
        <w:t xml:space="preserve"> or other personnel and these individuals meet the qualifications established below for individual providers of this service. </w:t>
      </w:r>
      <w:r w:rsidRPr="009A6F59">
        <w:rPr>
          <w:b/>
          <w:bCs/>
          <w:i/>
          <w:iCs/>
          <w:color w:val="1F497D" w:themeColor="text2"/>
          <w:sz w:val="18"/>
          <w:szCs w:val="18"/>
        </w:rPr>
        <w:t xml:space="preserve">Employers may be reimbursed for </w:t>
      </w:r>
      <w:r w:rsidR="00F655C6" w:rsidRPr="009A6F59">
        <w:rPr>
          <w:b/>
          <w:bCs/>
          <w:i/>
          <w:iCs/>
          <w:color w:val="1F497D" w:themeColor="text2"/>
          <w:sz w:val="18"/>
          <w:szCs w:val="18"/>
        </w:rPr>
        <w:t>Supported Employment</w:t>
      </w:r>
      <w:r w:rsidRPr="009A6F59">
        <w:rPr>
          <w:b/>
          <w:bCs/>
          <w:i/>
          <w:iCs/>
          <w:color w:val="1F497D" w:themeColor="text2"/>
          <w:sz w:val="18"/>
          <w:szCs w:val="18"/>
        </w:rPr>
        <w:t xml:space="preserve"> services provided by co-workers</w:t>
      </w:r>
      <w:r w:rsidRPr="009A6F59">
        <w:rPr>
          <w:i/>
          <w:iCs/>
          <w:color w:val="1F497D" w:themeColor="text2"/>
          <w:sz w:val="18"/>
          <w:szCs w:val="18"/>
        </w:rPr>
        <w:t>.”</w:t>
      </w:r>
    </w:p>
    <w:p w14:paraId="7EE8F4EE" w14:textId="77777777" w:rsidR="004D4C63" w:rsidRPr="00235614" w:rsidRDefault="004D4C63" w:rsidP="00B1367E">
      <w:r w:rsidRPr="002E01A9">
        <w:t xml:space="preserve">As a result of this language being included in the approved service definition, Wisconsin has seen an expansion of what it calls the “Partners with Business” model that pays employers for co-worker and/or supervisor support, </w:t>
      </w:r>
      <w:r w:rsidRPr="00BF2021">
        <w:t xml:space="preserve">above and beyond natural supports </w:t>
      </w:r>
      <w:r w:rsidR="00A2127F" w:rsidRPr="00BF2021">
        <w:t>provide</w:t>
      </w:r>
      <w:r w:rsidR="00C31B07" w:rsidRPr="00BF2021">
        <w:t>d</w:t>
      </w:r>
      <w:r w:rsidRPr="00BF2021">
        <w:rPr>
          <w:sz w:val="24"/>
          <w:szCs w:val="24"/>
        </w:rPr>
        <w:t xml:space="preserve"> </w:t>
      </w:r>
      <w:r w:rsidRPr="00BF2021">
        <w:t xml:space="preserve">to any </w:t>
      </w:r>
      <w:r w:rsidR="00A2127F" w:rsidRPr="00BF2021">
        <w:t xml:space="preserve">supported </w:t>
      </w:r>
      <w:r w:rsidRPr="00BF2021">
        <w:t>employee working in competitive integrated employment.</w:t>
      </w:r>
    </w:p>
    <w:p w14:paraId="4A094D17" w14:textId="77777777" w:rsidR="004D4C63" w:rsidRPr="00043C33" w:rsidRDefault="004D4C63" w:rsidP="00B1367E">
      <w:r w:rsidRPr="00043C33">
        <w:t>Partners with Business began in Dane County, Wisconsin more than a decade ago as part of a larger effort to assure thoughtful, intentional implementation of Supported Employment best practices to:</w:t>
      </w:r>
    </w:p>
    <w:p w14:paraId="61DF444B" w14:textId="77777777" w:rsidR="004D4C63" w:rsidRPr="00043C33" w:rsidRDefault="004D4C63" w:rsidP="00086A85">
      <w:pPr>
        <w:pStyle w:val="ListNumber"/>
        <w:numPr>
          <w:ilvl w:val="0"/>
          <w:numId w:val="19"/>
        </w:numPr>
        <w:ind w:left="720"/>
      </w:pPr>
      <w:r w:rsidRPr="00043C33">
        <w:t>Ensure good job matches;</w:t>
      </w:r>
    </w:p>
    <w:p w14:paraId="4D4BE263" w14:textId="77777777" w:rsidR="004D4C63" w:rsidRPr="00043C33" w:rsidRDefault="004D4C63" w:rsidP="002627C9">
      <w:pPr>
        <w:pStyle w:val="ListNumber"/>
      </w:pPr>
      <w:r w:rsidRPr="00043C33">
        <w:t xml:space="preserve">Empower employers to directly train and supervise their employees with disabilities; </w:t>
      </w:r>
    </w:p>
    <w:p w14:paraId="7338D471" w14:textId="77777777" w:rsidR="004D4C63" w:rsidRPr="00043C33" w:rsidRDefault="004D4C63" w:rsidP="002627C9">
      <w:pPr>
        <w:pStyle w:val="ListNumber"/>
      </w:pPr>
      <w:r w:rsidRPr="00043C33">
        <w:t>Cultivate inclusion and natural supports;</w:t>
      </w:r>
    </w:p>
    <w:p w14:paraId="663AE324" w14:textId="77777777" w:rsidR="004D4C63" w:rsidRPr="00043C33" w:rsidRDefault="004D4C63" w:rsidP="002627C9">
      <w:pPr>
        <w:pStyle w:val="ListNumber"/>
      </w:pPr>
      <w:r w:rsidRPr="00043C33">
        <w:t>Maximize independence of employees with disabilities; and</w:t>
      </w:r>
    </w:p>
    <w:p w14:paraId="7C28D216" w14:textId="77777777" w:rsidR="004D4C63" w:rsidRPr="00043C33" w:rsidRDefault="004D4C63" w:rsidP="002627C9">
      <w:pPr>
        <w:pStyle w:val="ListNumber"/>
      </w:pPr>
      <w:r w:rsidRPr="00043C33">
        <w:t>Pave the way to negotiate formal paid coworker supports as an ongoing option</w:t>
      </w:r>
      <w:r w:rsidR="005043F4">
        <w:t xml:space="preserve">. </w:t>
      </w:r>
    </w:p>
    <w:p w14:paraId="5826FD0A" w14:textId="73DCFF55" w:rsidR="00934401" w:rsidRDefault="004D4C63" w:rsidP="00370E8F">
      <w:r w:rsidRPr="00043C33">
        <w:t>In Partners with Business, the supports negotiated are always based on the individual needs of the worker. Supports are determined through a collaborative assessment with the employer – using workplace &amp; task analysis, observation</w:t>
      </w:r>
      <w:r w:rsidR="00141537">
        <w:t>,</w:t>
      </w:r>
      <w:r w:rsidRPr="00043C33">
        <w:t xml:space="preserve"> and discussion. The reimbursement amount is negotiated and based on the support time that is needed and the employer’s costs for </w:t>
      </w:r>
      <w:r w:rsidR="007766E4">
        <w:t xml:space="preserve">a </w:t>
      </w:r>
      <w:r w:rsidRPr="00043C33">
        <w:t xml:space="preserve">coworker(s) to provide the support (wages </w:t>
      </w:r>
      <w:r w:rsidR="00A66316">
        <w:t xml:space="preserve">and </w:t>
      </w:r>
      <w:r w:rsidRPr="00043C33">
        <w:t xml:space="preserve">overhead). In Dane County, the results in terms of cost-effectiveness have been significant. </w:t>
      </w:r>
      <w:r w:rsidR="000A4697">
        <w:t>Below</w:t>
      </w:r>
      <w:r w:rsidRPr="00043C33">
        <w:t xml:space="preserve"> are some examples:</w:t>
      </w:r>
    </w:p>
    <w:p w14:paraId="28DA686D" w14:textId="77777777" w:rsidR="004D4C63" w:rsidRPr="00FF0B0C" w:rsidRDefault="004D4C63" w:rsidP="00022B8D">
      <w:pPr>
        <w:spacing w:before="240"/>
        <w:rPr>
          <w:b/>
          <w:bCs/>
          <w:color w:val="7F7F7F" w:themeColor="text1" w:themeTint="80"/>
        </w:rPr>
      </w:pPr>
      <w:r w:rsidRPr="00F90028">
        <w:rPr>
          <w:b/>
          <w:bCs/>
          <w:color w:val="0D0D0D" w:themeColor="text1" w:themeTint="F2"/>
        </w:rPr>
        <w:t>PARTNERS WITH BUSINESS PROFILE FOR JANA</w:t>
      </w:r>
      <w:r w:rsidR="00DC2142" w:rsidRPr="00F90028">
        <w:rPr>
          <w:b/>
          <w:bCs/>
          <w:color w:val="0D0D0D" w:themeColor="text1" w:themeTint="F2"/>
        </w:rPr>
        <w:t>:</w:t>
      </w:r>
    </w:p>
    <w:p w14:paraId="5DE4ED2C" w14:textId="77777777" w:rsidR="004D4C63" w:rsidRPr="00043C33" w:rsidRDefault="004D4C63" w:rsidP="00B1367E">
      <w:r w:rsidRPr="00043C33">
        <w:rPr>
          <w:u w:val="single"/>
        </w:rPr>
        <w:t>Employment situation</w:t>
      </w:r>
      <w:r w:rsidRPr="00043C33">
        <w:t>: J</w:t>
      </w:r>
      <w:r w:rsidR="00DC2142">
        <w:t>a</w:t>
      </w:r>
      <w:r w:rsidRPr="00043C33">
        <w:t xml:space="preserve">na works at a local community center 4 days a week </w:t>
      </w:r>
      <w:r w:rsidR="007766E4">
        <w:t xml:space="preserve">from </w:t>
      </w:r>
      <w:r w:rsidRPr="00043C33">
        <w:t>9:00 to 11:30. Her responsibilities include room set up, light cleaning, and assistance with senior meal programs.</w:t>
      </w:r>
    </w:p>
    <w:p w14:paraId="246AD3A3" w14:textId="00181A07" w:rsidR="00C7506A" w:rsidRDefault="004D4C63" w:rsidP="00B1367E">
      <w:r w:rsidRPr="00043C33">
        <w:rPr>
          <w:u w:val="single"/>
        </w:rPr>
        <w:t>Need for paid on-the-job support</w:t>
      </w:r>
      <w:r w:rsidRPr="00043C33">
        <w:t>: After conducting an analysis of J</w:t>
      </w:r>
      <w:r w:rsidR="00DC2142">
        <w:t>a</w:t>
      </w:r>
      <w:r w:rsidRPr="00043C33">
        <w:t>na's on-the-job support needs, and determining th</w:t>
      </w:r>
      <w:r w:rsidR="00D7749A">
        <w:t>at her</w:t>
      </w:r>
      <w:r w:rsidRPr="00043C33">
        <w:t xml:space="preserve"> needs are being met naturally, it is determined that Jana needs 30 to 45 minutes of support during each </w:t>
      </w:r>
      <w:r w:rsidR="00CC12DE" w:rsidRPr="00043C33">
        <w:t>2.5-hour</w:t>
      </w:r>
      <w:r w:rsidRPr="00043C33">
        <w:t xml:space="preserve"> shift to accomplish all </w:t>
      </w:r>
      <w:r w:rsidR="007766E4">
        <w:t xml:space="preserve">of </w:t>
      </w:r>
      <w:r w:rsidRPr="00043C33">
        <w:t>her job responsibilities</w:t>
      </w:r>
      <w:r w:rsidR="005043F4">
        <w:t xml:space="preserve">. </w:t>
      </w:r>
    </w:p>
    <w:p w14:paraId="500A9B49" w14:textId="77777777" w:rsidR="00C7506A" w:rsidRDefault="00C7506A" w:rsidP="00410168">
      <w:pPr>
        <w:rPr>
          <w:u w:val="single"/>
        </w:rPr>
      </w:pPr>
      <w:r w:rsidRPr="000A4697">
        <w:rPr>
          <w:u w:val="single"/>
        </w:rPr>
        <w:t xml:space="preserve">Traditional agency support using </w:t>
      </w:r>
      <w:r>
        <w:rPr>
          <w:u w:val="single"/>
        </w:rPr>
        <w:t xml:space="preserve">a </w:t>
      </w:r>
      <w:r w:rsidRPr="000A4697">
        <w:rPr>
          <w:u w:val="single"/>
        </w:rPr>
        <w:t>job coach on site</w:t>
      </w:r>
    </w:p>
    <w:tbl>
      <w:tblPr>
        <w:tblStyle w:val="GridTable4-Accent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60" w:firstRow="1" w:lastRow="1" w:firstColumn="0" w:lastColumn="0" w:noHBand="0" w:noVBand="1"/>
      </w:tblPr>
      <w:tblGrid>
        <w:gridCol w:w="5305"/>
        <w:gridCol w:w="1710"/>
      </w:tblGrid>
      <w:tr w:rsidR="0032452A" w:rsidRPr="00814B66" w14:paraId="6B1133B0" w14:textId="77777777" w:rsidTr="00FD2BEC">
        <w:trPr>
          <w:cnfStyle w:val="100000000000" w:firstRow="1" w:lastRow="0" w:firstColumn="0" w:lastColumn="0" w:oddVBand="0" w:evenVBand="0" w:oddHBand="0" w:evenHBand="0" w:firstRowFirstColumn="0" w:firstRowLastColumn="0" w:lastRowFirstColumn="0" w:lastRowLastColumn="0"/>
          <w:trHeight w:val="288"/>
          <w:jc w:val="center"/>
        </w:trPr>
        <w:tc>
          <w:tcPr>
            <w:tcW w:w="5305"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6F2E50C3" w14:textId="77777777" w:rsidR="0032452A" w:rsidRPr="00470213" w:rsidRDefault="0032452A" w:rsidP="00AE07EF">
            <w:pPr>
              <w:spacing w:before="0" w:after="0" w:line="240" w:lineRule="auto"/>
              <w:rPr>
                <w:color w:val="FFFFFF" w:themeColor="background1"/>
                <w:u w:val="single"/>
              </w:rPr>
            </w:pPr>
          </w:p>
        </w:tc>
        <w:tc>
          <w:tcPr>
            <w:tcW w:w="171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5EDD4E49" w14:textId="77777777" w:rsidR="0032452A" w:rsidRPr="00470213" w:rsidRDefault="0032452A" w:rsidP="00AE07EF">
            <w:pPr>
              <w:spacing w:before="0" w:after="0" w:line="240" w:lineRule="auto"/>
              <w:jc w:val="right"/>
              <w:rPr>
                <w:b w:val="0"/>
                <w:bCs w:val="0"/>
                <w:color w:val="FFFFFF" w:themeColor="background1"/>
              </w:rPr>
            </w:pPr>
            <w:r w:rsidRPr="00470213">
              <w:rPr>
                <w:color w:val="FFFFFF" w:themeColor="background1"/>
              </w:rPr>
              <w:t>Cost per Year</w:t>
            </w:r>
          </w:p>
        </w:tc>
      </w:tr>
      <w:tr w:rsidR="00D75BC9" w14:paraId="3762D865" w14:textId="77777777" w:rsidTr="00FD2BEC">
        <w:trPr>
          <w:cnfStyle w:val="000000100000" w:firstRow="0" w:lastRow="0" w:firstColumn="0" w:lastColumn="0" w:oddVBand="0" w:evenVBand="0" w:oddHBand="1" w:evenHBand="0" w:firstRowFirstColumn="0" w:firstRowLastColumn="0" w:lastRowFirstColumn="0" w:lastRowLastColumn="0"/>
          <w:trHeight w:val="288"/>
          <w:jc w:val="center"/>
        </w:trPr>
        <w:tc>
          <w:tcPr>
            <w:tcW w:w="5305" w:type="dxa"/>
            <w:shd w:val="clear" w:color="auto" w:fill="auto"/>
            <w:vAlign w:val="center"/>
          </w:tcPr>
          <w:p w14:paraId="570D7845" w14:textId="77777777" w:rsidR="00D75BC9" w:rsidRPr="00CA7887" w:rsidRDefault="00D75BC9" w:rsidP="00410168">
            <w:pPr>
              <w:spacing w:before="40" w:after="40" w:line="240" w:lineRule="auto"/>
              <w:rPr>
                <w:bCs/>
                <w:u w:val="single"/>
              </w:rPr>
            </w:pPr>
            <w:r w:rsidRPr="00CA7887">
              <w:rPr>
                <w:bCs/>
              </w:rPr>
              <w:t>2.5 hrs. x 4 days x 52 weeks x $27/hour</w:t>
            </w:r>
          </w:p>
        </w:tc>
        <w:tc>
          <w:tcPr>
            <w:tcW w:w="1710" w:type="dxa"/>
            <w:shd w:val="clear" w:color="auto" w:fill="auto"/>
            <w:vAlign w:val="center"/>
          </w:tcPr>
          <w:p w14:paraId="3ACBCC21" w14:textId="77777777" w:rsidR="00D75BC9" w:rsidRDefault="00D75BC9" w:rsidP="00410168">
            <w:pPr>
              <w:spacing w:before="40" w:after="40" w:line="240" w:lineRule="auto"/>
              <w:jc w:val="right"/>
              <w:rPr>
                <w:u w:val="single"/>
              </w:rPr>
            </w:pPr>
            <w:r w:rsidRPr="00043C33">
              <w:t>$14,040</w:t>
            </w:r>
          </w:p>
        </w:tc>
      </w:tr>
      <w:tr w:rsidR="00D75BC9" w14:paraId="0C8CD8F9" w14:textId="77777777" w:rsidTr="00FD2BEC">
        <w:trPr>
          <w:trHeight w:val="288"/>
          <w:jc w:val="center"/>
        </w:trPr>
        <w:tc>
          <w:tcPr>
            <w:tcW w:w="5305" w:type="dxa"/>
            <w:tcBorders>
              <w:bottom w:val="double" w:sz="4" w:space="0" w:color="92CDDC" w:themeColor="accent5" w:themeTint="99"/>
            </w:tcBorders>
            <w:shd w:val="clear" w:color="auto" w:fill="DAEEF3" w:themeFill="accent5" w:themeFillTint="33"/>
            <w:vAlign w:val="center"/>
          </w:tcPr>
          <w:p w14:paraId="66145C54" w14:textId="77777777" w:rsidR="00D75BC9" w:rsidRPr="00CA7887" w:rsidRDefault="00D75BC9" w:rsidP="00410168">
            <w:pPr>
              <w:spacing w:before="40" w:after="40" w:line="240" w:lineRule="auto"/>
              <w:rPr>
                <w:bCs/>
                <w:u w:val="single"/>
              </w:rPr>
            </w:pPr>
            <w:r w:rsidRPr="00CA7887">
              <w:rPr>
                <w:bCs/>
              </w:rPr>
              <w:t>Mileage to/from site (60 miles/week)</w:t>
            </w:r>
          </w:p>
        </w:tc>
        <w:tc>
          <w:tcPr>
            <w:tcW w:w="1710" w:type="dxa"/>
            <w:tcBorders>
              <w:bottom w:val="double" w:sz="4" w:space="0" w:color="92CDDC" w:themeColor="accent5" w:themeTint="99"/>
            </w:tcBorders>
            <w:shd w:val="clear" w:color="auto" w:fill="DAEEF3" w:themeFill="accent5" w:themeFillTint="33"/>
            <w:vAlign w:val="center"/>
          </w:tcPr>
          <w:p w14:paraId="3626E0DA" w14:textId="77777777" w:rsidR="00D75BC9" w:rsidRPr="009C1C85" w:rsidRDefault="00D75BC9" w:rsidP="00410168">
            <w:pPr>
              <w:spacing w:before="40" w:after="40" w:line="240" w:lineRule="auto"/>
              <w:jc w:val="right"/>
            </w:pPr>
            <w:r>
              <w:t>$</w:t>
            </w:r>
            <w:r w:rsidRPr="009C1C85">
              <w:t>1,404</w:t>
            </w:r>
          </w:p>
        </w:tc>
      </w:tr>
      <w:tr w:rsidR="00D75BC9" w14:paraId="47494C21" w14:textId="77777777" w:rsidTr="00FD2BEC">
        <w:trPr>
          <w:cnfStyle w:val="010000000000" w:firstRow="0" w:lastRow="1" w:firstColumn="0" w:lastColumn="0" w:oddVBand="0" w:evenVBand="0" w:oddHBand="0" w:evenHBand="0" w:firstRowFirstColumn="0" w:firstRowLastColumn="0" w:lastRowFirstColumn="0" w:lastRowLastColumn="0"/>
          <w:trHeight w:val="288"/>
          <w:jc w:val="center"/>
        </w:trPr>
        <w:tc>
          <w:tcPr>
            <w:tcW w:w="5305" w:type="dxa"/>
            <w:tcBorders>
              <w:top w:val="double" w:sz="4" w:space="0" w:color="92CDDC" w:themeColor="accent5" w:themeTint="99"/>
              <w:bottom w:val="single" w:sz="4" w:space="0" w:color="92CDDC" w:themeColor="accent5" w:themeTint="99"/>
            </w:tcBorders>
            <w:vAlign w:val="center"/>
          </w:tcPr>
          <w:p w14:paraId="126C90C4" w14:textId="77777777" w:rsidR="00D75BC9" w:rsidRPr="00CA7887" w:rsidRDefault="00D75BC9" w:rsidP="00410168">
            <w:pPr>
              <w:spacing w:before="40" w:after="40" w:line="240" w:lineRule="auto"/>
              <w:rPr>
                <w:bCs w:val="0"/>
              </w:rPr>
            </w:pPr>
            <w:r w:rsidRPr="00CA7887">
              <w:rPr>
                <w:bCs w:val="0"/>
              </w:rPr>
              <w:t>Total</w:t>
            </w:r>
          </w:p>
        </w:tc>
        <w:tc>
          <w:tcPr>
            <w:tcW w:w="1710" w:type="dxa"/>
            <w:tcBorders>
              <w:top w:val="double" w:sz="4" w:space="0" w:color="92CDDC" w:themeColor="accent5" w:themeTint="99"/>
              <w:bottom w:val="single" w:sz="4" w:space="0" w:color="92CDDC" w:themeColor="accent5" w:themeTint="99"/>
            </w:tcBorders>
            <w:vAlign w:val="center"/>
          </w:tcPr>
          <w:p w14:paraId="69FA6D8B" w14:textId="77777777" w:rsidR="00D75BC9" w:rsidRPr="001671C5" w:rsidRDefault="00D75BC9" w:rsidP="00410168">
            <w:pPr>
              <w:spacing w:before="40" w:after="40" w:line="240" w:lineRule="auto"/>
              <w:jc w:val="right"/>
              <w:rPr>
                <w:u w:val="single"/>
              </w:rPr>
            </w:pPr>
            <w:r w:rsidRPr="00753470">
              <w:t>$15,444</w:t>
            </w:r>
          </w:p>
        </w:tc>
      </w:tr>
    </w:tbl>
    <w:p w14:paraId="61FA77A3" w14:textId="77777777" w:rsidR="00D75BC9" w:rsidRDefault="00D75BC9" w:rsidP="00D75BC9">
      <w:pPr>
        <w:spacing w:before="240"/>
        <w:rPr>
          <w:u w:val="single"/>
        </w:rPr>
      </w:pPr>
      <w:r w:rsidRPr="000A4697">
        <w:rPr>
          <w:u w:val="single"/>
        </w:rPr>
        <w:t>Support provided through the Center staff</w:t>
      </w:r>
    </w:p>
    <w:tbl>
      <w:tblPr>
        <w:tblStyle w:val="GridTable4-Accent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60" w:firstRow="1" w:lastRow="1" w:firstColumn="0" w:lastColumn="0" w:noHBand="0" w:noVBand="1"/>
      </w:tblPr>
      <w:tblGrid>
        <w:gridCol w:w="5305"/>
        <w:gridCol w:w="1980"/>
      </w:tblGrid>
      <w:tr w:rsidR="00D75BC9" w:rsidRPr="00814B66" w14:paraId="1CD0FD87" w14:textId="77777777" w:rsidTr="00FD2BEC">
        <w:trPr>
          <w:cnfStyle w:val="100000000000" w:firstRow="1" w:lastRow="0" w:firstColumn="0" w:lastColumn="0" w:oddVBand="0" w:evenVBand="0" w:oddHBand="0" w:evenHBand="0" w:firstRowFirstColumn="0" w:firstRowLastColumn="0" w:lastRowFirstColumn="0" w:lastRowLastColumn="0"/>
          <w:trHeight w:val="288"/>
          <w:jc w:val="center"/>
        </w:trPr>
        <w:tc>
          <w:tcPr>
            <w:tcW w:w="5305"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60CC8666" w14:textId="77777777" w:rsidR="00D75BC9" w:rsidRPr="00470213" w:rsidRDefault="00D75BC9" w:rsidP="00CA1889">
            <w:pPr>
              <w:spacing w:before="0" w:after="0" w:line="240" w:lineRule="auto"/>
              <w:rPr>
                <w:color w:val="FFFFFF" w:themeColor="background1"/>
                <w:u w:val="single"/>
              </w:rPr>
            </w:pPr>
          </w:p>
        </w:tc>
        <w:tc>
          <w:tcPr>
            <w:tcW w:w="198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214CDD42" w14:textId="77777777" w:rsidR="00D75BC9" w:rsidRPr="00470213" w:rsidRDefault="00D75BC9" w:rsidP="00A823AF">
            <w:pPr>
              <w:spacing w:before="0" w:after="0" w:line="240" w:lineRule="auto"/>
              <w:jc w:val="right"/>
              <w:rPr>
                <w:b w:val="0"/>
                <w:bCs w:val="0"/>
                <w:color w:val="FFFFFF" w:themeColor="background1"/>
              </w:rPr>
            </w:pPr>
            <w:r w:rsidRPr="00470213">
              <w:rPr>
                <w:color w:val="FFFFFF" w:themeColor="background1"/>
              </w:rPr>
              <w:t>Cost per Year</w:t>
            </w:r>
          </w:p>
        </w:tc>
      </w:tr>
    </w:tbl>
    <w:tbl>
      <w:tblPr>
        <w:tblW w:w="0" w:type="auto"/>
        <w:jc w:val="center"/>
        <w:tblLook w:val="0460" w:firstRow="1" w:lastRow="1" w:firstColumn="0" w:lastColumn="0" w:noHBand="0" w:noVBand="1"/>
      </w:tblPr>
      <w:tblGrid>
        <w:gridCol w:w="5310"/>
        <w:gridCol w:w="1980"/>
      </w:tblGrid>
      <w:tr w:rsidR="00D75BC9" w14:paraId="04E1CC8B" w14:textId="77777777" w:rsidTr="00417488">
        <w:trPr>
          <w:trHeight w:val="302"/>
          <w:jc w:val="center"/>
        </w:trPr>
        <w:tc>
          <w:tcPr>
            <w:tcW w:w="5310" w:type="dxa"/>
            <w:vAlign w:val="center"/>
          </w:tcPr>
          <w:p w14:paraId="189AE1A3" w14:textId="77777777" w:rsidR="00D75BC9" w:rsidRPr="00CA7887" w:rsidRDefault="00D75BC9" w:rsidP="00410168">
            <w:pPr>
              <w:spacing w:before="40" w:after="40" w:line="240" w:lineRule="auto"/>
              <w:rPr>
                <w:bCs/>
                <w:u w:val="single"/>
              </w:rPr>
            </w:pPr>
            <w:r w:rsidRPr="00753470">
              <w:t>45 min. x 4 days x 52 weeks x $14.67/hour</w:t>
            </w:r>
          </w:p>
        </w:tc>
        <w:tc>
          <w:tcPr>
            <w:tcW w:w="1980" w:type="dxa"/>
            <w:vAlign w:val="center"/>
          </w:tcPr>
          <w:p w14:paraId="08CEE988" w14:textId="77777777" w:rsidR="00D75BC9" w:rsidRDefault="00D75BC9" w:rsidP="00410168">
            <w:pPr>
              <w:spacing w:before="40" w:after="40" w:line="240" w:lineRule="auto"/>
              <w:jc w:val="right"/>
              <w:rPr>
                <w:u w:val="single"/>
              </w:rPr>
            </w:pPr>
            <w:r w:rsidRPr="00043C33">
              <w:t>$</w:t>
            </w:r>
            <w:r w:rsidRPr="00753470">
              <w:t>2,289</w:t>
            </w:r>
          </w:p>
        </w:tc>
      </w:tr>
    </w:tbl>
    <w:tbl>
      <w:tblPr>
        <w:tblStyle w:val="GridTable4-Accent5"/>
        <w:tblW w:w="0" w:type="auto"/>
        <w:jc w:val="center"/>
        <w:shd w:val="clear" w:color="auto" w:fill="DAEEF3" w:themeFill="accent5" w:themeFillTint="33"/>
        <w:tblLook w:val="0460" w:firstRow="1" w:lastRow="1" w:firstColumn="0" w:lastColumn="0" w:noHBand="0" w:noVBand="1"/>
      </w:tblPr>
      <w:tblGrid>
        <w:gridCol w:w="5760"/>
        <w:gridCol w:w="1530"/>
      </w:tblGrid>
      <w:tr w:rsidR="00D75BC9" w:rsidRPr="00A53406" w14:paraId="4A4E6F81" w14:textId="77777777" w:rsidTr="00417488">
        <w:trPr>
          <w:cnfStyle w:val="100000000000" w:firstRow="1" w:lastRow="0" w:firstColumn="0" w:lastColumn="0" w:oddVBand="0" w:evenVBand="0" w:oddHBand="0" w:evenHBand="0" w:firstRowFirstColumn="0" w:firstRowLastColumn="0" w:lastRowFirstColumn="0" w:lastRowLastColumn="0"/>
          <w:trHeight w:val="288"/>
          <w:jc w:val="center"/>
        </w:trPr>
        <w:tc>
          <w:tcPr>
            <w:tcW w:w="5760" w:type="dxa"/>
            <w:tcBorders>
              <w:top w:val="nil"/>
              <w:left w:val="nil"/>
              <w:bottom w:val="double" w:sz="2" w:space="0" w:color="92CDDC" w:themeColor="accent5" w:themeTint="99"/>
            </w:tcBorders>
            <w:shd w:val="clear" w:color="auto" w:fill="DAEEF3" w:themeFill="accent5" w:themeFillTint="33"/>
            <w:vAlign w:val="center"/>
          </w:tcPr>
          <w:p w14:paraId="6570A492" w14:textId="28B95620" w:rsidR="00D75BC9" w:rsidRPr="00A53406" w:rsidRDefault="00D75BC9" w:rsidP="00D75BC9">
            <w:pPr>
              <w:spacing w:before="0" w:after="0" w:line="240" w:lineRule="auto"/>
              <w:rPr>
                <w:b w:val="0"/>
                <w:bCs w:val="0"/>
                <w:u w:val="single"/>
              </w:rPr>
            </w:pPr>
            <w:r w:rsidRPr="00A53406">
              <w:rPr>
                <w:b w:val="0"/>
                <w:bCs w:val="0"/>
              </w:rPr>
              <w:t>SE agency follow-along (1 to 2 hours/month at $27/h</w:t>
            </w:r>
            <w:r w:rsidR="0032452A" w:rsidRPr="00A53406">
              <w:rPr>
                <w:b w:val="0"/>
                <w:bCs w:val="0"/>
              </w:rPr>
              <w:t>ou</w:t>
            </w:r>
            <w:r w:rsidRPr="00A53406">
              <w:rPr>
                <w:b w:val="0"/>
                <w:bCs w:val="0"/>
              </w:rPr>
              <w:t>r)</w:t>
            </w:r>
          </w:p>
        </w:tc>
        <w:tc>
          <w:tcPr>
            <w:tcW w:w="1530" w:type="dxa"/>
            <w:tcBorders>
              <w:top w:val="nil"/>
              <w:bottom w:val="double" w:sz="2" w:space="0" w:color="92CDDC" w:themeColor="accent5" w:themeTint="99"/>
              <w:right w:val="nil"/>
            </w:tcBorders>
            <w:shd w:val="clear" w:color="auto" w:fill="DAEEF3" w:themeFill="accent5" w:themeFillTint="33"/>
            <w:vAlign w:val="center"/>
          </w:tcPr>
          <w:p w14:paraId="2D665819" w14:textId="77777777" w:rsidR="00D75BC9" w:rsidRPr="00A53406" w:rsidRDefault="00D75BC9" w:rsidP="0032452A">
            <w:pPr>
              <w:spacing w:before="0" w:after="0" w:line="240" w:lineRule="auto"/>
              <w:jc w:val="right"/>
              <w:rPr>
                <w:b w:val="0"/>
                <w:bCs w:val="0"/>
              </w:rPr>
            </w:pPr>
            <w:r w:rsidRPr="00A53406">
              <w:rPr>
                <w:b w:val="0"/>
                <w:bCs w:val="0"/>
              </w:rPr>
              <w:t>$648</w:t>
            </w:r>
          </w:p>
        </w:tc>
      </w:tr>
      <w:tr w:rsidR="00D75BC9" w14:paraId="6E7EB5C6" w14:textId="77777777" w:rsidTr="00417488">
        <w:trPr>
          <w:cnfStyle w:val="010000000000" w:firstRow="0" w:lastRow="1" w:firstColumn="0" w:lastColumn="0" w:oddVBand="0" w:evenVBand="0" w:oddHBand="0" w:evenHBand="0" w:firstRowFirstColumn="0" w:firstRowLastColumn="0" w:lastRowFirstColumn="0" w:lastRowLastColumn="0"/>
          <w:trHeight w:val="288"/>
          <w:jc w:val="center"/>
        </w:trPr>
        <w:tc>
          <w:tcPr>
            <w:tcW w:w="5760" w:type="dxa"/>
            <w:tcBorders>
              <w:top w:val="double" w:sz="2" w:space="0" w:color="92CDDC" w:themeColor="accent5" w:themeTint="99"/>
              <w:left w:val="nil"/>
              <w:right w:val="nil"/>
            </w:tcBorders>
            <w:shd w:val="clear" w:color="auto" w:fill="auto"/>
            <w:vAlign w:val="center"/>
          </w:tcPr>
          <w:p w14:paraId="3E187916" w14:textId="77777777" w:rsidR="00D75BC9" w:rsidRPr="009C1C85" w:rsidRDefault="00D75BC9" w:rsidP="00410168">
            <w:pPr>
              <w:spacing w:before="40" w:after="40" w:line="240" w:lineRule="auto"/>
              <w:rPr>
                <w:bCs w:val="0"/>
              </w:rPr>
            </w:pPr>
            <w:r w:rsidRPr="00CA7887">
              <w:t>Total</w:t>
            </w:r>
          </w:p>
        </w:tc>
        <w:tc>
          <w:tcPr>
            <w:tcW w:w="1530" w:type="dxa"/>
            <w:tcBorders>
              <w:top w:val="double" w:sz="2" w:space="0" w:color="92CDDC" w:themeColor="accent5" w:themeTint="99"/>
              <w:left w:val="nil"/>
              <w:right w:val="nil"/>
            </w:tcBorders>
            <w:shd w:val="clear" w:color="auto" w:fill="auto"/>
            <w:vAlign w:val="center"/>
          </w:tcPr>
          <w:p w14:paraId="4BEA16EF" w14:textId="77777777" w:rsidR="00D75BC9" w:rsidRPr="001671C5" w:rsidRDefault="00D75BC9" w:rsidP="00410168">
            <w:pPr>
              <w:spacing w:before="40" w:after="40" w:line="240" w:lineRule="auto"/>
              <w:jc w:val="right"/>
              <w:rPr>
                <w:u w:val="single"/>
              </w:rPr>
            </w:pPr>
            <w:r w:rsidRPr="00753470">
              <w:t>$</w:t>
            </w:r>
            <w:r w:rsidRPr="007F7344">
              <w:t>2,937</w:t>
            </w:r>
          </w:p>
        </w:tc>
      </w:tr>
    </w:tbl>
    <w:p w14:paraId="0E105CCD" w14:textId="77777777" w:rsidR="00D75BC9" w:rsidRPr="000A4697" w:rsidRDefault="00D75BC9" w:rsidP="00D75BC9">
      <w:pPr>
        <w:pStyle w:val="NoSpacing"/>
      </w:pPr>
    </w:p>
    <w:p w14:paraId="3AB7E468" w14:textId="77777777" w:rsidR="004D4C63" w:rsidRPr="00203E9A" w:rsidRDefault="004D4C63" w:rsidP="0072005E">
      <w:pPr>
        <w:rPr>
          <w:b/>
          <w:bCs/>
          <w:color w:val="7F7F7F" w:themeColor="text1" w:themeTint="80"/>
        </w:rPr>
      </w:pPr>
      <w:r w:rsidRPr="00F90028">
        <w:rPr>
          <w:b/>
          <w:bCs/>
          <w:color w:val="0D0D0D" w:themeColor="text1" w:themeTint="F2"/>
        </w:rPr>
        <w:t>PARTNERS WITH BUSINESS PROFILE FOR TRAVIS:</w:t>
      </w:r>
    </w:p>
    <w:p w14:paraId="3BC229FF" w14:textId="77777777" w:rsidR="004D4C63" w:rsidRPr="00043C33" w:rsidRDefault="004D4C63" w:rsidP="00B1367E">
      <w:r w:rsidRPr="00043C33">
        <w:rPr>
          <w:u w:val="single"/>
        </w:rPr>
        <w:t>Employment Situation</w:t>
      </w:r>
      <w:r w:rsidRPr="00043C33">
        <w:t>: Travis has been hired to complete food prep tasks 3 hours a day, 5 days a week</w:t>
      </w:r>
      <w:r w:rsidR="00EA15F3">
        <w:t>,</w:t>
      </w:r>
      <w:r w:rsidRPr="00043C33">
        <w:t xml:space="preserve"> in a small diner located in his hometown</w:t>
      </w:r>
      <w:r w:rsidR="00EA15F3">
        <w:t>,</w:t>
      </w:r>
      <w:r w:rsidRPr="00043C33">
        <w:t xml:space="preserve"> which is 20 miles from the closest </w:t>
      </w:r>
      <w:r w:rsidR="00F655C6">
        <w:t>Supported Employment</w:t>
      </w:r>
      <w:r w:rsidRPr="00043C33">
        <w:t xml:space="preserve"> agency</w:t>
      </w:r>
      <w:r w:rsidR="005043F4">
        <w:t xml:space="preserve">. </w:t>
      </w:r>
    </w:p>
    <w:p w14:paraId="22D1E8AA" w14:textId="77777777" w:rsidR="004D4C63" w:rsidRPr="00043C33" w:rsidRDefault="004D4C63" w:rsidP="00B1367E">
      <w:r w:rsidRPr="00043C33">
        <w:rPr>
          <w:u w:val="single"/>
        </w:rPr>
        <w:t>Need for paid on-the-job support</w:t>
      </w:r>
      <w:r w:rsidRPr="00043C33">
        <w:t>: Travis needs intermittent support to complete his work, including cues on how to prepare specific food items that vary depending on the day’s menu. Travis needs help setting up his food prep tasks, but once set up, he can work independently to complete the task. Total direct support over the 3</w:t>
      </w:r>
      <w:r w:rsidR="0045766C">
        <w:t>-</w:t>
      </w:r>
      <w:r w:rsidRPr="00043C33">
        <w:t>hour shift is between 45 minutes and 1 hour.</w:t>
      </w:r>
    </w:p>
    <w:p w14:paraId="69D7911B" w14:textId="5C3C22F1" w:rsidR="004D4C63" w:rsidRDefault="004D4C63" w:rsidP="00893839">
      <w:pPr>
        <w:spacing w:before="240"/>
        <w:rPr>
          <w:u w:val="single"/>
        </w:rPr>
      </w:pPr>
      <w:r w:rsidRPr="001C5711">
        <w:rPr>
          <w:u w:val="single"/>
        </w:rPr>
        <w:t>Traditional agency support requires job coach on site</w:t>
      </w:r>
    </w:p>
    <w:tbl>
      <w:tblPr>
        <w:tblStyle w:val="GridTable4-Accent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60" w:firstRow="1" w:lastRow="1" w:firstColumn="0" w:lastColumn="0" w:noHBand="0" w:noVBand="1"/>
      </w:tblPr>
      <w:tblGrid>
        <w:gridCol w:w="5760"/>
        <w:gridCol w:w="1530"/>
      </w:tblGrid>
      <w:tr w:rsidR="00893839" w:rsidRPr="00814B66" w14:paraId="3542F02B" w14:textId="77777777" w:rsidTr="0072005E">
        <w:trPr>
          <w:cnfStyle w:val="100000000000" w:firstRow="1" w:lastRow="0" w:firstColumn="0" w:lastColumn="0" w:oddVBand="0" w:evenVBand="0" w:oddHBand="0" w:evenHBand="0" w:firstRowFirstColumn="0" w:firstRowLastColumn="0" w:lastRowFirstColumn="0" w:lastRowLastColumn="0"/>
          <w:trHeight w:val="302"/>
          <w:jc w:val="center"/>
        </w:trPr>
        <w:tc>
          <w:tcPr>
            <w:tcW w:w="576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53FE989E" w14:textId="77777777" w:rsidR="00893839" w:rsidRPr="00470213" w:rsidRDefault="00893839" w:rsidP="00CA1889">
            <w:pPr>
              <w:spacing w:before="0" w:after="0" w:line="240" w:lineRule="auto"/>
              <w:rPr>
                <w:color w:val="FFFFFF" w:themeColor="background1"/>
                <w:u w:val="single"/>
              </w:rPr>
            </w:pPr>
          </w:p>
        </w:tc>
        <w:tc>
          <w:tcPr>
            <w:tcW w:w="153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6931C441" w14:textId="77777777" w:rsidR="00893839" w:rsidRPr="00470213" w:rsidRDefault="00893839" w:rsidP="00CA1889">
            <w:pPr>
              <w:spacing w:before="0" w:after="0" w:line="240" w:lineRule="auto"/>
              <w:jc w:val="right"/>
              <w:rPr>
                <w:b w:val="0"/>
                <w:bCs w:val="0"/>
                <w:color w:val="FFFFFF" w:themeColor="background1"/>
              </w:rPr>
            </w:pPr>
            <w:r w:rsidRPr="00470213">
              <w:rPr>
                <w:color w:val="FFFFFF" w:themeColor="background1"/>
              </w:rPr>
              <w:t>Cost per Year</w:t>
            </w:r>
          </w:p>
        </w:tc>
      </w:tr>
      <w:tr w:rsidR="00893839" w14:paraId="001B583A" w14:textId="77777777" w:rsidTr="0072005E">
        <w:trPr>
          <w:cnfStyle w:val="000000100000" w:firstRow="0" w:lastRow="0" w:firstColumn="0" w:lastColumn="0" w:oddVBand="0" w:evenVBand="0" w:oddHBand="1" w:evenHBand="0" w:firstRowFirstColumn="0" w:firstRowLastColumn="0" w:lastRowFirstColumn="0" w:lastRowLastColumn="0"/>
          <w:trHeight w:val="302"/>
          <w:jc w:val="center"/>
        </w:trPr>
        <w:tc>
          <w:tcPr>
            <w:tcW w:w="5760" w:type="dxa"/>
            <w:shd w:val="clear" w:color="auto" w:fill="auto"/>
            <w:vAlign w:val="center"/>
          </w:tcPr>
          <w:p w14:paraId="64047371" w14:textId="12915BF8" w:rsidR="00893839" w:rsidRPr="00CA7887" w:rsidRDefault="00893839" w:rsidP="00410168">
            <w:pPr>
              <w:spacing w:before="40" w:after="40" w:line="240" w:lineRule="auto"/>
              <w:rPr>
                <w:bCs/>
                <w:u w:val="single"/>
              </w:rPr>
            </w:pPr>
            <w:r w:rsidRPr="00043C33">
              <w:t>Job coach on site (3 hrs. x 5 days x 52 w</w:t>
            </w:r>
            <w:r w:rsidR="0032452A">
              <w:t>ee</w:t>
            </w:r>
            <w:r w:rsidRPr="00043C33">
              <w:t>ks x $27/h</w:t>
            </w:r>
            <w:r w:rsidR="0032452A">
              <w:t>ou</w:t>
            </w:r>
            <w:r w:rsidRPr="00043C33">
              <w:t>r)</w:t>
            </w:r>
          </w:p>
        </w:tc>
        <w:tc>
          <w:tcPr>
            <w:tcW w:w="1530" w:type="dxa"/>
            <w:shd w:val="clear" w:color="auto" w:fill="auto"/>
            <w:vAlign w:val="center"/>
          </w:tcPr>
          <w:p w14:paraId="19CD9D61" w14:textId="77777777" w:rsidR="00893839" w:rsidRDefault="00893839" w:rsidP="00410168">
            <w:pPr>
              <w:spacing w:before="40" w:after="40" w:line="240" w:lineRule="auto"/>
              <w:jc w:val="right"/>
              <w:rPr>
                <w:u w:val="single"/>
              </w:rPr>
            </w:pPr>
            <w:r w:rsidRPr="00043C33">
              <w:t>$21,060</w:t>
            </w:r>
          </w:p>
        </w:tc>
      </w:tr>
      <w:tr w:rsidR="00893839" w14:paraId="5DA300A4" w14:textId="77777777" w:rsidTr="0072005E">
        <w:trPr>
          <w:trHeight w:val="302"/>
          <w:jc w:val="center"/>
        </w:trPr>
        <w:tc>
          <w:tcPr>
            <w:tcW w:w="5760" w:type="dxa"/>
            <w:tcBorders>
              <w:bottom w:val="double" w:sz="4" w:space="0" w:color="92CDDC" w:themeColor="accent5" w:themeTint="99"/>
            </w:tcBorders>
            <w:shd w:val="clear" w:color="auto" w:fill="DAEEF3" w:themeFill="accent5" w:themeFillTint="33"/>
            <w:vAlign w:val="center"/>
          </w:tcPr>
          <w:p w14:paraId="34144F36" w14:textId="7DE21634" w:rsidR="00893839" w:rsidRPr="00CA7887" w:rsidRDefault="00893839" w:rsidP="00410168">
            <w:pPr>
              <w:spacing w:before="40" w:after="40" w:line="240" w:lineRule="auto"/>
              <w:rPr>
                <w:bCs/>
                <w:u w:val="single"/>
              </w:rPr>
            </w:pPr>
            <w:r w:rsidRPr="00043C33">
              <w:t>Round-trip mileage to worksite (200 mi</w:t>
            </w:r>
            <w:r w:rsidR="0032452A">
              <w:t>les</w:t>
            </w:r>
            <w:r w:rsidRPr="00043C33">
              <w:t>/w</w:t>
            </w:r>
            <w:r w:rsidR="0032452A">
              <w:t>ee</w:t>
            </w:r>
            <w:r w:rsidRPr="00043C33">
              <w:t>k at</w:t>
            </w:r>
            <w:r>
              <w:t xml:space="preserve"> </w:t>
            </w:r>
            <w:r w:rsidRPr="00043C33">
              <w:t>45/mi</w:t>
            </w:r>
            <w:r w:rsidR="0032452A">
              <w:t>le</w:t>
            </w:r>
            <w:r w:rsidRPr="00043C33">
              <w:t>)</w:t>
            </w:r>
          </w:p>
        </w:tc>
        <w:tc>
          <w:tcPr>
            <w:tcW w:w="1530" w:type="dxa"/>
            <w:tcBorders>
              <w:bottom w:val="double" w:sz="4" w:space="0" w:color="92CDDC" w:themeColor="accent5" w:themeTint="99"/>
            </w:tcBorders>
            <w:shd w:val="clear" w:color="auto" w:fill="DAEEF3" w:themeFill="accent5" w:themeFillTint="33"/>
            <w:vAlign w:val="center"/>
          </w:tcPr>
          <w:p w14:paraId="0A2F8F8E" w14:textId="77777777" w:rsidR="00893839" w:rsidRPr="00470213" w:rsidRDefault="00893839" w:rsidP="00410168">
            <w:pPr>
              <w:spacing w:before="40" w:after="40" w:line="240" w:lineRule="auto"/>
              <w:jc w:val="right"/>
            </w:pPr>
            <w:r>
              <w:t>$</w:t>
            </w:r>
            <w:r w:rsidRPr="009C1C85">
              <w:t>4,680</w:t>
            </w:r>
          </w:p>
        </w:tc>
      </w:tr>
      <w:tr w:rsidR="00893839" w14:paraId="1D761433" w14:textId="77777777" w:rsidTr="0072005E">
        <w:trPr>
          <w:cnfStyle w:val="010000000000" w:firstRow="0" w:lastRow="1" w:firstColumn="0" w:lastColumn="0" w:oddVBand="0" w:evenVBand="0" w:oddHBand="0" w:evenHBand="0" w:firstRowFirstColumn="0" w:firstRowLastColumn="0" w:lastRowFirstColumn="0" w:lastRowLastColumn="0"/>
          <w:trHeight w:val="302"/>
          <w:jc w:val="center"/>
        </w:trPr>
        <w:tc>
          <w:tcPr>
            <w:tcW w:w="5760" w:type="dxa"/>
            <w:tcBorders>
              <w:top w:val="double" w:sz="4" w:space="0" w:color="92CDDC" w:themeColor="accent5" w:themeTint="99"/>
              <w:bottom w:val="single" w:sz="4" w:space="0" w:color="92CDDC" w:themeColor="accent5" w:themeTint="99"/>
            </w:tcBorders>
            <w:vAlign w:val="center"/>
          </w:tcPr>
          <w:p w14:paraId="515C8D69" w14:textId="77777777" w:rsidR="00893839" w:rsidRPr="009C1C85" w:rsidRDefault="00893839" w:rsidP="00410168">
            <w:pPr>
              <w:spacing w:before="40" w:after="40" w:line="240" w:lineRule="auto"/>
              <w:rPr>
                <w:bCs w:val="0"/>
              </w:rPr>
            </w:pPr>
            <w:r w:rsidRPr="00CA7887">
              <w:t>Total</w:t>
            </w:r>
          </w:p>
        </w:tc>
        <w:tc>
          <w:tcPr>
            <w:tcW w:w="1530" w:type="dxa"/>
            <w:tcBorders>
              <w:top w:val="double" w:sz="4" w:space="0" w:color="92CDDC" w:themeColor="accent5" w:themeTint="99"/>
              <w:bottom w:val="single" w:sz="4" w:space="0" w:color="92CDDC" w:themeColor="accent5" w:themeTint="99"/>
            </w:tcBorders>
            <w:vAlign w:val="center"/>
          </w:tcPr>
          <w:p w14:paraId="66A9DC52" w14:textId="77777777" w:rsidR="00893839" w:rsidRPr="001671C5" w:rsidRDefault="00893839" w:rsidP="00410168">
            <w:pPr>
              <w:spacing w:before="40" w:after="40" w:line="240" w:lineRule="auto"/>
              <w:jc w:val="right"/>
              <w:rPr>
                <w:u w:val="single"/>
              </w:rPr>
            </w:pPr>
            <w:r w:rsidRPr="00753470">
              <w:t>$</w:t>
            </w:r>
            <w:r w:rsidRPr="00942C17">
              <w:t>25,740</w:t>
            </w:r>
          </w:p>
        </w:tc>
      </w:tr>
    </w:tbl>
    <w:p w14:paraId="409F1DF3" w14:textId="31970FFC" w:rsidR="004D4C63" w:rsidRDefault="004D4C63" w:rsidP="00893839">
      <w:pPr>
        <w:spacing w:before="240"/>
        <w:rPr>
          <w:u w:val="single"/>
        </w:rPr>
      </w:pPr>
      <w:r w:rsidRPr="00FF0B0C">
        <w:rPr>
          <w:u w:val="single"/>
        </w:rPr>
        <w:t>Support provided through the Kitchen staff</w:t>
      </w:r>
    </w:p>
    <w:tbl>
      <w:tblPr>
        <w:tblStyle w:val="GridTable4-Accent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60" w:firstRow="1" w:lastRow="1" w:firstColumn="0" w:lastColumn="0" w:noHBand="0" w:noVBand="1"/>
      </w:tblPr>
      <w:tblGrid>
        <w:gridCol w:w="5760"/>
        <w:gridCol w:w="1530"/>
      </w:tblGrid>
      <w:tr w:rsidR="00893839" w:rsidRPr="00814B66" w14:paraId="36F845B8" w14:textId="77777777" w:rsidTr="0072005E">
        <w:trPr>
          <w:cnfStyle w:val="100000000000" w:firstRow="1" w:lastRow="0" w:firstColumn="0" w:lastColumn="0" w:oddVBand="0" w:evenVBand="0" w:oddHBand="0" w:evenHBand="0" w:firstRowFirstColumn="0" w:firstRowLastColumn="0" w:lastRowFirstColumn="0" w:lastRowLastColumn="0"/>
          <w:trHeight w:val="302"/>
          <w:jc w:val="center"/>
        </w:trPr>
        <w:tc>
          <w:tcPr>
            <w:tcW w:w="576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033A9D83" w14:textId="77777777" w:rsidR="00893839" w:rsidRPr="00470213" w:rsidRDefault="00893839" w:rsidP="00CA1889">
            <w:pPr>
              <w:spacing w:before="0" w:after="0" w:line="240" w:lineRule="auto"/>
              <w:rPr>
                <w:color w:val="FFFFFF" w:themeColor="background1"/>
                <w:u w:val="single"/>
              </w:rPr>
            </w:pPr>
          </w:p>
        </w:tc>
        <w:tc>
          <w:tcPr>
            <w:tcW w:w="153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7AB96F85" w14:textId="77777777" w:rsidR="00893839" w:rsidRPr="00470213" w:rsidRDefault="00893839" w:rsidP="00CA1889">
            <w:pPr>
              <w:spacing w:before="0" w:after="0" w:line="240" w:lineRule="auto"/>
              <w:jc w:val="right"/>
              <w:rPr>
                <w:b w:val="0"/>
                <w:bCs w:val="0"/>
                <w:color w:val="FFFFFF" w:themeColor="background1"/>
              </w:rPr>
            </w:pPr>
            <w:r w:rsidRPr="00470213">
              <w:rPr>
                <w:color w:val="FFFFFF" w:themeColor="background1"/>
              </w:rPr>
              <w:t>Cost per Year</w:t>
            </w:r>
          </w:p>
        </w:tc>
      </w:tr>
      <w:tr w:rsidR="00893839" w14:paraId="0FF7F2FD" w14:textId="77777777" w:rsidTr="0072005E">
        <w:trPr>
          <w:cnfStyle w:val="000000100000" w:firstRow="0" w:lastRow="0" w:firstColumn="0" w:lastColumn="0" w:oddVBand="0" w:evenVBand="0" w:oddHBand="1" w:evenHBand="0" w:firstRowFirstColumn="0" w:firstRowLastColumn="0" w:lastRowFirstColumn="0" w:lastRowLastColumn="0"/>
          <w:trHeight w:val="302"/>
          <w:jc w:val="center"/>
        </w:trPr>
        <w:tc>
          <w:tcPr>
            <w:tcW w:w="5760" w:type="dxa"/>
            <w:shd w:val="clear" w:color="auto" w:fill="auto"/>
            <w:vAlign w:val="center"/>
          </w:tcPr>
          <w:p w14:paraId="6D976CBF" w14:textId="77777777" w:rsidR="00893839" w:rsidRPr="00CA7887" w:rsidRDefault="00893839" w:rsidP="00410168">
            <w:pPr>
              <w:spacing w:before="40" w:after="40" w:line="240" w:lineRule="auto"/>
              <w:rPr>
                <w:bCs/>
                <w:u w:val="single"/>
              </w:rPr>
            </w:pPr>
            <w:r w:rsidRPr="00043C33">
              <w:t>1-hour x 5 days x 52 weeks x $20/hour</w:t>
            </w:r>
          </w:p>
        </w:tc>
        <w:tc>
          <w:tcPr>
            <w:tcW w:w="1530" w:type="dxa"/>
            <w:shd w:val="clear" w:color="auto" w:fill="auto"/>
            <w:vAlign w:val="center"/>
          </w:tcPr>
          <w:p w14:paraId="6533D179" w14:textId="77777777" w:rsidR="00893839" w:rsidRDefault="00893839" w:rsidP="00410168">
            <w:pPr>
              <w:spacing w:before="40" w:after="40" w:line="240" w:lineRule="auto"/>
              <w:jc w:val="right"/>
              <w:rPr>
                <w:u w:val="single"/>
              </w:rPr>
            </w:pPr>
            <w:r w:rsidRPr="00043C33">
              <w:t>$5,200</w:t>
            </w:r>
          </w:p>
        </w:tc>
      </w:tr>
      <w:tr w:rsidR="00893839" w14:paraId="0492C32A" w14:textId="77777777" w:rsidTr="0072005E">
        <w:trPr>
          <w:trHeight w:val="302"/>
          <w:jc w:val="center"/>
        </w:trPr>
        <w:tc>
          <w:tcPr>
            <w:tcW w:w="5760" w:type="dxa"/>
            <w:tcBorders>
              <w:bottom w:val="double" w:sz="4" w:space="0" w:color="92CDDC" w:themeColor="accent5" w:themeTint="99"/>
            </w:tcBorders>
            <w:shd w:val="clear" w:color="auto" w:fill="DAEEF3" w:themeFill="accent5" w:themeFillTint="33"/>
            <w:vAlign w:val="center"/>
          </w:tcPr>
          <w:p w14:paraId="36319A32" w14:textId="1EC598E7" w:rsidR="00893839" w:rsidRPr="00CA7887" w:rsidRDefault="00893839" w:rsidP="00410168">
            <w:pPr>
              <w:spacing w:before="40" w:after="40" w:line="240" w:lineRule="auto"/>
              <w:rPr>
                <w:bCs/>
                <w:u w:val="single"/>
              </w:rPr>
            </w:pPr>
            <w:r w:rsidRPr="00043C33">
              <w:t>SE agency follow-along (1 to 2 hours/month at $27/h</w:t>
            </w:r>
            <w:r w:rsidR="0032452A">
              <w:t>ou</w:t>
            </w:r>
            <w:r w:rsidRPr="00043C33">
              <w:t>r)</w:t>
            </w:r>
          </w:p>
        </w:tc>
        <w:tc>
          <w:tcPr>
            <w:tcW w:w="1530" w:type="dxa"/>
            <w:tcBorders>
              <w:bottom w:val="double" w:sz="4" w:space="0" w:color="92CDDC" w:themeColor="accent5" w:themeTint="99"/>
            </w:tcBorders>
            <w:shd w:val="clear" w:color="auto" w:fill="DAEEF3" w:themeFill="accent5" w:themeFillTint="33"/>
            <w:vAlign w:val="center"/>
          </w:tcPr>
          <w:p w14:paraId="27F5322D" w14:textId="77777777" w:rsidR="00893839" w:rsidRPr="00470213" w:rsidRDefault="00893839" w:rsidP="00410168">
            <w:pPr>
              <w:spacing w:before="40" w:after="40" w:line="240" w:lineRule="auto"/>
              <w:jc w:val="right"/>
            </w:pPr>
            <w:r>
              <w:t>$</w:t>
            </w:r>
            <w:r w:rsidRPr="00974F41">
              <w:t>648</w:t>
            </w:r>
          </w:p>
        </w:tc>
      </w:tr>
      <w:tr w:rsidR="00893839" w14:paraId="0D30992D" w14:textId="77777777" w:rsidTr="0072005E">
        <w:trPr>
          <w:cnfStyle w:val="010000000000" w:firstRow="0" w:lastRow="1" w:firstColumn="0" w:lastColumn="0" w:oddVBand="0" w:evenVBand="0" w:oddHBand="0" w:evenHBand="0" w:firstRowFirstColumn="0" w:firstRowLastColumn="0" w:lastRowFirstColumn="0" w:lastRowLastColumn="0"/>
          <w:trHeight w:val="302"/>
          <w:jc w:val="center"/>
        </w:trPr>
        <w:tc>
          <w:tcPr>
            <w:tcW w:w="5760" w:type="dxa"/>
            <w:tcBorders>
              <w:top w:val="double" w:sz="4" w:space="0" w:color="92CDDC" w:themeColor="accent5" w:themeTint="99"/>
              <w:bottom w:val="single" w:sz="4" w:space="0" w:color="92CDDC" w:themeColor="accent5" w:themeTint="99"/>
            </w:tcBorders>
            <w:vAlign w:val="center"/>
          </w:tcPr>
          <w:p w14:paraId="0D55DB6E" w14:textId="77777777" w:rsidR="00893839" w:rsidRPr="00974F41" w:rsidRDefault="00893839" w:rsidP="00410168">
            <w:pPr>
              <w:spacing w:before="40" w:after="40" w:line="240" w:lineRule="auto"/>
              <w:rPr>
                <w:bCs w:val="0"/>
              </w:rPr>
            </w:pPr>
            <w:r w:rsidRPr="00CA7887">
              <w:t>Total</w:t>
            </w:r>
          </w:p>
        </w:tc>
        <w:tc>
          <w:tcPr>
            <w:tcW w:w="1530" w:type="dxa"/>
            <w:tcBorders>
              <w:top w:val="double" w:sz="4" w:space="0" w:color="92CDDC" w:themeColor="accent5" w:themeTint="99"/>
              <w:bottom w:val="single" w:sz="4" w:space="0" w:color="92CDDC" w:themeColor="accent5" w:themeTint="99"/>
            </w:tcBorders>
            <w:vAlign w:val="center"/>
          </w:tcPr>
          <w:p w14:paraId="31CFD524" w14:textId="77777777" w:rsidR="00893839" w:rsidRPr="001671C5" w:rsidRDefault="00893839" w:rsidP="00410168">
            <w:pPr>
              <w:spacing w:before="40" w:after="40" w:line="240" w:lineRule="auto"/>
              <w:jc w:val="right"/>
              <w:rPr>
                <w:u w:val="single"/>
              </w:rPr>
            </w:pPr>
            <w:r w:rsidRPr="00753470">
              <w:t>$</w:t>
            </w:r>
            <w:r w:rsidRPr="00043C33">
              <w:t>5,848</w:t>
            </w:r>
          </w:p>
        </w:tc>
      </w:tr>
    </w:tbl>
    <w:p w14:paraId="6E2F7523" w14:textId="77777777" w:rsidR="00893839" w:rsidRDefault="00893839" w:rsidP="00893839">
      <w:pPr>
        <w:pStyle w:val="NoSpacing"/>
      </w:pPr>
    </w:p>
    <w:p w14:paraId="399C5C28" w14:textId="35A108A9" w:rsidR="004D4C63" w:rsidRPr="00F90028" w:rsidRDefault="00893839" w:rsidP="0072005E">
      <w:pPr>
        <w:rPr>
          <w:b/>
          <w:bCs/>
          <w:color w:val="0D0D0D" w:themeColor="text1" w:themeTint="F2"/>
        </w:rPr>
      </w:pPr>
      <w:r>
        <w:rPr>
          <w:b/>
          <w:bCs/>
          <w:color w:val="0D0D0D" w:themeColor="text1" w:themeTint="F2"/>
        </w:rPr>
        <w:t>P</w:t>
      </w:r>
      <w:r w:rsidR="004D4C63" w:rsidRPr="00F90028">
        <w:rPr>
          <w:b/>
          <w:bCs/>
          <w:color w:val="0D0D0D" w:themeColor="text1" w:themeTint="F2"/>
        </w:rPr>
        <w:t>ARTNERS WITH BUSINESS PROFILE FOR DAN:</w:t>
      </w:r>
    </w:p>
    <w:p w14:paraId="3E882B32" w14:textId="77777777" w:rsidR="004D4C63" w:rsidRPr="00043C33" w:rsidRDefault="004D4C63" w:rsidP="00B1367E">
      <w:r w:rsidRPr="00043C33">
        <w:rPr>
          <w:u w:val="single"/>
        </w:rPr>
        <w:t>Employment Situation</w:t>
      </w:r>
      <w:r w:rsidRPr="00043C33">
        <w:t>: Dan works at a small metal shop that fabricates benches, bike racks, etc. Dan works 30 hours per week in the machine room, assisting with clean-up throughout the day. He also performs light cleaning tasks around the office, including the break room, reception area, windows, etc</w:t>
      </w:r>
      <w:r w:rsidR="005043F4">
        <w:t xml:space="preserve">. </w:t>
      </w:r>
      <w:r w:rsidRPr="00043C33">
        <w:t>Dan needs less than 30 minutes per day of support.</w:t>
      </w:r>
    </w:p>
    <w:p w14:paraId="08EDEDA4" w14:textId="77777777" w:rsidR="004D4C63" w:rsidRPr="00043C33" w:rsidRDefault="004D4C63" w:rsidP="00B1367E">
      <w:r w:rsidRPr="00043C33">
        <w:rPr>
          <w:u w:val="single"/>
        </w:rPr>
        <w:t>Need for paid on-the-job support</w:t>
      </w:r>
      <w:r w:rsidRPr="00043C33">
        <w:t>: Dan needs intermittent support with problem</w:t>
      </w:r>
      <w:r w:rsidR="007F25CE">
        <w:t>-</w:t>
      </w:r>
      <w:r w:rsidRPr="00043C33">
        <w:t xml:space="preserve">solving and prioritizing tasks. Dan also needs help on </w:t>
      </w:r>
      <w:r w:rsidRPr="000449DD">
        <w:t>occasion</w:t>
      </w:r>
      <w:r w:rsidR="00172E4F" w:rsidRPr="000449DD">
        <w:t>s</w:t>
      </w:r>
      <w:r w:rsidRPr="00043C33">
        <w:t xml:space="preserve"> when he cleans in the reception area to ensure that he follows through on tasks such as wiping down the office windows. Required daily support is 30 minutes or less.</w:t>
      </w:r>
    </w:p>
    <w:p w14:paraId="3678D4DD" w14:textId="77777777" w:rsidR="00893839" w:rsidRDefault="00893839" w:rsidP="00893839">
      <w:pPr>
        <w:rPr>
          <w:u w:val="single"/>
        </w:rPr>
      </w:pPr>
      <w:r w:rsidRPr="00FB0E62">
        <w:rPr>
          <w:u w:val="single"/>
        </w:rPr>
        <w:t>Traditional agency support (daily spot check)</w:t>
      </w:r>
    </w:p>
    <w:tbl>
      <w:tblPr>
        <w:tblStyle w:val="GridTable4-Accent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60" w:firstRow="1" w:lastRow="1" w:firstColumn="0" w:lastColumn="0" w:noHBand="0" w:noVBand="1"/>
      </w:tblPr>
      <w:tblGrid>
        <w:gridCol w:w="5850"/>
        <w:gridCol w:w="1530"/>
      </w:tblGrid>
      <w:tr w:rsidR="00893839" w:rsidRPr="00814B66" w14:paraId="421EE328" w14:textId="77777777" w:rsidTr="0072005E">
        <w:trPr>
          <w:cnfStyle w:val="100000000000" w:firstRow="1" w:lastRow="0" w:firstColumn="0" w:lastColumn="0" w:oddVBand="0" w:evenVBand="0" w:oddHBand="0" w:evenHBand="0" w:firstRowFirstColumn="0" w:firstRowLastColumn="0" w:lastRowFirstColumn="0" w:lastRowLastColumn="0"/>
          <w:trHeight w:val="302"/>
          <w:jc w:val="center"/>
        </w:trPr>
        <w:tc>
          <w:tcPr>
            <w:tcW w:w="585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548AFE12" w14:textId="77777777" w:rsidR="00893839" w:rsidRPr="00470213" w:rsidRDefault="00893839" w:rsidP="00CA1889">
            <w:pPr>
              <w:spacing w:before="0" w:after="0" w:line="240" w:lineRule="auto"/>
              <w:rPr>
                <w:color w:val="FFFFFF" w:themeColor="background1"/>
                <w:u w:val="single"/>
              </w:rPr>
            </w:pPr>
          </w:p>
        </w:tc>
        <w:tc>
          <w:tcPr>
            <w:tcW w:w="1530" w:type="dxa"/>
            <w:tcBorders>
              <w:top w:val="none" w:sz="0" w:space="0" w:color="auto"/>
              <w:left w:val="none" w:sz="0" w:space="0" w:color="auto"/>
              <w:bottom w:val="none" w:sz="0" w:space="0" w:color="auto"/>
              <w:right w:val="none" w:sz="0" w:space="0" w:color="auto"/>
            </w:tcBorders>
            <w:shd w:val="clear" w:color="auto" w:fill="215868" w:themeFill="accent5" w:themeFillShade="80"/>
            <w:vAlign w:val="center"/>
          </w:tcPr>
          <w:p w14:paraId="7341E5EE" w14:textId="77777777" w:rsidR="00893839" w:rsidRPr="00470213" w:rsidRDefault="00893839" w:rsidP="00CA1889">
            <w:pPr>
              <w:spacing w:before="0" w:after="0" w:line="240" w:lineRule="auto"/>
              <w:jc w:val="right"/>
              <w:rPr>
                <w:b w:val="0"/>
                <w:bCs w:val="0"/>
                <w:color w:val="FFFFFF" w:themeColor="background1"/>
              </w:rPr>
            </w:pPr>
            <w:r w:rsidRPr="00470213">
              <w:rPr>
                <w:color w:val="FFFFFF" w:themeColor="background1"/>
              </w:rPr>
              <w:t>Cost per Year</w:t>
            </w:r>
          </w:p>
        </w:tc>
      </w:tr>
      <w:tr w:rsidR="00893839" w14:paraId="79981416" w14:textId="77777777" w:rsidTr="0072005E">
        <w:trPr>
          <w:cnfStyle w:val="000000100000" w:firstRow="0" w:lastRow="0" w:firstColumn="0" w:lastColumn="0" w:oddVBand="0" w:evenVBand="0" w:oddHBand="1" w:evenHBand="0" w:firstRowFirstColumn="0" w:firstRowLastColumn="0" w:lastRowFirstColumn="0" w:lastRowLastColumn="0"/>
          <w:trHeight w:val="302"/>
          <w:jc w:val="center"/>
        </w:trPr>
        <w:tc>
          <w:tcPr>
            <w:tcW w:w="5850" w:type="dxa"/>
            <w:shd w:val="clear" w:color="auto" w:fill="auto"/>
            <w:vAlign w:val="center"/>
          </w:tcPr>
          <w:p w14:paraId="35FD4D93" w14:textId="177D8093" w:rsidR="00893839" w:rsidRPr="00CA7887" w:rsidRDefault="00893839" w:rsidP="00410168">
            <w:pPr>
              <w:spacing w:before="40" w:after="40" w:line="240" w:lineRule="auto"/>
              <w:rPr>
                <w:bCs/>
                <w:u w:val="single"/>
              </w:rPr>
            </w:pPr>
            <w:r w:rsidRPr="00043C33">
              <w:t>Job coach visits site (.5 hrs. x 5 days x 52 w</w:t>
            </w:r>
            <w:r w:rsidR="0032452A">
              <w:t>ee</w:t>
            </w:r>
            <w:r w:rsidRPr="00043C33">
              <w:t>ks x $27/h</w:t>
            </w:r>
            <w:r w:rsidR="0032452A">
              <w:t>ou</w:t>
            </w:r>
            <w:r w:rsidRPr="00043C33">
              <w:t>r)</w:t>
            </w:r>
          </w:p>
        </w:tc>
        <w:tc>
          <w:tcPr>
            <w:tcW w:w="1530" w:type="dxa"/>
            <w:shd w:val="clear" w:color="auto" w:fill="auto"/>
            <w:vAlign w:val="center"/>
          </w:tcPr>
          <w:p w14:paraId="5195C449" w14:textId="77777777" w:rsidR="00893839" w:rsidRDefault="00893839" w:rsidP="00410168">
            <w:pPr>
              <w:spacing w:before="40" w:after="40" w:line="240" w:lineRule="auto"/>
              <w:jc w:val="right"/>
              <w:rPr>
                <w:u w:val="single"/>
              </w:rPr>
            </w:pPr>
            <w:r w:rsidRPr="00043C33">
              <w:t>$3,510</w:t>
            </w:r>
          </w:p>
        </w:tc>
      </w:tr>
      <w:tr w:rsidR="00893839" w14:paraId="2723EE33" w14:textId="77777777" w:rsidTr="00EE41F3">
        <w:trPr>
          <w:trHeight w:val="302"/>
          <w:jc w:val="center"/>
        </w:trPr>
        <w:tc>
          <w:tcPr>
            <w:tcW w:w="5850" w:type="dxa"/>
            <w:tcBorders>
              <w:bottom w:val="double" w:sz="4" w:space="0" w:color="92CDDC" w:themeColor="accent5" w:themeTint="99"/>
            </w:tcBorders>
            <w:shd w:val="clear" w:color="auto" w:fill="DAEEF3" w:themeFill="accent5" w:themeFillTint="33"/>
            <w:vAlign w:val="center"/>
          </w:tcPr>
          <w:p w14:paraId="5A477B97" w14:textId="29E0D82D" w:rsidR="00893839" w:rsidRPr="00CA7887" w:rsidRDefault="00893839" w:rsidP="00410168">
            <w:pPr>
              <w:spacing w:before="40" w:after="40" w:line="240" w:lineRule="auto"/>
              <w:rPr>
                <w:bCs/>
                <w:u w:val="single"/>
              </w:rPr>
            </w:pPr>
            <w:r w:rsidRPr="00043C33">
              <w:t>Round-trip mileage to worksite (30 mi</w:t>
            </w:r>
            <w:r w:rsidR="0032452A">
              <w:t>les</w:t>
            </w:r>
            <w:r w:rsidRPr="00043C33">
              <w:t>/w</w:t>
            </w:r>
            <w:r w:rsidR="0032452A">
              <w:t>ee</w:t>
            </w:r>
            <w:r w:rsidRPr="00043C33">
              <w:t>k at</w:t>
            </w:r>
            <w:r>
              <w:t xml:space="preserve"> </w:t>
            </w:r>
            <w:r w:rsidRPr="00043C33">
              <w:t>45/mi</w:t>
            </w:r>
            <w:r w:rsidR="0032452A">
              <w:t>le</w:t>
            </w:r>
            <w:r w:rsidRPr="00043C33">
              <w:t>)</w:t>
            </w:r>
          </w:p>
        </w:tc>
        <w:tc>
          <w:tcPr>
            <w:tcW w:w="1530" w:type="dxa"/>
            <w:tcBorders>
              <w:bottom w:val="double" w:sz="4" w:space="0" w:color="92CDDC" w:themeColor="accent5" w:themeTint="99"/>
            </w:tcBorders>
            <w:shd w:val="clear" w:color="auto" w:fill="DAEEF3" w:themeFill="accent5" w:themeFillTint="33"/>
            <w:vAlign w:val="center"/>
          </w:tcPr>
          <w:p w14:paraId="035D2368" w14:textId="77777777" w:rsidR="00893839" w:rsidRPr="00470213" w:rsidRDefault="00893839" w:rsidP="00410168">
            <w:pPr>
              <w:spacing w:before="40" w:after="40" w:line="240" w:lineRule="auto"/>
              <w:jc w:val="right"/>
            </w:pPr>
            <w:r>
              <w:t>$</w:t>
            </w:r>
            <w:r w:rsidRPr="00974F41">
              <w:t>702</w:t>
            </w:r>
          </w:p>
        </w:tc>
      </w:tr>
      <w:tr w:rsidR="00893839" w:rsidRPr="00553C3B" w14:paraId="6DA34C05" w14:textId="77777777" w:rsidTr="00EE41F3">
        <w:trPr>
          <w:cnfStyle w:val="010000000000" w:firstRow="0" w:lastRow="1" w:firstColumn="0" w:lastColumn="0" w:oddVBand="0" w:evenVBand="0" w:oddHBand="0" w:evenHBand="0" w:firstRowFirstColumn="0" w:firstRowLastColumn="0" w:lastRowFirstColumn="0" w:lastRowLastColumn="0"/>
          <w:trHeight w:val="302"/>
          <w:jc w:val="center"/>
        </w:trPr>
        <w:tc>
          <w:tcPr>
            <w:tcW w:w="5850" w:type="dxa"/>
            <w:tcBorders>
              <w:top w:val="double" w:sz="4" w:space="0" w:color="92CDDC" w:themeColor="accent5" w:themeTint="99"/>
              <w:bottom w:val="single" w:sz="4" w:space="0" w:color="92CDDC" w:themeColor="accent5" w:themeTint="99"/>
            </w:tcBorders>
            <w:shd w:val="clear" w:color="auto" w:fill="auto"/>
            <w:vAlign w:val="center"/>
          </w:tcPr>
          <w:p w14:paraId="2875F4D1" w14:textId="77777777" w:rsidR="00893839" w:rsidRPr="00553C3B" w:rsidRDefault="00893839" w:rsidP="00410168">
            <w:pPr>
              <w:spacing w:before="40" w:after="40" w:line="240" w:lineRule="auto"/>
              <w:rPr>
                <w:b w:val="0"/>
              </w:rPr>
            </w:pPr>
            <w:r w:rsidRPr="00553C3B">
              <w:rPr>
                <w:b w:val="0"/>
              </w:rPr>
              <w:t>Total</w:t>
            </w:r>
          </w:p>
        </w:tc>
        <w:tc>
          <w:tcPr>
            <w:tcW w:w="1530" w:type="dxa"/>
            <w:tcBorders>
              <w:top w:val="double" w:sz="4" w:space="0" w:color="92CDDC" w:themeColor="accent5" w:themeTint="99"/>
              <w:bottom w:val="single" w:sz="4" w:space="0" w:color="92CDDC" w:themeColor="accent5" w:themeTint="99"/>
            </w:tcBorders>
            <w:shd w:val="clear" w:color="auto" w:fill="auto"/>
            <w:vAlign w:val="center"/>
          </w:tcPr>
          <w:p w14:paraId="503DCB0B" w14:textId="77777777" w:rsidR="00893839" w:rsidRPr="00553C3B" w:rsidRDefault="00893839" w:rsidP="00410168">
            <w:pPr>
              <w:spacing w:before="40" w:after="40" w:line="240" w:lineRule="auto"/>
              <w:jc w:val="right"/>
              <w:rPr>
                <w:b w:val="0"/>
                <w:u w:val="single"/>
              </w:rPr>
            </w:pPr>
            <w:r w:rsidRPr="00553C3B">
              <w:rPr>
                <w:b w:val="0"/>
              </w:rPr>
              <w:t>$4,212</w:t>
            </w:r>
          </w:p>
        </w:tc>
      </w:tr>
    </w:tbl>
    <w:p w14:paraId="04F33373" w14:textId="77777777" w:rsidR="00553C3B" w:rsidRDefault="00553C3B" w:rsidP="00553C3B">
      <w:pPr>
        <w:pStyle w:val="NoSpacing"/>
      </w:pPr>
    </w:p>
    <w:tbl>
      <w:tblPr>
        <w:tblStyle w:val="GridTable4-Accent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60" w:firstRow="1" w:lastRow="1" w:firstColumn="0" w:lastColumn="0" w:noHBand="0" w:noVBand="1"/>
      </w:tblPr>
      <w:tblGrid>
        <w:gridCol w:w="5580"/>
        <w:gridCol w:w="1800"/>
      </w:tblGrid>
      <w:tr w:rsidR="00893839" w:rsidRPr="00FD2BEC" w14:paraId="11C39A23" w14:textId="77777777" w:rsidTr="0072005E">
        <w:trPr>
          <w:cnfStyle w:val="100000000000" w:firstRow="1" w:lastRow="0" w:firstColumn="0" w:lastColumn="0" w:oddVBand="0" w:evenVBand="0" w:oddHBand="0" w:evenHBand="0" w:firstRowFirstColumn="0" w:firstRowLastColumn="0" w:lastRowFirstColumn="0" w:lastRowLastColumn="0"/>
          <w:trHeight w:val="302"/>
          <w:jc w:val="center"/>
        </w:trPr>
        <w:tc>
          <w:tcPr>
            <w:tcW w:w="5580" w:type="dxa"/>
            <w:shd w:val="clear" w:color="auto" w:fill="215868" w:themeFill="accent5" w:themeFillShade="80"/>
            <w:vAlign w:val="center"/>
          </w:tcPr>
          <w:p w14:paraId="5077ADCE" w14:textId="77777777" w:rsidR="00893839" w:rsidRPr="00470213" w:rsidRDefault="00893839" w:rsidP="00410168">
            <w:pPr>
              <w:spacing w:before="40" w:after="40" w:line="240" w:lineRule="auto"/>
              <w:rPr>
                <w:color w:val="FFFFFF" w:themeColor="background1"/>
                <w:u w:val="single"/>
              </w:rPr>
            </w:pPr>
          </w:p>
        </w:tc>
        <w:tc>
          <w:tcPr>
            <w:tcW w:w="1800" w:type="dxa"/>
            <w:shd w:val="clear" w:color="auto" w:fill="215868" w:themeFill="accent5" w:themeFillShade="80"/>
            <w:vAlign w:val="center"/>
          </w:tcPr>
          <w:p w14:paraId="1A538936" w14:textId="77777777" w:rsidR="00893839" w:rsidRPr="00FD2BEC" w:rsidRDefault="00893839" w:rsidP="00410168">
            <w:pPr>
              <w:spacing w:before="40" w:after="40" w:line="240" w:lineRule="auto"/>
              <w:jc w:val="right"/>
              <w:rPr>
                <w:b w:val="0"/>
                <w:bCs w:val="0"/>
                <w:color w:val="FFFFFF" w:themeColor="background1"/>
              </w:rPr>
            </w:pPr>
            <w:r w:rsidRPr="00FD2BEC">
              <w:rPr>
                <w:b w:val="0"/>
                <w:bCs w:val="0"/>
                <w:color w:val="FFFFFF" w:themeColor="background1"/>
              </w:rPr>
              <w:t>Cost per Year</w:t>
            </w:r>
          </w:p>
        </w:tc>
      </w:tr>
      <w:tr w:rsidR="00893839" w14:paraId="154BC73E" w14:textId="77777777" w:rsidTr="00553C3B">
        <w:trPr>
          <w:cnfStyle w:val="000000100000" w:firstRow="0" w:lastRow="0" w:firstColumn="0" w:lastColumn="0" w:oddVBand="0" w:evenVBand="0" w:oddHBand="1" w:evenHBand="0" w:firstRowFirstColumn="0" w:firstRowLastColumn="0" w:lastRowFirstColumn="0" w:lastRowLastColumn="0"/>
          <w:trHeight w:val="302"/>
          <w:jc w:val="center"/>
        </w:trPr>
        <w:tc>
          <w:tcPr>
            <w:tcW w:w="5580" w:type="dxa"/>
            <w:shd w:val="clear" w:color="auto" w:fill="auto"/>
            <w:vAlign w:val="center"/>
          </w:tcPr>
          <w:p w14:paraId="17FCE910" w14:textId="77777777" w:rsidR="00893839" w:rsidRPr="00CA7887" w:rsidRDefault="00893839" w:rsidP="00410168">
            <w:pPr>
              <w:spacing w:before="40" w:after="40" w:line="240" w:lineRule="auto"/>
              <w:rPr>
                <w:bCs/>
                <w:u w:val="single"/>
              </w:rPr>
            </w:pPr>
            <w:r w:rsidRPr="00477820">
              <w:t>Support provided through the Metal Shop staff*</w:t>
            </w:r>
            <w:r>
              <w:br/>
            </w:r>
            <w:r w:rsidRPr="00043C33">
              <w:t>*(When asked if they needed compensation for the 30 min</w:t>
            </w:r>
            <w:r>
              <w:t>utes</w:t>
            </w:r>
            <w:r w:rsidRPr="00043C33">
              <w:t xml:space="preserve"> per day of support required, the employer declined, offering to provide the support at no charge.</w:t>
            </w:r>
            <w:r>
              <w:t>)</w:t>
            </w:r>
          </w:p>
        </w:tc>
        <w:tc>
          <w:tcPr>
            <w:tcW w:w="1800" w:type="dxa"/>
            <w:shd w:val="clear" w:color="auto" w:fill="auto"/>
          </w:tcPr>
          <w:p w14:paraId="5C85D511" w14:textId="77777777" w:rsidR="00893839" w:rsidRDefault="00893839" w:rsidP="00410168">
            <w:pPr>
              <w:spacing w:before="40" w:after="40" w:line="240" w:lineRule="auto"/>
              <w:jc w:val="right"/>
              <w:rPr>
                <w:u w:val="single"/>
              </w:rPr>
            </w:pPr>
            <w:r w:rsidRPr="00043C33">
              <w:t>$</w:t>
            </w:r>
            <w:r>
              <w:t>0</w:t>
            </w:r>
          </w:p>
        </w:tc>
      </w:tr>
      <w:tr w:rsidR="00893839" w14:paraId="36542F4A" w14:textId="77777777" w:rsidTr="0072005E">
        <w:trPr>
          <w:trHeight w:val="302"/>
          <w:jc w:val="center"/>
        </w:trPr>
        <w:tc>
          <w:tcPr>
            <w:tcW w:w="5580" w:type="dxa"/>
            <w:tcBorders>
              <w:bottom w:val="double" w:sz="4" w:space="0" w:color="92CDDC" w:themeColor="accent5" w:themeTint="99"/>
            </w:tcBorders>
            <w:shd w:val="clear" w:color="auto" w:fill="DAEEF3" w:themeFill="accent5" w:themeFillTint="33"/>
            <w:vAlign w:val="center"/>
          </w:tcPr>
          <w:p w14:paraId="172755BD" w14:textId="03F94178" w:rsidR="00893839" w:rsidRPr="00CA7887" w:rsidRDefault="00893839" w:rsidP="00410168">
            <w:pPr>
              <w:spacing w:before="40" w:after="40" w:line="240" w:lineRule="auto"/>
              <w:rPr>
                <w:bCs/>
                <w:u w:val="single"/>
              </w:rPr>
            </w:pPr>
            <w:r w:rsidRPr="00043C33">
              <w:t>SE agency follow-along (1 to 2 hours/month at $27/h</w:t>
            </w:r>
            <w:r w:rsidR="0032452A">
              <w:t>ou</w:t>
            </w:r>
            <w:r w:rsidRPr="00043C33">
              <w:t>r)</w:t>
            </w:r>
          </w:p>
        </w:tc>
        <w:tc>
          <w:tcPr>
            <w:tcW w:w="1800" w:type="dxa"/>
            <w:tcBorders>
              <w:bottom w:val="double" w:sz="4" w:space="0" w:color="92CDDC" w:themeColor="accent5" w:themeTint="99"/>
            </w:tcBorders>
            <w:shd w:val="clear" w:color="auto" w:fill="DAEEF3" w:themeFill="accent5" w:themeFillTint="33"/>
            <w:vAlign w:val="center"/>
          </w:tcPr>
          <w:p w14:paraId="5B1100AF" w14:textId="77777777" w:rsidR="00893839" w:rsidRPr="00470213" w:rsidRDefault="00893839" w:rsidP="00410168">
            <w:pPr>
              <w:spacing w:before="40" w:after="40" w:line="240" w:lineRule="auto"/>
              <w:jc w:val="right"/>
            </w:pPr>
            <w:r>
              <w:t>$648</w:t>
            </w:r>
          </w:p>
        </w:tc>
      </w:tr>
      <w:tr w:rsidR="00893839" w14:paraId="583EF819" w14:textId="77777777" w:rsidTr="0072005E">
        <w:trPr>
          <w:cnfStyle w:val="010000000000" w:firstRow="0" w:lastRow="1" w:firstColumn="0" w:lastColumn="0" w:oddVBand="0" w:evenVBand="0" w:oddHBand="0" w:evenHBand="0" w:firstRowFirstColumn="0" w:firstRowLastColumn="0" w:lastRowFirstColumn="0" w:lastRowLastColumn="0"/>
          <w:trHeight w:val="302"/>
          <w:jc w:val="center"/>
        </w:trPr>
        <w:tc>
          <w:tcPr>
            <w:tcW w:w="5580" w:type="dxa"/>
            <w:tcBorders>
              <w:top w:val="double" w:sz="4" w:space="0" w:color="92CDDC" w:themeColor="accent5" w:themeTint="99"/>
              <w:bottom w:val="single" w:sz="4" w:space="0" w:color="92CDDC" w:themeColor="accent5" w:themeTint="99"/>
            </w:tcBorders>
            <w:vAlign w:val="center"/>
          </w:tcPr>
          <w:p w14:paraId="56A6EB12" w14:textId="77777777" w:rsidR="00893839" w:rsidRPr="00470213" w:rsidRDefault="00893839" w:rsidP="00410168">
            <w:pPr>
              <w:spacing w:before="40" w:after="40" w:line="240" w:lineRule="auto"/>
              <w:rPr>
                <w:bCs w:val="0"/>
              </w:rPr>
            </w:pPr>
            <w:r w:rsidRPr="00470213">
              <w:rPr>
                <w:bCs w:val="0"/>
              </w:rPr>
              <w:t>Total</w:t>
            </w:r>
          </w:p>
        </w:tc>
        <w:tc>
          <w:tcPr>
            <w:tcW w:w="1800" w:type="dxa"/>
            <w:tcBorders>
              <w:top w:val="double" w:sz="4" w:space="0" w:color="92CDDC" w:themeColor="accent5" w:themeTint="99"/>
              <w:bottom w:val="single" w:sz="4" w:space="0" w:color="92CDDC" w:themeColor="accent5" w:themeTint="99"/>
            </w:tcBorders>
            <w:vAlign w:val="center"/>
          </w:tcPr>
          <w:p w14:paraId="5C94EC6D" w14:textId="77777777" w:rsidR="00893839" w:rsidRPr="001671C5" w:rsidRDefault="00893839" w:rsidP="00410168">
            <w:pPr>
              <w:spacing w:before="40" w:after="40" w:line="240" w:lineRule="auto"/>
              <w:jc w:val="right"/>
              <w:rPr>
                <w:u w:val="single"/>
              </w:rPr>
            </w:pPr>
            <w:r w:rsidRPr="00753470">
              <w:t>$</w:t>
            </w:r>
            <w:r>
              <w:t>648</w:t>
            </w:r>
          </w:p>
        </w:tc>
      </w:tr>
    </w:tbl>
    <w:p w14:paraId="49DB1A45" w14:textId="77777777" w:rsidR="00893839" w:rsidRDefault="00893839" w:rsidP="00B1367E"/>
    <w:p w14:paraId="3877CB04" w14:textId="5FFB6192" w:rsidR="004D4C63" w:rsidRPr="00893839" w:rsidRDefault="00893839" w:rsidP="00B1367E">
      <w:pPr>
        <w:rPr>
          <w:u w:val="single"/>
        </w:rPr>
      </w:pPr>
      <w:r w:rsidRPr="00043C33">
        <w:t>As</w:t>
      </w:r>
      <w:r>
        <w:t xml:space="preserve"> </w:t>
      </w:r>
      <w:r w:rsidR="004D4C63" w:rsidRPr="00043C33">
        <w:t>the success in Dane County increased, interest in expanding the approach to more parts of the state grew. The Wisconsin Board for People with Developmental Disabilities (Wisconsin’s federally funded Developmental Disabilities Council) spearheaded the effort to educate state legislators on the value of the model and the good outcomes it was producing. They tied the need for this initiative to address the direct service workforce crisis. They had employers who had direct experience of doing Partners with Business share their stories</w:t>
      </w:r>
      <w:r w:rsidR="005043F4">
        <w:t xml:space="preserve">. </w:t>
      </w:r>
      <w:r w:rsidR="004D4C63" w:rsidRPr="00043C33">
        <w:t>As a result, the legislature passed a bill</w:t>
      </w:r>
      <w:r w:rsidR="004D4C63" w:rsidRPr="00043C33">
        <w:rPr>
          <w:rStyle w:val="FootnoteReference"/>
          <w:sz w:val="24"/>
          <w:szCs w:val="24"/>
        </w:rPr>
        <w:footnoteReference w:id="51"/>
      </w:r>
      <w:r w:rsidR="004D4C63" w:rsidRPr="00043C33">
        <w:t xml:space="preserve"> </w:t>
      </w:r>
      <w:r w:rsidR="00A72A7F">
        <w:t xml:space="preserve">that </w:t>
      </w:r>
      <w:r w:rsidR="004D4C63" w:rsidRPr="00043C33">
        <w:t>included funding in a recent state budget to support expansion of the model via five pilot sites in the state.</w:t>
      </w:r>
    </w:p>
    <w:p w14:paraId="66B41A9D" w14:textId="77777777" w:rsidR="004D4C63" w:rsidRPr="00043C33" w:rsidRDefault="004D4C63" w:rsidP="00B1367E">
      <w:pPr>
        <w:rPr>
          <w:sz w:val="24"/>
          <w:szCs w:val="24"/>
        </w:rPr>
      </w:pPr>
      <w:r w:rsidRPr="00043C33">
        <w:t>Wisconsin MCOs</w:t>
      </w:r>
      <w:r w:rsidR="00C77404">
        <w:t xml:space="preserve"> </w:t>
      </w:r>
      <w:r w:rsidRPr="00043C33">
        <w:t>responsible for administering HCBS services for people with IDD and physical disabilities, under the state’s 1915b/c Medicaid Waivers, are now developing strategies to incorporate Partners with Business into their contracting processes for Supported Employment services. One critical element for success is designing methods for this arrangement to be put in place without requiring the employer to become a Medicaid provider. This appears to be essential for maximizing the use of this model. Thus far, Wisconsin MCOs have looked to Tennessee’s approach (described below) and adopted models that utilize contracted Supported Employment providers to set up the arrangements, pass through payments to the employer appropriate for the support being provided, and monitor the arrangement to ensure its continued success over time.</w:t>
      </w:r>
    </w:p>
    <w:p w14:paraId="266DE1C9" w14:textId="77777777" w:rsidR="004D4C63" w:rsidRPr="00A049B4" w:rsidRDefault="00307613" w:rsidP="00B11115">
      <w:pPr>
        <w:pStyle w:val="Heading2"/>
      </w:pPr>
      <w:bookmarkStart w:id="67" w:name="_Toc70944214"/>
      <w:r w:rsidRPr="00A049B4">
        <w:t>Case Example</w:t>
      </w:r>
      <w:r w:rsidR="008C4BED" w:rsidRPr="00A049B4">
        <w:t xml:space="preserve">: </w:t>
      </w:r>
      <w:r w:rsidR="004D4C63" w:rsidRPr="00A049B4">
        <w:t>T</w:t>
      </w:r>
      <w:r w:rsidRPr="00A049B4">
        <w:t>ennessee</w:t>
      </w:r>
      <w:bookmarkEnd w:id="67"/>
    </w:p>
    <w:p w14:paraId="607BB34F" w14:textId="77777777" w:rsidR="002A54E3" w:rsidRPr="00043C33" w:rsidRDefault="002A54E3" w:rsidP="00B1367E">
      <w:r>
        <w:t xml:space="preserve">In 2016, when Tennessee’s Medicaid agency (TennCare) </w:t>
      </w:r>
      <w:r w:rsidRPr="00043C33">
        <w:t>launched its new managed care HCBS program for people with IDD - Employment and Community First CHOICES - it included a distinct service called “Co-Worker Supports” in the array of employment services available. They adopted the following service definition:</w:t>
      </w:r>
      <w:r w:rsidRPr="00043C33">
        <w:rPr>
          <w:rStyle w:val="FootnoteReference"/>
          <w:sz w:val="24"/>
          <w:szCs w:val="24"/>
        </w:rPr>
        <w:footnoteReference w:id="52"/>
      </w:r>
    </w:p>
    <w:p w14:paraId="049ACEFF" w14:textId="77777777" w:rsidR="002A54E3" w:rsidRPr="00081836" w:rsidRDefault="00D85E0C" w:rsidP="00081836">
      <w:pPr>
        <w:rPr>
          <w:i/>
          <w:iCs/>
        </w:rPr>
      </w:pPr>
      <w:r>
        <w:rPr>
          <w:i/>
          <w:iCs/>
        </w:rPr>
        <w:t>“</w:t>
      </w:r>
      <w:r w:rsidR="002A54E3" w:rsidRPr="00081836">
        <w:rPr>
          <w:i/>
          <w:iCs/>
        </w:rPr>
        <w:t>This service involves a provider of Job Coaching for Individualized Integrated Employment entering into an agreement with an individual’s employer to reimburse the employer for supports provided by one or more supervisors and/or co-workers, acceptable to the individual, to enable the person to maintain individualized integrated employment with the employer. This service cannot include payment for the supervisory and co-worker supports rendered as a normal part of the business setting and that would otherwise be provided to an employee without a disability. As well, additional natural supports for the individual, already negotiated with the employer, and provided through supervisors and co-workers, are not eligible for reimbursement under Co-Worker Supports. Only supports that must otherwise be provided by a Job Coach may be reimbursed under this service category. Co-Worker Supports would be authorized in situations where any of the following is true:</w:t>
      </w:r>
    </w:p>
    <w:p w14:paraId="4203B253" w14:textId="77777777" w:rsidR="002A54E3" w:rsidRPr="00505C05" w:rsidRDefault="002A54E3" w:rsidP="00086A85">
      <w:pPr>
        <w:pStyle w:val="ListNumber"/>
        <w:numPr>
          <w:ilvl w:val="0"/>
          <w:numId w:val="15"/>
        </w:numPr>
        <w:ind w:left="720"/>
        <w:rPr>
          <w:i/>
          <w:iCs/>
        </w:rPr>
      </w:pPr>
      <w:r w:rsidRPr="00AC4FB1">
        <w:rPr>
          <w:i/>
          <w:iCs/>
        </w:rPr>
        <w:t xml:space="preserve">From the start of employment or at any point during employment, if the employer prefers (or the individual prefers and the employer agrees) to provide needed Job Coach supports, rather than having a Job Coach, either employed by a </w:t>
      </w:r>
      <w:r w:rsidR="001E0CFB" w:rsidRPr="00AC4FB1">
        <w:rPr>
          <w:i/>
          <w:iCs/>
        </w:rPr>
        <w:t>third-party</w:t>
      </w:r>
      <w:r w:rsidRPr="00AC4FB1">
        <w:rPr>
          <w:i/>
          <w:iCs/>
        </w:rPr>
        <w:t xml:space="preserve"> agency or self-employed, present in the business</w:t>
      </w:r>
      <w:r w:rsidRPr="00505C05">
        <w:rPr>
          <w:i/>
          <w:iCs/>
        </w:rPr>
        <w:t xml:space="preserve">. Fading expectations should still be in place to maximize independence of the employed individual. </w:t>
      </w:r>
    </w:p>
    <w:p w14:paraId="22DD0201" w14:textId="77777777" w:rsidR="002A54E3" w:rsidRPr="00505C05" w:rsidRDefault="002A54E3" w:rsidP="00505C05">
      <w:pPr>
        <w:pStyle w:val="ListNumber"/>
        <w:rPr>
          <w:i/>
          <w:iCs/>
        </w:rPr>
      </w:pPr>
      <w:r w:rsidRPr="00505C05">
        <w:rPr>
          <w:i/>
          <w:iCs/>
        </w:rPr>
        <w:t>At any point in the individual’s employment where needed Job Coaching supports can be most cost effectively provided by Co-Worker Supports and both the employer and individual agree to the use of Co-Worker Supports. Fading of Job Coaching supports may or may not still be occurring, but Co-Worker Supports should always be considered when ongoing fading of Job Coaching has stopped occurring.</w:t>
      </w:r>
    </w:p>
    <w:p w14:paraId="13A2B0C4" w14:textId="31AF32A7" w:rsidR="002A54E3" w:rsidRPr="00307613" w:rsidRDefault="002A54E3" w:rsidP="00505C05">
      <w:pPr>
        <w:pStyle w:val="ListNumber"/>
      </w:pPr>
      <w:r w:rsidRPr="00505C05">
        <w:rPr>
          <w:i/>
          <w:iCs/>
        </w:rPr>
        <w:t xml:space="preserve">For individuals who are expected to be able to transition to working only with employer supports available to any employee and additional negotiated natural supports if applicable. In this situation, Co-Worker Supports are authorized as a temporary (maximum </w:t>
      </w:r>
      <w:r w:rsidR="00A66316">
        <w:rPr>
          <w:i/>
          <w:iCs/>
        </w:rPr>
        <w:t>12</w:t>
      </w:r>
      <w:r w:rsidRPr="00505C05">
        <w:rPr>
          <w:i/>
          <w:iCs/>
        </w:rPr>
        <w:t xml:space="preserve"> months) bridge to</w:t>
      </w:r>
      <w:r w:rsidRPr="00307613">
        <w:t xml:space="preserve"> </w:t>
      </w:r>
      <w:r w:rsidRPr="00F87122">
        <w:rPr>
          <w:i/>
        </w:rPr>
        <w:t>relying only on employer supports, and additional negotiated natural (unpaid) supports if applicable, to maintain employment.</w:t>
      </w:r>
      <w:r w:rsidRPr="00307613">
        <w:t xml:space="preserve"> </w:t>
      </w:r>
    </w:p>
    <w:p w14:paraId="6363FEDB" w14:textId="77777777" w:rsidR="002A54E3" w:rsidRPr="00081836" w:rsidRDefault="002A54E3" w:rsidP="00081836">
      <w:pPr>
        <w:rPr>
          <w:i/>
          <w:iCs/>
        </w:rPr>
      </w:pPr>
      <w:r w:rsidRPr="00081836">
        <w:rPr>
          <w:i/>
          <w:iCs/>
        </w:rPr>
        <w:t>The supervisor(s) and/or co-worker(s) identified to provide the support to the individual must meet the qualifications for a legally responsible individual as</w:t>
      </w:r>
      <w:r w:rsidR="003200A6">
        <w:rPr>
          <w:i/>
          <w:iCs/>
        </w:rPr>
        <w:t xml:space="preserve"> a</w:t>
      </w:r>
      <w:r w:rsidRPr="00081836">
        <w:rPr>
          <w:i/>
          <w:iCs/>
        </w:rPr>
        <w:t xml:space="preserve"> provider of this service. The provider is responsible for ensuring these qualifications are met and also for oversight and monitoring of paid co-worker supports</w:t>
      </w:r>
      <w:r w:rsidR="00E80C64">
        <w:rPr>
          <w:i/>
          <w:iCs/>
        </w:rPr>
        <w:t xml:space="preserve">. </w:t>
      </w:r>
    </w:p>
    <w:p w14:paraId="0E35057B" w14:textId="77777777" w:rsidR="002A54E3" w:rsidRPr="00505C05" w:rsidRDefault="002A54E3" w:rsidP="00505C05">
      <w:pPr>
        <w:rPr>
          <w:i/>
          <w:iCs/>
        </w:rPr>
      </w:pPr>
      <w:r w:rsidRPr="00081836">
        <w:rPr>
          <w:i/>
          <w:iCs/>
        </w:rPr>
        <w:t>The amount of time authorized for this service is negotiated with the employer and reflective of the specific needs the individual has for co-worker supports above and beyond negotiated natural supports and supervisory/co-worker supports otherwise available to employees without disabilities. An add-on to the 15-minute unit rate for the employer is applied to cover the service provider’s role in administering Co-Worker Supports.</w:t>
      </w:r>
      <w:r w:rsidR="00D85E0C">
        <w:rPr>
          <w:i/>
          <w:iCs/>
        </w:rPr>
        <w:t>”</w:t>
      </w:r>
    </w:p>
    <w:p w14:paraId="23200512" w14:textId="6783A880" w:rsidR="002A54E3" w:rsidRPr="00043C33" w:rsidRDefault="002A54E3" w:rsidP="00B1367E">
      <w:r w:rsidRPr="00043C33">
        <w:t>As noted above, to create a viable reimburseme</w:t>
      </w:r>
      <w:r>
        <w:t>nt model for this service, TennC</w:t>
      </w:r>
      <w:r w:rsidRPr="00043C33">
        <w:t>are devised an approach that allowed for a customized 15-minute unit rate</w:t>
      </w:r>
      <w:r w:rsidR="009536B4">
        <w:t>,</w:t>
      </w:r>
      <w:r w:rsidRPr="00043C33">
        <w:t xml:space="preserve"> which reimbursed the employer and provided an admin</w:t>
      </w:r>
      <w:r w:rsidR="00A66316">
        <w:t>istrative</w:t>
      </w:r>
      <w:r w:rsidRPr="00043C33">
        <w:t xml:space="preserve"> fee to the Supported Employment agency. The actual rate for each individual is based on the gross cost to </w:t>
      </w:r>
      <w:r w:rsidR="004B6F3E">
        <w:t xml:space="preserve">the </w:t>
      </w:r>
      <w:r w:rsidRPr="00043C33">
        <w:t>employer for co-worker support (i.e.</w:t>
      </w:r>
      <w:r w:rsidR="009536B4">
        <w:t>,</w:t>
      </w:r>
      <w:r w:rsidRPr="00043C33">
        <w:t xml:space="preserve"> the wage of the co-worker plus applicable employer taxes), plus a flat</w:t>
      </w:r>
      <w:r w:rsidR="006E3819">
        <w:t xml:space="preserve"> p</w:t>
      </w:r>
      <w:r w:rsidRPr="00043C33">
        <w:t xml:space="preserve">rovider administration fee </w:t>
      </w:r>
      <w:r w:rsidR="006E3819">
        <w:t xml:space="preserve">of 60 cents </w:t>
      </w:r>
      <w:r w:rsidRPr="00043C33">
        <w:t>per 15-minute unit of co-worker support</w:t>
      </w:r>
      <w:r w:rsidR="006677B7">
        <w:t xml:space="preserve">. </w:t>
      </w:r>
    </w:p>
    <w:p w14:paraId="1E6F3EA9" w14:textId="77777777" w:rsidR="002A54E3" w:rsidRPr="00043C33" w:rsidRDefault="002A54E3" w:rsidP="00B1367E">
      <w:r w:rsidRPr="00043C33">
        <w:t xml:space="preserve">Overall, to ensure success of these types of models, all implementers described above require background checks to be kept on record for co-workers and/or </w:t>
      </w:r>
      <w:r w:rsidR="00E658CA">
        <w:t xml:space="preserve">the </w:t>
      </w:r>
      <w:r w:rsidRPr="00043C33">
        <w:t>supervisor identified as providing the support to the employee with a disability</w:t>
      </w:r>
      <w:r w:rsidR="006677B7">
        <w:t xml:space="preserve">. </w:t>
      </w:r>
      <w:r w:rsidRPr="00043C33">
        <w:t>Further, the Supported Employment agency ensures the identified co-worker and/or supervisor providing the supports receives basic training on Supported Employment best practices, the individual they are supporting, and how to contact the Supported Employment agency if they have issues, questions</w:t>
      </w:r>
      <w:r w:rsidR="00E658CA">
        <w:t>,</w:t>
      </w:r>
      <w:r w:rsidRPr="00043C33">
        <w:t xml:space="preserve"> or concerns. Employers are trained and supported to provide needed documentation of supports in order for payment to be made by the Supported Employment provider.</w:t>
      </w:r>
    </w:p>
    <w:p w14:paraId="21A4F385" w14:textId="4B70ABA6" w:rsidR="009A6F59" w:rsidRDefault="002A54E3" w:rsidP="00543449">
      <w:r w:rsidRPr="00043C33">
        <w:t xml:space="preserve">All of the models discussed in this section lead us to envisioning a very different potential future for how </w:t>
      </w:r>
      <w:r w:rsidR="00E658CA">
        <w:t>OJT</w:t>
      </w:r>
      <w:r w:rsidRPr="00043C33">
        <w:t xml:space="preserve"> and supports can be provided to individuals with disabilities as we anticipate more and more individuals choosing to pursue and successfully obtaining competitive integrated employment.</w:t>
      </w:r>
      <w:r w:rsidR="009A6F59">
        <w:br w:type="page"/>
      </w:r>
    </w:p>
    <w:p w14:paraId="66CEE3DC" w14:textId="154ADA4D" w:rsidR="000D6C24" w:rsidRDefault="000D6C24" w:rsidP="00B11115">
      <w:pPr>
        <w:pStyle w:val="Heading1"/>
      </w:pPr>
      <w:bookmarkStart w:id="68" w:name="_Toc70944215"/>
      <w:r w:rsidRPr="00A049B4">
        <w:t>What’s Next? Pushing the Envelope on Funding Models to Advance</w:t>
      </w:r>
      <w:r w:rsidR="00172983">
        <w:t xml:space="preserve"> Competitive Integrated Employment and </w:t>
      </w:r>
      <w:r w:rsidRPr="00A049B4">
        <w:t>Employment First</w:t>
      </w:r>
      <w:bookmarkEnd w:id="68"/>
    </w:p>
    <w:p w14:paraId="2A08635D" w14:textId="77777777" w:rsidR="000D6C24" w:rsidRDefault="000D6C24" w:rsidP="00B1367E">
      <w:r w:rsidRPr="00182500">
        <w:t>Building on examples</w:t>
      </w:r>
      <w:r w:rsidR="00182500">
        <w:t>,</w:t>
      </w:r>
      <w:r w:rsidRPr="00182500">
        <w:t xml:space="preserve"> like those in Section 5 of this </w:t>
      </w:r>
      <w:r w:rsidR="00A44BE5" w:rsidRPr="00182500">
        <w:t>g</w:t>
      </w:r>
      <w:r w:rsidRPr="00182500">
        <w:t>uide</w:t>
      </w:r>
      <w:r w:rsidR="00182500">
        <w:t>,</w:t>
      </w:r>
      <w:r w:rsidRPr="00182500">
        <w:t xml:space="preserve"> naturally lead thinkers to the next level of innovations that have not yet been developed</w:t>
      </w:r>
      <w:r w:rsidR="005043F4" w:rsidRPr="00182500">
        <w:t>.</w:t>
      </w:r>
      <w:r w:rsidR="005043F4">
        <w:t xml:space="preserve"> </w:t>
      </w:r>
      <w:r>
        <w:t xml:space="preserve">In this section, a few of those potential innovations are discussed, including the reasons why these are needed. </w:t>
      </w:r>
    </w:p>
    <w:p w14:paraId="1ED8A49A" w14:textId="1315DA56" w:rsidR="000D6C24" w:rsidRPr="00A049B4" w:rsidRDefault="000D6C24" w:rsidP="000F158B">
      <w:pPr>
        <w:pStyle w:val="Heading2"/>
        <w:numPr>
          <w:ilvl w:val="0"/>
          <w:numId w:val="36"/>
        </w:numPr>
        <w:tabs>
          <w:tab w:val="clear" w:pos="0"/>
        </w:tabs>
        <w:ind w:left="360"/>
      </w:pPr>
      <w:bookmarkStart w:id="69" w:name="_Toc70944216"/>
      <w:r w:rsidRPr="00A049B4">
        <w:t xml:space="preserve">Incorporating </w:t>
      </w:r>
      <w:r w:rsidR="009F7F01" w:rsidRPr="00A049B4">
        <w:t>I</w:t>
      </w:r>
      <w:r w:rsidRPr="00A049B4">
        <w:t xml:space="preserve">ncentives for </w:t>
      </w:r>
      <w:r w:rsidR="009F7F01" w:rsidRPr="00A049B4">
        <w:t>P</w:t>
      </w:r>
      <w:r w:rsidRPr="00A049B4">
        <w:t xml:space="preserve">eople with </w:t>
      </w:r>
      <w:r w:rsidR="009F7F01" w:rsidRPr="00A049B4">
        <w:t>D</w:t>
      </w:r>
      <w:r w:rsidRPr="00A049B4">
        <w:t xml:space="preserve">isabilities into </w:t>
      </w:r>
      <w:r w:rsidR="009F7F01" w:rsidRPr="00A049B4">
        <w:t>C</w:t>
      </w:r>
      <w:r w:rsidRPr="00A049B4">
        <w:t xml:space="preserve">ompetitive </w:t>
      </w:r>
      <w:r w:rsidR="009F7F01" w:rsidRPr="00A049B4">
        <w:t>I</w:t>
      </w:r>
      <w:r w:rsidRPr="00A049B4">
        <w:t xml:space="preserve">ntegrated </w:t>
      </w:r>
      <w:r w:rsidR="009F7F01" w:rsidRPr="00A049B4">
        <w:t>E</w:t>
      </w:r>
      <w:r w:rsidRPr="00A049B4">
        <w:t xml:space="preserve">mployment </w:t>
      </w:r>
      <w:r w:rsidR="009F7F01" w:rsidRPr="00A049B4">
        <w:t>P</w:t>
      </w:r>
      <w:r w:rsidRPr="00A049B4">
        <w:t xml:space="preserve">ayment </w:t>
      </w:r>
      <w:r w:rsidR="009F7F01" w:rsidRPr="00A049B4">
        <w:t>M</w:t>
      </w:r>
      <w:r w:rsidRPr="00A049B4">
        <w:t>odels</w:t>
      </w:r>
      <w:bookmarkEnd w:id="69"/>
    </w:p>
    <w:p w14:paraId="782F7C29" w14:textId="30465732" w:rsidR="000D6C24" w:rsidRDefault="000D6C24" w:rsidP="00B1367E">
      <w:r>
        <w:t xml:space="preserve">In today’s health care environment, it has become common for health maintenance organizations (HMOs) </w:t>
      </w:r>
      <w:r w:rsidR="004C2375">
        <w:t xml:space="preserve">to </w:t>
      </w:r>
      <w:r>
        <w:t>offer financial incentives to health plan participants for engaging in activities that improve health and reduce otherwise avoidable health care costs</w:t>
      </w:r>
      <w:r w:rsidR="005043F4">
        <w:t xml:space="preserve">. </w:t>
      </w:r>
      <w:r>
        <w:t>The logic behind this is obvious</w:t>
      </w:r>
      <w:r w:rsidR="00FE196C">
        <w:t>,</w:t>
      </w:r>
      <w:r>
        <w:t xml:space="preserve"> and the payment structure used in managed care brings the flexibility needed to offer these kinds of incentives</w:t>
      </w:r>
      <w:r w:rsidR="005043F4">
        <w:t xml:space="preserve">. </w:t>
      </w:r>
      <w:r>
        <w:t xml:space="preserve">This entire </w:t>
      </w:r>
      <w:r w:rsidR="00A44BE5">
        <w:t>g</w:t>
      </w:r>
      <w:r>
        <w:t>uide has been focused on aligning reimbursement models, rates</w:t>
      </w:r>
      <w:r w:rsidR="00FE196C">
        <w:t>,</w:t>
      </w:r>
      <w:r>
        <w:t xml:space="preserve"> and financial incentives for providers of services that advance </w:t>
      </w:r>
      <w:r w:rsidR="00172983" w:rsidRPr="00172983">
        <w:t xml:space="preserve">Competitive Integrated Employment and </w:t>
      </w:r>
      <w:r>
        <w:t>Employment First. Yet there is growing awareness that many people with disabilities themselves need appropriate incentives around competitive integrated employment for much the same reasons</w:t>
      </w:r>
      <w:r w:rsidR="008C4BED">
        <w:t xml:space="preserve">: </w:t>
      </w:r>
      <w:r>
        <w:t xml:space="preserve">because historically, the incentives have not existed, and the disincentives that have existed have mainly discouraged participation in competitive integrated employment. </w:t>
      </w:r>
    </w:p>
    <w:p w14:paraId="50BB3764" w14:textId="0694058E" w:rsidR="000D6C24" w:rsidRDefault="000D6C24" w:rsidP="00B1367E">
      <w:r>
        <w:t>As efforts to advance Employment First continue to ramp up nationally, an obvious question is</w:t>
      </w:r>
      <w:r w:rsidR="008C4BED">
        <w:t xml:space="preserve">: </w:t>
      </w:r>
      <w:r>
        <w:t>where are the incentives for people with disabilities to “take the leap” and commit to the process of finding and working in competitive integrated employment</w:t>
      </w:r>
      <w:r w:rsidR="00852187">
        <w:t xml:space="preserve">? </w:t>
      </w:r>
      <w:r>
        <w:t xml:space="preserve">Just like service providers, incentives to engage are important for people with disabilities, beyond the promise of the good outcomes that will result. </w:t>
      </w:r>
    </w:p>
    <w:p w14:paraId="3948D2F7" w14:textId="77777777" w:rsidR="000D6C24" w:rsidRDefault="000D6C24" w:rsidP="00B1367E">
      <w:r>
        <w:t>Some initial efforts that can be built upon include:</w:t>
      </w:r>
    </w:p>
    <w:p w14:paraId="39D22D31" w14:textId="77777777" w:rsidR="000D6C24" w:rsidRPr="008E53C1" w:rsidRDefault="000D6C24" w:rsidP="00AE6CE6">
      <w:pPr>
        <w:pStyle w:val="ListBullet"/>
      </w:pPr>
      <w:r w:rsidRPr="008E53C1">
        <w:t xml:space="preserve">Social Security Administration Ticket to Work efforts that involved Employment Networks (ENs) sharing Ticket payments earned with Ticket holders (persons with disabilities) </w:t>
      </w:r>
      <w:r w:rsidR="006922E1" w:rsidRPr="008E53C1">
        <w:t xml:space="preserve">recognized </w:t>
      </w:r>
      <w:r w:rsidRPr="008E53C1">
        <w:t>that the Ticket payments earned for competitive integrated employment outcomes were due</w:t>
      </w:r>
      <w:r w:rsidR="006922E1" w:rsidRPr="008E53C1">
        <w:t>,</w:t>
      </w:r>
      <w:r w:rsidRPr="008E53C1">
        <w:t xml:space="preserve"> in large part</w:t>
      </w:r>
      <w:r w:rsidR="006922E1" w:rsidRPr="008E53C1">
        <w:t>,</w:t>
      </w:r>
      <w:r w:rsidRPr="008E53C1">
        <w:t xml:space="preserve"> to the efforts of the Ticket holders themselves.</w:t>
      </w:r>
      <w:r w:rsidR="00247572" w:rsidRPr="008E53C1">
        <w:t xml:space="preserve"> </w:t>
      </w:r>
    </w:p>
    <w:p w14:paraId="4F1C7403" w14:textId="77777777" w:rsidR="000D6C24" w:rsidRDefault="000D6C24" w:rsidP="00AE6CE6">
      <w:pPr>
        <w:pStyle w:val="ListBullet"/>
      </w:pPr>
      <w:r>
        <w:t>Tennessee’s Employment and Community First CHOICES program model that offers enrollees access to higher total hours of service per week to support time spent in activities outside the home, if competitive integrated employment participation is part of those activities.</w:t>
      </w:r>
    </w:p>
    <w:p w14:paraId="119B6E4F" w14:textId="77777777" w:rsidR="000D6C24" w:rsidRDefault="000D6C24" w:rsidP="00AE6CE6">
      <w:pPr>
        <w:pStyle w:val="ListBullet"/>
      </w:pPr>
      <w:r>
        <w:t>Oregon’s Medicaid 1915c Waiver program for people with IDD that tiers maximum hours per week a person can receive day and employment services supports based on how much time the person is working in Supported Employment.</w:t>
      </w:r>
    </w:p>
    <w:p w14:paraId="12E390AA" w14:textId="77777777" w:rsidR="000D6C24" w:rsidRDefault="000D6C24" w:rsidP="00B1367E">
      <w:r>
        <w:t>While some may argue such incentives are inappropriate, they mirror incentives to work that exist or are being developed in other public programs. Given there is almost universal agreement that there should not be disincentives to work in public programs, the debate is really only about whether incentives are necessary, beyond and in addition to removal of disincentives, to truly achieve the purpose and intent of each public program – and to overcome the long history and impact of the ubiquitous disincentives that have pervaded certain programs</w:t>
      </w:r>
      <w:r w:rsidR="005043F4">
        <w:t xml:space="preserve">. </w:t>
      </w:r>
      <w:r>
        <w:t xml:space="preserve">Considering </w:t>
      </w:r>
      <w:r w:rsidR="006C7D7D">
        <w:t xml:space="preserve">the </w:t>
      </w:r>
      <w:r>
        <w:t>history in the field of disabilities and the fact that incentives are being used for the general population, it seems likely that such incentives would be beneficial in advancing Employment First, particularly in the short-term.</w:t>
      </w:r>
    </w:p>
    <w:p w14:paraId="3F317391" w14:textId="77777777" w:rsidR="000D6C24" w:rsidRDefault="000D6C24" w:rsidP="00B1367E">
      <w:r>
        <w:t>To date, it seems there have been too many efforts to remove disincentives - that have not moved Employment First forward - to conclude that the creation and use of incentives is not also necessary</w:t>
      </w:r>
      <w:r w:rsidR="005043F4">
        <w:t xml:space="preserve">. </w:t>
      </w:r>
      <w:r>
        <w:t>As efforts move forward around innovation in reimbursement methodologies, rates</w:t>
      </w:r>
      <w:r w:rsidR="002F59BC">
        <w:t>,</w:t>
      </w:r>
      <w:r>
        <w:t xml:space="preserve"> and payment structures, it is essential that the envelope </w:t>
      </w:r>
      <w:r w:rsidR="002F59BC">
        <w:t>be</w:t>
      </w:r>
      <w:r>
        <w:t xml:space="preserve"> pushed around using funds to directly incentivize individuals with disabilities.</w:t>
      </w:r>
    </w:p>
    <w:p w14:paraId="672B6926" w14:textId="77777777" w:rsidR="000D6C24" w:rsidRPr="00A049B4" w:rsidRDefault="000D6C24" w:rsidP="000F158B">
      <w:pPr>
        <w:pStyle w:val="Heading2"/>
        <w:tabs>
          <w:tab w:val="clear" w:pos="0"/>
        </w:tabs>
        <w:ind w:left="360" w:hanging="360"/>
      </w:pPr>
      <w:bookmarkStart w:id="70" w:name="_Toc70944217"/>
      <w:r w:rsidRPr="00A049B4">
        <w:t>2.</w:t>
      </w:r>
      <w:r w:rsidRPr="00A049B4">
        <w:tab/>
        <w:t>Sub-Capitation in Managed Long-Term Services and Supports</w:t>
      </w:r>
      <w:bookmarkEnd w:id="70"/>
    </w:p>
    <w:p w14:paraId="076DD117" w14:textId="77777777" w:rsidR="000D6C24" w:rsidRDefault="000D6C24" w:rsidP="00B1367E">
      <w:r>
        <w:t>Sub-capitation is an approach used in managed health care and can occur in managed long-term services and support</w:t>
      </w:r>
      <w:r w:rsidR="00F303C6">
        <w:t>s</w:t>
      </w:r>
      <w:r>
        <w:t xml:space="preserve"> (MLTSS) if an entity being paid under a capitated system (</w:t>
      </w:r>
      <w:r w:rsidR="00023280">
        <w:t xml:space="preserve">e.g., </w:t>
      </w:r>
      <w:r>
        <w:t xml:space="preserve">a managed care organization) contracts with providers of service on a similar capitated basis, sharing a portion of the original capitated premium. Providers paid under sub-capitation may be paid on a PMPM (per member per month) basis, similar to how </w:t>
      </w:r>
      <w:r w:rsidR="00517B1C">
        <w:t xml:space="preserve">states pay </w:t>
      </w:r>
      <w:r>
        <w:t xml:space="preserve">MCOs operating MLTSS programs. </w:t>
      </w:r>
    </w:p>
    <w:p w14:paraId="1AFB239E" w14:textId="77777777" w:rsidR="000D6C24" w:rsidRDefault="000D6C24" w:rsidP="00B1367E">
      <w:r w:rsidRPr="00517B1C">
        <w:t xml:space="preserve">Currently, there is </w:t>
      </w:r>
      <w:r w:rsidR="00067F70">
        <w:t>minimal</w:t>
      </w:r>
      <w:r w:rsidRPr="00517B1C">
        <w:t xml:space="preserve"> use of sub-capitation in MLTSS programs. </w:t>
      </w:r>
      <w:r w:rsidRPr="00067F70">
        <w:t xml:space="preserve">Since competitive integrated employment is an area in </w:t>
      </w:r>
      <w:r w:rsidR="00067F70" w:rsidRPr="00067F70">
        <w:t xml:space="preserve">the </w:t>
      </w:r>
      <w:r w:rsidRPr="00067F70">
        <w:t xml:space="preserve">MLTSS program design that CMS identifies </w:t>
      </w:r>
      <w:r w:rsidRPr="00825714">
        <w:t xml:space="preserve">as a priority if the MLTSS program serves </w:t>
      </w:r>
      <w:r w:rsidR="00517B1C" w:rsidRPr="00825714">
        <w:t xml:space="preserve">to </w:t>
      </w:r>
      <w:r w:rsidRPr="00825714">
        <w:t>transition working-age individuals with disabilities</w:t>
      </w:r>
      <w:r w:rsidRPr="00067F70">
        <w:t xml:space="preserve">, sub-capitation is a strategy worth exploring as it may apply </w:t>
      </w:r>
      <w:r w:rsidR="00067F70" w:rsidRPr="00067F70">
        <w:t>in</w:t>
      </w:r>
      <w:r w:rsidRPr="00067F70">
        <w:t xml:space="preserve"> advancing Employment First.</w:t>
      </w:r>
      <w:r>
        <w:t xml:space="preserve"> </w:t>
      </w:r>
      <w:r w:rsidRPr="00825714">
        <w:t>While the principles of conflict-free case management are critical, it is not typically desirable for an MCO to subcontract its support coordination/care management functions to a provider of direct services</w:t>
      </w:r>
      <w:r w:rsidR="00825714">
        <w:t>.</w:t>
      </w:r>
      <w:r w:rsidRPr="00825714">
        <w:t xml:space="preserve"> </w:t>
      </w:r>
      <w:r w:rsidR="00825714">
        <w:t>S</w:t>
      </w:r>
      <w:r w:rsidRPr="00825714">
        <w:t>ub-capitation is an approach that could be used to pay providers of employment services on an outcome basis, permitting the provider to adjust supports to an individual based on actual need and utilize a range of innovative, cost-effective approaches to providing needed supports to meet the person’s goal/outcome related to competitive integrated employment</w:t>
      </w:r>
      <w:r w:rsidR="005043F4" w:rsidRPr="00825714">
        <w:t>.</w:t>
      </w:r>
      <w:r w:rsidR="005043F4">
        <w:t xml:space="preserve"> </w:t>
      </w:r>
      <w:r>
        <w:t>Such goals/outcomes could include obtaining, maintaining</w:t>
      </w:r>
      <w:r w:rsidR="00824110">
        <w:t>,</w:t>
      </w:r>
      <w:r>
        <w:t xml:space="preserve"> and/or advancing in such employment. Sub-capitation specific to competitive integrated employment can avoid issues associated with the limitations of fee-for-service reimbursement and billing requirements related to face</w:t>
      </w:r>
      <w:r w:rsidR="007B6546">
        <w:t>-</w:t>
      </w:r>
      <w:r>
        <w:t>to</w:t>
      </w:r>
      <w:r w:rsidR="007B6546">
        <w:t>-</w:t>
      </w:r>
      <w:r>
        <w:t xml:space="preserve">face service delivery discussed elsewhere in this </w:t>
      </w:r>
      <w:r w:rsidR="00A44BE5">
        <w:t>g</w:t>
      </w:r>
      <w:r>
        <w:t xml:space="preserve">uide. </w:t>
      </w:r>
      <w:r w:rsidR="00253558">
        <w:t>States</w:t>
      </w:r>
      <w:r>
        <w:t xml:space="preserve"> and their contracted MCOs could </w:t>
      </w:r>
      <w:r w:rsidR="00824110">
        <w:t xml:space="preserve">likely </w:t>
      </w:r>
      <w:r>
        <w:t>innovate around the use of sub-capitation and effectively advance Employment First.</w:t>
      </w:r>
    </w:p>
    <w:p w14:paraId="2F922A15" w14:textId="77777777" w:rsidR="000D6C24" w:rsidRPr="00A049B4" w:rsidRDefault="000D6C24" w:rsidP="000F158B">
      <w:pPr>
        <w:pStyle w:val="Heading2"/>
        <w:tabs>
          <w:tab w:val="clear" w:pos="0"/>
        </w:tabs>
        <w:ind w:left="360" w:hanging="360"/>
      </w:pPr>
      <w:bookmarkStart w:id="71" w:name="_Toc70944218"/>
      <w:r w:rsidRPr="00A049B4">
        <w:t>3.</w:t>
      </w:r>
      <w:r w:rsidRPr="00A049B4">
        <w:tab/>
        <w:t>Strategies for Consumer/Self-Direction Models of Purchasing</w:t>
      </w:r>
      <w:bookmarkEnd w:id="71"/>
    </w:p>
    <w:p w14:paraId="15653EA0" w14:textId="39D7C949" w:rsidR="000D6C24" w:rsidRDefault="000D6C24" w:rsidP="00B1367E">
      <w:r>
        <w:t>As more work is done to develop better reimbursement models, rates</w:t>
      </w:r>
      <w:r w:rsidR="00D76956">
        <w:t>,</w:t>
      </w:r>
      <w:r>
        <w:t xml:space="preserve"> and payment structures to advance Employment First, particularly in the Medicaid arena, there is increasing interest in how to translate the basic concepts of value-based purchasing and outcome-based reimbursement to consumer or self-directed funding models, particularly full budget authority models. On a broader, philosophical level, the lack of expectations or incentives for individuals (as discussed previously in this section of the </w:t>
      </w:r>
      <w:r w:rsidR="00A44BE5">
        <w:t>g</w:t>
      </w:r>
      <w:r>
        <w:t>uide) to utilize their budget to support their pursuit of, and participation in, competitive integrated employment has contributed to some consumer/self-directed supports programs having lower competitive integrated employment rates than programs using more traditional purchasing strategies</w:t>
      </w:r>
      <w:r w:rsidR="005043F4">
        <w:t xml:space="preserve">. </w:t>
      </w:r>
      <w:r>
        <w:t>This stems to some extent from the loss of focus on the key self-determination principle of responsibility in favor of a predominant emphasis on other self-determination principles</w:t>
      </w:r>
      <w:r w:rsidR="005043F4">
        <w:t xml:space="preserve">. </w:t>
      </w:r>
      <w:r>
        <w:t xml:space="preserve">Tom Nerney, one of the most well-respected experts on the history and roots of self-determination, describes the principle of responsibility as “responsibility for </w:t>
      </w:r>
      <w:r w:rsidRPr="0019107C">
        <w:rPr>
          <w:b/>
          <w:bCs/>
          <w:i/>
          <w:iCs/>
        </w:rPr>
        <w:t>both</w:t>
      </w:r>
      <w:r>
        <w:t xml:space="preserve"> the wise use of public dollars </w:t>
      </w:r>
      <w:r w:rsidRPr="0019107C">
        <w:rPr>
          <w:b/>
          <w:bCs/>
          <w:i/>
          <w:iCs/>
        </w:rPr>
        <w:t>and the civic obligation to contribute</w:t>
      </w:r>
      <w:r>
        <w:t xml:space="preserve"> to and be part of one's community” [emphasis added]</w:t>
      </w:r>
      <w:r w:rsidR="005043F4">
        <w:t xml:space="preserve">. </w:t>
      </w:r>
      <w:r>
        <w:t>While Nerney, who passed away in 2018, did much to impact national thinking during the late 1990s and early 2000s when the concept of Employment First was still largely unknown, the self-determination movement which led to today’s consumer/self-directed services was always premised on the expectation of responsibility and using individualized budgets in part to contribute back to one’s community</w:t>
      </w:r>
      <w:r w:rsidR="005043F4">
        <w:t xml:space="preserve">. </w:t>
      </w:r>
    </w:p>
    <w:p w14:paraId="68202F2E" w14:textId="51C3A31E" w:rsidR="000D6C24" w:rsidRDefault="00E668B3" w:rsidP="00B1367E">
      <w:r>
        <w:t>T</w:t>
      </w:r>
      <w:r w:rsidR="000D6C24">
        <w:t xml:space="preserve">wo key issues with consumer/self-direction budgeting models impact their current ability to advance </w:t>
      </w:r>
      <w:r w:rsidR="00172983" w:rsidRPr="00172983">
        <w:t xml:space="preserve">Competitive Integrated Employment and </w:t>
      </w:r>
      <w:r w:rsidR="000D6C24">
        <w:t>Employment First</w:t>
      </w:r>
      <w:r w:rsidR="00414763">
        <w:t>:</w:t>
      </w:r>
    </w:p>
    <w:p w14:paraId="35BED440" w14:textId="77777777" w:rsidR="000D6C24" w:rsidRDefault="000D6C24" w:rsidP="00AE6CE6">
      <w:pPr>
        <w:pStyle w:val="ListBullet"/>
      </w:pPr>
      <w:r w:rsidRPr="009C402F">
        <w:t>The lack of individual budget setting mechanisms to adjust based on particular incentives a consumer/self-directed program may want to put in place (</w:t>
      </w:r>
      <w:r w:rsidR="00023280" w:rsidRPr="009C402F">
        <w:t xml:space="preserve">e.g., </w:t>
      </w:r>
      <w:r w:rsidRPr="009C402F">
        <w:t>an incentive to pursue and work in competitive integrated employment)</w:t>
      </w:r>
      <w:r w:rsidR="005043F4" w:rsidRPr="009C402F">
        <w:t>.</w:t>
      </w:r>
      <w:r w:rsidR="005043F4">
        <w:t xml:space="preserve"> </w:t>
      </w:r>
      <w:r>
        <w:t>This stems largely from budget setting mechanisms using historical utilization and cost data to set individual budgets, thus inadvertently basing budgets on what has been a historical lack of participation in competitive integrated employment among people with disabilities</w:t>
      </w:r>
      <w:r w:rsidR="005043F4">
        <w:t xml:space="preserve">. </w:t>
      </w:r>
      <w:r>
        <w:t xml:space="preserve">As an innovative alternative, individual budget setting approaches could </w:t>
      </w:r>
      <w:r w:rsidR="00AD5B0A">
        <w:t xml:space="preserve">be </w:t>
      </w:r>
      <w:r>
        <w:t>adjust</w:t>
      </w:r>
      <w:r w:rsidR="00AD5B0A">
        <w:t>ed</w:t>
      </w:r>
      <w:r>
        <w:t xml:space="preserve"> based on the specific goals and outcomes articulated in each individual’s person-centered plan. </w:t>
      </w:r>
      <w:r w:rsidRPr="0007798B">
        <w:t>Adjustments in projected utilization and costs associated with such utilization could then be made, with particular attention to the key cost differentials (as compared to historical costs) associated with choosing certain goals/outcomes that have not been historically common but are aligned with the policy goals of the funding agency</w:t>
      </w:r>
      <w:r>
        <w:t>. One such outcome would be competitive integrated employment.</w:t>
      </w:r>
    </w:p>
    <w:p w14:paraId="74E15B3C" w14:textId="77777777" w:rsidR="00352631" w:rsidRDefault="000D6C24" w:rsidP="00AE6CE6">
      <w:pPr>
        <w:pStyle w:val="ListBullet"/>
      </w:pPr>
      <w:r>
        <w:t>The lack of education and support that individuals participating in consumer/self-direction receive on how they can use their funding to pay direct service providers in ways other than fee-for-service in order to get better outcomes for themselves from the services they receive</w:t>
      </w:r>
      <w:r w:rsidR="005043F4">
        <w:t xml:space="preserve">. </w:t>
      </w:r>
      <w:r>
        <w:t>Almost universally, people with disabilities engaged in consumer/self-direction programs receive very little</w:t>
      </w:r>
      <w:r w:rsidR="00E67370">
        <w:t>,</w:t>
      </w:r>
      <w:r>
        <w:t xml:space="preserve"> if any</w:t>
      </w:r>
      <w:r w:rsidR="00E67370">
        <w:t>,</w:t>
      </w:r>
      <w:r>
        <w:t xml:space="preserve"> training on how to contract effectively with providers of service. </w:t>
      </w:r>
    </w:p>
    <w:p w14:paraId="047611A6" w14:textId="77777777" w:rsidR="000D6C24" w:rsidRDefault="000D6C24" w:rsidP="00B1367E">
      <w:r>
        <w:t>In some consumer/self-direction programs, states or intermediary funders (</w:t>
      </w:r>
      <w:r w:rsidR="00023280">
        <w:t xml:space="preserve">e.g., </w:t>
      </w:r>
      <w:r>
        <w:t>counties; MCOs) limit the reimbursement models that can be used (and sometimes pre-establish reimbursement rates or rate ranges that can be paid) by consumers with budget authority who wish to purchase certain types of services</w:t>
      </w:r>
      <w:r w:rsidR="005043F4">
        <w:t xml:space="preserve">. </w:t>
      </w:r>
      <w:r w:rsidRPr="00895537">
        <w:t>States that do this may do so in part to protect individuals who are consumer/self-directing from unscrupulous service providers that may try to negotiate rates with individuals that are far higher than what the provider is paid through traditional purchasing arrangements (assuming the rates paid through traditional arrangements are not significantly lower than what is fair to providers).</w:t>
      </w:r>
      <w:r>
        <w:t xml:space="preserve"> Unfortunately, an inadvertent consequence is that individuals are not able to adopt different reimbursement models or rates that are tied to higher quality service and desired outcomes. </w:t>
      </w:r>
    </w:p>
    <w:p w14:paraId="408FC2BB" w14:textId="77777777" w:rsidR="000D6C24" w:rsidRDefault="000D6C24" w:rsidP="00B1367E">
      <w:r w:rsidRPr="00A20E4C">
        <w:t>As an innovative alternative, states or intermediary funders could permit a consumer/self-directing individual to use a performance or outcome-based payment model, and could ensure the individual (and any people assisting the individual with the option to self-direct such as spouses, other family members, legal guardians</w:t>
      </w:r>
      <w:r w:rsidR="000D3B8B" w:rsidRPr="00A20E4C">
        <w:t>,</w:t>
      </w:r>
      <w:r w:rsidRPr="00A20E4C">
        <w:t xml:space="preserve"> or people assisting through a supported decision-making arrangement) is given information, training</w:t>
      </w:r>
      <w:r w:rsidR="000D3B8B" w:rsidRPr="00A20E4C">
        <w:t>,</w:t>
      </w:r>
      <w:r w:rsidRPr="00A20E4C">
        <w:t xml:space="preserve"> and access to assistance to understand and select from among the options for performance or outcome-based reimbursement of service providers and assistance, as needed, to manage the arrangement over time.</w:t>
      </w:r>
      <w:r>
        <w:t xml:space="preserve"> Support brokers, if properly funded to fulfill the role in an effective and meaningful way, are well placed to assist individuals with providing information, training</w:t>
      </w:r>
      <w:r w:rsidR="000D3B8B">
        <w:t>,</w:t>
      </w:r>
      <w:r>
        <w:t xml:space="preserve"> and assistance, if they are first trained on the options for performance or outcome-based reimbursement of service providers</w:t>
      </w:r>
      <w:r w:rsidR="005043F4">
        <w:t xml:space="preserve">. </w:t>
      </w:r>
    </w:p>
    <w:p w14:paraId="662E46F7" w14:textId="4BD08A60" w:rsidR="000D6C24" w:rsidRDefault="000D6C24" w:rsidP="00B1367E">
      <w:r w:rsidRPr="00A20E4C">
        <w:t>The</w:t>
      </w:r>
      <w:r w:rsidR="00547A9A" w:rsidRPr="00A20E4C">
        <w:t>se</w:t>
      </w:r>
      <w:r w:rsidRPr="00A20E4C">
        <w:t xml:space="preserve"> three areas of particular interest to the author in relation to pushing the envelope on funding models to advance Employment First are by no means meant </w:t>
      </w:r>
      <w:r w:rsidR="00F95FCB" w:rsidRPr="00A20E4C">
        <w:t xml:space="preserve">to </w:t>
      </w:r>
      <w:r w:rsidRPr="00A20E4C">
        <w:t>be exhaustive in terms of defining all of the ways to push the envelope in the future.</w:t>
      </w:r>
      <w:r>
        <w:t xml:space="preserve"> As discussed in the final section of this </w:t>
      </w:r>
      <w:r w:rsidR="00A44BE5">
        <w:t>g</w:t>
      </w:r>
      <w:r>
        <w:t>uide, there is still much work to do in fully realizing the benefits of alternative reimbursement methodologies, rate setting</w:t>
      </w:r>
      <w:r w:rsidR="00F95FCB">
        <w:t>s,</w:t>
      </w:r>
      <w:r>
        <w:t xml:space="preserve"> and payment structures in supporting the work to advance </w:t>
      </w:r>
      <w:r w:rsidR="00172983" w:rsidRPr="00172983">
        <w:t xml:space="preserve">Competitive Integrated Employment and </w:t>
      </w:r>
      <w:r>
        <w:t>Employment First nationally.</w:t>
      </w:r>
    </w:p>
    <w:p w14:paraId="18655311" w14:textId="77777777" w:rsidR="000D6C24" w:rsidRPr="00A049B4" w:rsidRDefault="000D6C24" w:rsidP="00B11115">
      <w:pPr>
        <w:pStyle w:val="Heading1"/>
      </w:pPr>
      <w:bookmarkStart w:id="72" w:name="_Toc70944219"/>
      <w:r w:rsidRPr="00A049B4">
        <w:t>Conclusion</w:t>
      </w:r>
      <w:bookmarkEnd w:id="72"/>
    </w:p>
    <w:p w14:paraId="023064C8" w14:textId="77777777" w:rsidR="000D6C24" w:rsidRDefault="000D6C24" w:rsidP="00B1367E">
      <w:r>
        <w:t xml:space="preserve">Despite the range of examples featured in Section 5 of this </w:t>
      </w:r>
      <w:r w:rsidR="00A44BE5">
        <w:t>g</w:t>
      </w:r>
      <w:r>
        <w:t>uide, it seems clear that the field of disabilities and its multiple funders/purchasers have only scratched the surface of value-based purchasing and payment reform, often called “Rate Restructuring</w:t>
      </w:r>
      <w:r w:rsidR="00370A97">
        <w:t>,</w:t>
      </w:r>
      <w:r>
        <w:t>” in the Employment First efforts that ODEP has supported in the past decade</w:t>
      </w:r>
      <w:r w:rsidR="005043F4">
        <w:t xml:space="preserve">. </w:t>
      </w:r>
      <w:r>
        <w:t>While multiple funding streams exist that can support Employment First</w:t>
      </w:r>
      <w:r w:rsidR="005D465B">
        <w:t>,</w:t>
      </w:r>
      <w:r>
        <w:t xml:space="preserve"> and consequently multiple purchasers of services designed to advance Employment First, there still is evidence in many states that the service provider network is shared to a great extent. </w:t>
      </w:r>
    </w:p>
    <w:p w14:paraId="15970993" w14:textId="77777777" w:rsidR="000D6C24" w:rsidRDefault="000D6C24" w:rsidP="00B1367E">
      <w:r>
        <w:t>The multiple funding streams, and the separate funders/purchasers that exist as a result, have unfortunately struggled with coordinating their approaches to defining and purchasing services. There have been long-standing challenges with working out an appropriate division of responsibilities for common customers with disabilities, emphasizing cost</w:t>
      </w:r>
      <w:r w:rsidR="005D465B">
        <w:t>-</w:t>
      </w:r>
      <w:r>
        <w:t>sharing rather than cost</w:t>
      </w:r>
      <w:r w:rsidR="005D465B">
        <w:t>-</w:t>
      </w:r>
      <w:r>
        <w:t>shifting</w:t>
      </w:r>
      <w:r w:rsidR="005043F4">
        <w:t xml:space="preserve">. </w:t>
      </w:r>
      <w:r>
        <w:t>Yet, all funders/purchasers generally agree on the need for reimbursement methodologies, rates</w:t>
      </w:r>
      <w:r w:rsidR="005D465B">
        <w:t>,</w:t>
      </w:r>
      <w:r>
        <w:t xml:space="preserve"> and payment structures that: </w:t>
      </w:r>
    </w:p>
    <w:p w14:paraId="5E5719BB" w14:textId="77777777" w:rsidR="000D6C24" w:rsidRDefault="000D6C24" w:rsidP="00AE6CE6">
      <w:pPr>
        <w:pStyle w:val="ListBullet"/>
      </w:pPr>
      <w:r>
        <w:t>Incentivize desired outcomes;</w:t>
      </w:r>
    </w:p>
    <w:p w14:paraId="4E82F6CC" w14:textId="77777777" w:rsidR="000D6C24" w:rsidRDefault="000D6C24" w:rsidP="00AE6CE6">
      <w:pPr>
        <w:pStyle w:val="ListBullet"/>
      </w:pPr>
      <w:r>
        <w:t>Use evidence-based and otherwise authenticated best practices that lead to desired outcomes; and</w:t>
      </w:r>
    </w:p>
    <w:p w14:paraId="1142BE1D" w14:textId="77777777" w:rsidR="000D6C24" w:rsidRDefault="000D6C24" w:rsidP="00AE6CE6">
      <w:pPr>
        <w:pStyle w:val="ListBullet"/>
      </w:pPr>
      <w:r>
        <w:t xml:space="preserve">Ensure equal access to competitive integrated employment for all individuals with disabilities, regardless of </w:t>
      </w:r>
      <w:r w:rsidR="00395E5D">
        <w:t xml:space="preserve">the </w:t>
      </w:r>
      <w:r>
        <w:t>level of disability or life complexities that people may face.</w:t>
      </w:r>
    </w:p>
    <w:p w14:paraId="48841562" w14:textId="77777777" w:rsidR="000D6C24" w:rsidRDefault="000D6C24" w:rsidP="00B1367E">
      <w:r>
        <w:t>When it comes to facilitating competitive integrated employment, it seems clear that no funders/purchasers would say they are achieving the performance and outcomes they desire from their systems of services</w:t>
      </w:r>
      <w:r w:rsidR="005043F4">
        <w:t xml:space="preserve">. </w:t>
      </w:r>
      <w:r>
        <w:t>Many service providers agree</w:t>
      </w:r>
      <w:r w:rsidR="004834EC">
        <w:t>,</w:t>
      </w:r>
      <w:r>
        <w:t xml:space="preserve"> but there are often differences in viewpoints as to why outcomes are not better. Over time, the debate has become stale in many places, with funders/purchasers saying we need better service providers while service providers say we need better funding and funding rules</w:t>
      </w:r>
      <w:r w:rsidR="005043F4">
        <w:t xml:space="preserve">. </w:t>
      </w:r>
      <w:r>
        <w:t xml:space="preserve">Moving forward requires both parties to see </w:t>
      </w:r>
      <w:r w:rsidR="004834EC">
        <w:t xml:space="preserve">that </w:t>
      </w:r>
      <w:r>
        <w:t>the two needs are not mutually exclusive</w:t>
      </w:r>
      <w:r w:rsidR="004834EC">
        <w:t>,</w:t>
      </w:r>
      <w:r>
        <w:t xml:space="preserve"> </w:t>
      </w:r>
      <w:r w:rsidR="004834EC">
        <w:t xml:space="preserve">but are, </w:t>
      </w:r>
      <w:r>
        <w:t>in fact</w:t>
      </w:r>
      <w:r w:rsidR="004834EC">
        <w:t>,</w:t>
      </w:r>
      <w:r>
        <w:t xml:space="preserve"> closely inter-related.</w:t>
      </w:r>
    </w:p>
    <w:p w14:paraId="0E3528F2" w14:textId="77777777" w:rsidR="000D6C24" w:rsidRDefault="000D6C24" w:rsidP="00B1367E">
      <w:r>
        <w:t>In reality, increasing funding for all service providers</w:t>
      </w:r>
      <w:r w:rsidR="003B385D" w:rsidRPr="003B385D">
        <w:t xml:space="preserve"> </w:t>
      </w:r>
      <w:r w:rsidR="003B385D">
        <w:t>will not ultimately improve outcomes</w:t>
      </w:r>
      <w:r>
        <w:t>, regardless of their relative ability to utilize best and evidence-based practices to produce desired outcomes. Too much new investment will inadvertently go to perpetuating ineffective practices if new funding is not used to design and implement performance-based reimbursement models and rate structures. Simply paying more will not guarantee better outcomes, as much as common sense might suggest this would be the result.</w:t>
      </w:r>
    </w:p>
    <w:p w14:paraId="28708550" w14:textId="77777777" w:rsidR="000D6C24" w:rsidRDefault="000D6C24" w:rsidP="00B1367E">
      <w:r>
        <w:t>It is also equally true that if funders/purchasers wait for higher</w:t>
      </w:r>
      <w:r w:rsidR="004834EC">
        <w:t>-</w:t>
      </w:r>
      <w:r>
        <w:t>performing service providers to appear within systems that continue to operate with the same reimbursement models and rate structures, they will likely be waiting indefinitely. Many existing service providers have the capacity to become high performing service providers if they are transitioned to operating with new reimbursement models and rate structures that tie funding to outcomes and that create appropriate performance incentives</w:t>
      </w:r>
      <w:r w:rsidR="004834EC">
        <w:t>.</w:t>
      </w:r>
      <w:r>
        <w:t xml:space="preserve"> These structures enable the provider organizations that are capable of high performance to direct their energies and resources toward achieving this performance, rather than following the existing requirements and incentives in traditional reimbursement models and rate structures.</w:t>
      </w:r>
    </w:p>
    <w:p w14:paraId="7FB706C8" w14:textId="7D770522" w:rsidR="000D6C24" w:rsidRDefault="00996D07" w:rsidP="00996D07">
      <w:r w:rsidRPr="00F40F89">
        <w:t xml:space="preserve">Without a doubt, what is needed is a performance-based approach, developed collaboratively with appropriate risk adjustment and the commitment of partners to continue to refine the approach over time, as necessary, to achieve the clearly delineated and desired outcomes that are central to </w:t>
      </w:r>
      <w:r w:rsidR="00172983" w:rsidRPr="00172983">
        <w:t xml:space="preserve">Competitive Integrated Employment and </w:t>
      </w:r>
      <w:r w:rsidRPr="00F40F89">
        <w:t>Employment First efforts across this country. Performance-based models can advance competitive integrated employment, making it a possibility for all people with disabilities, an outcome people with disabilities desire for themselves, and an outcome service providers are focused on facilitating. While this involves charting new courses, which can make both funders/purchaser</w:t>
      </w:r>
      <w:r w:rsidR="00425B32">
        <w:t>s</w:t>
      </w:r>
      <w:r w:rsidRPr="00F40F89">
        <w:t xml:space="preserve"> and providers reticent, decades of doing it the way we have done it up until now have proven such a change in approach is essential.</w:t>
      </w:r>
    </w:p>
    <w:sectPr w:rsidR="000D6C24" w:rsidSect="00F05D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EED69" w14:textId="77777777" w:rsidR="00B66EB7" w:rsidRDefault="00B66EB7" w:rsidP="00F07C9B">
      <w:pPr>
        <w:spacing w:before="0" w:after="0" w:line="240" w:lineRule="auto"/>
      </w:pPr>
      <w:r>
        <w:separator/>
      </w:r>
    </w:p>
  </w:endnote>
  <w:endnote w:type="continuationSeparator" w:id="0">
    <w:p w14:paraId="37E885FA" w14:textId="77777777" w:rsidR="00B66EB7" w:rsidRDefault="00B66EB7" w:rsidP="00F07C9B">
      <w:pPr>
        <w:spacing w:before="0" w:after="0" w:line="240" w:lineRule="auto"/>
      </w:pPr>
      <w:r>
        <w:continuationSeparator/>
      </w:r>
    </w:p>
  </w:endnote>
  <w:endnote w:type="continuationNotice" w:id="1">
    <w:p w14:paraId="3CB5DD19" w14:textId="77777777" w:rsidR="00B66EB7" w:rsidRDefault="00B66E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tima">
    <w:altName w:val="Calibri"/>
    <w:charset w:val="00"/>
    <w:family w:val="auto"/>
    <w:pitch w:val="variable"/>
    <w:sig w:usb0="80000067"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libri (Body)">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Lucida Grande">
    <w:charset w:val="00"/>
    <w:family w:val="swiss"/>
    <w:pitch w:val="variable"/>
    <w:sig w:usb0="E1000AEF" w:usb1="5000A1FF" w:usb2="00000000" w:usb3="00000000" w:csb0="000001BF" w:csb1="00000000"/>
  </w:font>
  <w:font w:name="Microsoft Office Preview Font">
    <w:altName w:val="Calibri"/>
    <w:charset w:val="00"/>
    <w:family w:val="swiss"/>
    <w:pitch w:val="variable"/>
    <w:sig w:usb0="00000003" w:usb1="02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4554164"/>
      <w:docPartObj>
        <w:docPartGallery w:val="Page Numbers (Bottom of Page)"/>
        <w:docPartUnique/>
      </w:docPartObj>
    </w:sdtPr>
    <w:sdtEndPr>
      <w:rPr>
        <w:rStyle w:val="PageNumber"/>
      </w:rPr>
    </w:sdtEndPr>
    <w:sdtContent>
      <w:p w14:paraId="69BF41D2" w14:textId="0A655744" w:rsidR="00567853" w:rsidRDefault="00567853" w:rsidP="00C00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F2DF13D" w14:textId="77777777" w:rsidR="00567853" w:rsidRDefault="00567853" w:rsidP="00792B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7032705"/>
      <w:docPartObj>
        <w:docPartGallery w:val="Page Numbers (Bottom of Page)"/>
        <w:docPartUnique/>
      </w:docPartObj>
    </w:sdtPr>
    <w:sdtEndPr>
      <w:rPr>
        <w:rStyle w:val="PageNumber"/>
      </w:rPr>
    </w:sdtEndPr>
    <w:sdtContent>
      <w:p w14:paraId="54D3E2A5" w14:textId="427934C9" w:rsidR="00567853" w:rsidRDefault="00567853" w:rsidP="00F73F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5FAAA683" w14:textId="77777777" w:rsidR="00567853" w:rsidRDefault="00567853" w:rsidP="00C0791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767067115"/>
      <w:docPartObj>
        <w:docPartGallery w:val="Page Numbers (Bottom of Page)"/>
        <w:docPartUnique/>
      </w:docPartObj>
    </w:sdtPr>
    <w:sdtEndPr>
      <w:rPr>
        <w:rStyle w:val="PageNumber"/>
      </w:rPr>
    </w:sdtEndPr>
    <w:sdtContent>
      <w:p w14:paraId="3CAD8783" w14:textId="08AF4DDF" w:rsidR="00567853" w:rsidRPr="004C286B" w:rsidRDefault="00567853" w:rsidP="00767800">
        <w:pPr>
          <w:pStyle w:val="Footer"/>
          <w:framePr w:wrap="none" w:vAnchor="text" w:hAnchor="margin" w:xAlign="right" w:y="1"/>
          <w:rPr>
            <w:rStyle w:val="PageNumber"/>
            <w:sz w:val="18"/>
            <w:szCs w:val="18"/>
          </w:rPr>
        </w:pPr>
        <w:r w:rsidRPr="004C286B">
          <w:rPr>
            <w:rStyle w:val="PageNumber"/>
            <w:sz w:val="18"/>
            <w:szCs w:val="18"/>
          </w:rPr>
          <w:fldChar w:fldCharType="begin"/>
        </w:r>
        <w:r w:rsidRPr="004C286B">
          <w:rPr>
            <w:rStyle w:val="PageNumber"/>
            <w:sz w:val="18"/>
            <w:szCs w:val="18"/>
          </w:rPr>
          <w:instrText xml:space="preserve"> PAGE </w:instrText>
        </w:r>
        <w:r w:rsidRPr="004C286B">
          <w:rPr>
            <w:rStyle w:val="PageNumber"/>
            <w:sz w:val="18"/>
            <w:szCs w:val="18"/>
          </w:rPr>
          <w:fldChar w:fldCharType="separate"/>
        </w:r>
        <w:r w:rsidRPr="004C286B">
          <w:rPr>
            <w:rStyle w:val="PageNumber"/>
            <w:noProof/>
            <w:sz w:val="18"/>
            <w:szCs w:val="18"/>
          </w:rPr>
          <w:t>89</w:t>
        </w:r>
        <w:r w:rsidRPr="004C286B">
          <w:rPr>
            <w:rStyle w:val="PageNumber"/>
            <w:sz w:val="18"/>
            <w:szCs w:val="18"/>
          </w:rPr>
          <w:fldChar w:fldCharType="end"/>
        </w:r>
      </w:p>
    </w:sdtContent>
  </w:sdt>
  <w:p w14:paraId="68347CD6" w14:textId="77777777" w:rsidR="00567853" w:rsidRPr="003F01F9" w:rsidRDefault="00567853" w:rsidP="00243102">
    <w:pPr>
      <w:pStyle w:val="Footer"/>
      <w:ind w:right="360"/>
      <w:jc w:val="right"/>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0831E" w14:textId="77777777" w:rsidR="00B66EB7" w:rsidRDefault="00B66EB7" w:rsidP="00F07C9B">
      <w:pPr>
        <w:spacing w:before="0" w:after="0" w:line="240" w:lineRule="auto"/>
      </w:pPr>
      <w:r>
        <w:separator/>
      </w:r>
    </w:p>
  </w:footnote>
  <w:footnote w:type="continuationSeparator" w:id="0">
    <w:p w14:paraId="04108021" w14:textId="77777777" w:rsidR="00B66EB7" w:rsidRDefault="00B66EB7" w:rsidP="00F07C9B">
      <w:pPr>
        <w:spacing w:before="0" w:after="0" w:line="240" w:lineRule="auto"/>
      </w:pPr>
      <w:r>
        <w:continuationSeparator/>
      </w:r>
    </w:p>
  </w:footnote>
  <w:footnote w:type="continuationNotice" w:id="1">
    <w:p w14:paraId="70294480" w14:textId="77777777" w:rsidR="00B66EB7" w:rsidRDefault="00B66EB7">
      <w:pPr>
        <w:spacing w:before="0" w:after="0" w:line="240" w:lineRule="auto"/>
      </w:pPr>
    </w:p>
  </w:footnote>
  <w:footnote w:id="2">
    <w:p w14:paraId="36BBB1CC" w14:textId="77777777" w:rsidR="00567853" w:rsidRPr="00792E29" w:rsidRDefault="00567853" w:rsidP="002C5826">
      <w:pPr>
        <w:pStyle w:val="FootnoteText"/>
        <w:rPr>
          <w:color w:val="7030A0"/>
        </w:rPr>
      </w:pPr>
      <w:r w:rsidRPr="00792E29">
        <w:rPr>
          <w:rStyle w:val="FootnoteReference"/>
          <w:color w:val="7030A0"/>
        </w:rPr>
        <w:footnoteRef/>
      </w:r>
      <w:r w:rsidRPr="00792E29">
        <w:rPr>
          <w:color w:val="7030A0"/>
        </w:rPr>
        <w:t xml:space="preserve"> </w:t>
      </w:r>
      <w:hyperlink r:id="rId1" w:history="1">
        <w:r w:rsidRPr="00792E29">
          <w:rPr>
            <w:color w:val="7030A0"/>
          </w:rPr>
          <w:t>https://www.dol.gov/odep/topics/employmentfirst.htm</w:t>
        </w:r>
      </w:hyperlink>
    </w:p>
  </w:footnote>
  <w:footnote w:id="3">
    <w:p w14:paraId="59A0A145" w14:textId="08C4BBB6" w:rsidR="00567853" w:rsidRDefault="00567853" w:rsidP="00DF2DCC">
      <w:pPr>
        <w:pStyle w:val="FootnoteText"/>
        <w:spacing w:before="0" w:after="0"/>
      </w:pPr>
      <w:r>
        <w:rPr>
          <w:rStyle w:val="FootnoteReference"/>
        </w:rPr>
        <w:footnoteRef/>
      </w:r>
      <w:r>
        <w:t xml:space="preserve"> Proehl, Rebecca Ann. </w:t>
      </w:r>
      <w:r w:rsidRPr="00055456">
        <w:rPr>
          <w:i/>
          <w:iCs/>
        </w:rPr>
        <w:t>Organizational Change in Human Services</w:t>
      </w:r>
      <w:r>
        <w:t xml:space="preserve">. </w:t>
      </w:r>
      <w:r w:rsidRPr="006F5F85">
        <w:t>Sage Sourcebooks for the Human Services</w:t>
      </w:r>
      <w:r>
        <w:t xml:space="preserve">, </w:t>
      </w:r>
      <w:r>
        <w:br/>
      </w:r>
      <w:r w:rsidRPr="006F5F85">
        <w:t>© 2001 Sage Publications</w:t>
      </w:r>
      <w:r>
        <w:t>.</w:t>
      </w:r>
    </w:p>
  </w:footnote>
  <w:footnote w:id="4">
    <w:p w14:paraId="0257BCD2" w14:textId="77777777" w:rsidR="00567853" w:rsidRDefault="00567853" w:rsidP="002C5826">
      <w:pPr>
        <w:pStyle w:val="FootnoteText"/>
      </w:pPr>
      <w:r>
        <w:rPr>
          <w:rStyle w:val="FootnoteReference"/>
        </w:rPr>
        <w:footnoteRef/>
      </w:r>
      <w:r>
        <w:t xml:space="preserve"> Credit goes to Denver Options (now called Rocky Mountain Human Services) for this profound yet common sense realization.</w:t>
      </w:r>
    </w:p>
  </w:footnote>
  <w:footnote w:id="5">
    <w:p w14:paraId="7AF37537" w14:textId="77777777" w:rsidR="00567853" w:rsidRDefault="00567853" w:rsidP="002C5826">
      <w:pPr>
        <w:pStyle w:val="FootnoteText"/>
      </w:pPr>
      <w:r>
        <w:rPr>
          <w:rStyle w:val="FootnoteReference"/>
        </w:rPr>
        <w:footnoteRef/>
      </w:r>
      <w:r>
        <w:t xml:space="preserve"> </w:t>
      </w:r>
      <w:r w:rsidRPr="008F520D">
        <w:t>Credit</w:t>
      </w:r>
      <w:r>
        <w:t xml:space="preserve"> for the coining of this helpful phrase goes to Matt Salo, Executive Director of the National Association of State Medicaid Directors.</w:t>
      </w:r>
    </w:p>
  </w:footnote>
  <w:footnote w:id="6">
    <w:p w14:paraId="68E4B046" w14:textId="77777777" w:rsidR="00567853" w:rsidRDefault="00567853" w:rsidP="002C5826">
      <w:pPr>
        <w:pStyle w:val="FootnoteText"/>
      </w:pPr>
      <w:r>
        <w:rPr>
          <w:rStyle w:val="FootnoteReference"/>
        </w:rPr>
        <w:footnoteRef/>
      </w:r>
      <w:r>
        <w:t xml:space="preserve"> The Workforce Innovation and Opportunity Act (2014) requires all state VR agencies to offer Customized Employment services.</w:t>
      </w:r>
    </w:p>
  </w:footnote>
  <w:footnote w:id="7">
    <w:p w14:paraId="284B5090" w14:textId="77777777" w:rsidR="00567853" w:rsidRPr="009C7493" w:rsidRDefault="00567853" w:rsidP="002C5826">
      <w:pPr>
        <w:pStyle w:val="FootnoteText"/>
      </w:pPr>
      <w:r>
        <w:rPr>
          <w:rStyle w:val="FootnoteReference"/>
        </w:rPr>
        <w:footnoteRef/>
      </w:r>
      <w:r>
        <w:t xml:space="preserve"> Hyatt, Michael. (2019) </w:t>
      </w:r>
      <w:r>
        <w:rPr>
          <w:i/>
        </w:rPr>
        <w:t>Free to Focus.</w:t>
      </w:r>
      <w:r>
        <w:t xml:space="preserve"> Grand Rapids, Michigan: Baker Books.</w:t>
      </w:r>
    </w:p>
  </w:footnote>
  <w:footnote w:id="8">
    <w:p w14:paraId="6C5E63B3" w14:textId="77777777" w:rsidR="00567853" w:rsidRDefault="00567853" w:rsidP="002C5826">
      <w:pPr>
        <w:pStyle w:val="FootnoteText"/>
      </w:pPr>
      <w:r w:rsidRPr="00792E29">
        <w:rPr>
          <w:rStyle w:val="FootnoteReference"/>
          <w:color w:val="7030A0"/>
        </w:rPr>
        <w:footnoteRef/>
      </w:r>
      <w:r w:rsidRPr="00792E29">
        <w:rPr>
          <w:color w:val="7030A0"/>
        </w:rPr>
        <w:t xml:space="preserve"> </w:t>
      </w:r>
      <w:hyperlink r:id="rId2" w:history="1">
        <w:r w:rsidRPr="00792E29">
          <w:rPr>
            <w:color w:val="7030A0"/>
          </w:rPr>
          <w:t>https://www.medicaid.gov/medicaid/hcbs/guidance/hcbs-final-regulation/index.html</w:t>
        </w:r>
      </w:hyperlink>
    </w:p>
  </w:footnote>
  <w:footnote w:id="9">
    <w:p w14:paraId="7C23BD7D" w14:textId="77777777" w:rsidR="00567853" w:rsidRDefault="00567853" w:rsidP="002C5826">
      <w:pPr>
        <w:pStyle w:val="FootnoteText"/>
      </w:pPr>
      <w:r>
        <w:rPr>
          <w:rStyle w:val="FootnoteReference"/>
        </w:rPr>
        <w:footnoteRef/>
      </w:r>
      <w:r>
        <w:t xml:space="preserve"> </w:t>
      </w:r>
      <w:hyperlink r:id="rId3" w:history="1">
        <w:r w:rsidRPr="00792E29">
          <w:rPr>
            <w:rStyle w:val="Hyperlink"/>
            <w:color w:val="7030A0"/>
          </w:rPr>
          <w:t>https://www.americanprogress.org/issues/healthcare/reports/2019/04/10/468290/state-options-making-wise-investments-direct-care-workforce/</w:t>
        </w:r>
      </w:hyperlink>
    </w:p>
  </w:footnote>
  <w:footnote w:id="10">
    <w:p w14:paraId="0229612B" w14:textId="77777777" w:rsidR="00567853" w:rsidRPr="007C5088" w:rsidRDefault="00567853" w:rsidP="002C5826">
      <w:pPr>
        <w:pStyle w:val="FootnoteText"/>
      </w:pPr>
      <w:r>
        <w:rPr>
          <w:rStyle w:val="FootnoteReference"/>
        </w:rPr>
        <w:footnoteRef/>
      </w:r>
      <w:r>
        <w:t xml:space="preserve"> </w:t>
      </w:r>
      <w:r w:rsidRPr="007C5088">
        <w:rPr>
          <w:shd w:val="clear" w:color="auto" w:fill="FFFFFF"/>
        </w:rPr>
        <w:t>Maura Calsyn and Emily Oshima Lee, “Alternatives to Fee-for-Service Payments in Health Care: Moving from Volume to Value” (Washington: Center for American Progress, 2012), available at </w:t>
      </w:r>
      <w:hyperlink r:id="rId4" w:history="1">
        <w:r w:rsidRPr="007C5088">
          <w:rPr>
            <w:rStyle w:val="Hyperlink"/>
            <w:rFonts w:cs="Calibri"/>
            <w:color w:val="auto"/>
            <w:shd w:val="clear" w:color="auto" w:fill="FFFFFF"/>
          </w:rPr>
          <w:t>https://cdn.americanprogress.org/wp-content/uploads/2012/09/FeeforService-1.pdf</w:t>
        </w:r>
      </w:hyperlink>
      <w:r w:rsidRPr="007C5088">
        <w:rPr>
          <w:shd w:val="clear" w:color="auto" w:fill="FFFFFF"/>
        </w:rPr>
        <w:t>.</w:t>
      </w:r>
    </w:p>
  </w:footnote>
  <w:footnote w:id="11">
    <w:p w14:paraId="088172BC" w14:textId="77777777" w:rsidR="00567853" w:rsidRDefault="00567853" w:rsidP="002C5826">
      <w:pPr>
        <w:pStyle w:val="FootnoteText"/>
      </w:pPr>
      <w:r>
        <w:rPr>
          <w:rStyle w:val="FootnoteReference"/>
        </w:rPr>
        <w:footnoteRef/>
      </w:r>
      <w:r w:rsidRPr="00792E29">
        <w:rPr>
          <w:color w:val="7030A0"/>
        </w:rPr>
        <w:t xml:space="preserve"> </w:t>
      </w:r>
      <w:hyperlink r:id="rId5" w:history="1">
        <w:r w:rsidRPr="00792E29">
          <w:rPr>
            <w:rStyle w:val="Hyperlink"/>
            <w:color w:val="7030A0"/>
          </w:rPr>
          <w:t>http://thecpsd.org/wp-content/uploads/2017/03/Policy-Brief_Can-Supported-Employment-Flourish-in-a-Medicaid-Fee-for-Service-System.pdf</w:t>
        </w:r>
      </w:hyperlink>
    </w:p>
  </w:footnote>
  <w:footnote w:id="12">
    <w:p w14:paraId="691B4E0B" w14:textId="46DAF5CC" w:rsidR="00567853" w:rsidRDefault="00567853" w:rsidP="002C5826">
      <w:pPr>
        <w:pStyle w:val="FootnoteText"/>
      </w:pPr>
      <w:r>
        <w:rPr>
          <w:rStyle w:val="FootnoteReference"/>
        </w:rPr>
        <w:footnoteRef/>
      </w:r>
      <w:r>
        <w:t xml:space="preserve"> Implementation effective date was January 1,</w:t>
      </w:r>
      <w:r w:rsidDel="00771010">
        <w:t xml:space="preserve"> </w:t>
      </w:r>
      <w:r>
        <w:t>2020. Federal CMS approval was already received.</w:t>
      </w:r>
    </w:p>
  </w:footnote>
  <w:footnote w:id="13">
    <w:p w14:paraId="578DF239" w14:textId="77777777" w:rsidR="00567853" w:rsidRDefault="00567853" w:rsidP="002C5826">
      <w:pPr>
        <w:pStyle w:val="FootnoteText"/>
      </w:pPr>
      <w:r>
        <w:rPr>
          <w:rStyle w:val="FootnoteReference"/>
        </w:rPr>
        <w:footnoteRef/>
      </w:r>
      <w:r>
        <w:t xml:space="preserve"> Public Law 113-128 (29 U.S.C. Sec. 3101, et. seq.).</w:t>
      </w:r>
    </w:p>
  </w:footnote>
  <w:footnote w:id="14">
    <w:p w14:paraId="7B925762" w14:textId="5BB9C729" w:rsidR="00567853" w:rsidRDefault="00567853" w:rsidP="002C5826">
      <w:pPr>
        <w:pStyle w:val="FootnoteText"/>
      </w:pPr>
      <w:r>
        <w:rPr>
          <w:rStyle w:val="FootnoteReference"/>
        </w:rPr>
        <w:footnoteRef/>
      </w:r>
      <w:r>
        <w:t xml:space="preserve"> </w:t>
      </w:r>
      <w:hyperlink r:id="rId6" w:tgtFrame="_blank" w:history="1">
        <w:r w:rsidRPr="00A466F3">
          <w:t>Cimera, R. E., Wehman, P., West, M., &amp; Burgess, S. (2012). Do sheltered workshops enhance employment outcomes for adults with autism spectrum disorder? Autism: The International Journal of Research and Practice, 16(1), 87–94</w:t>
        </w:r>
      </w:hyperlink>
      <w:r>
        <w:t xml:space="preserve">. </w:t>
      </w:r>
      <w:r w:rsidRPr="00A466F3">
        <w:t xml:space="preserve">See also </w:t>
      </w:r>
      <w:r w:rsidRPr="007A49D9">
        <w:rPr>
          <w:rStyle w:val="Strong"/>
          <w:rFonts w:cs="Calibri"/>
          <w:b/>
          <w:shd w:val="clear" w:color="auto" w:fill="FFFFFF"/>
        </w:rPr>
        <w:t>“</w:t>
      </w:r>
      <w:r>
        <w:t>Centers Offer Employment and Support Services to Workers with Disabilities, But Labor Should Improve Oversight.” (GAO 01-886, September 2001).</w:t>
      </w:r>
    </w:p>
  </w:footnote>
  <w:footnote w:id="15">
    <w:p w14:paraId="382F5346" w14:textId="77777777" w:rsidR="00567853" w:rsidRPr="007C2930" w:rsidRDefault="00567853" w:rsidP="002C5826">
      <w:pPr>
        <w:pStyle w:val="FootnoteText"/>
      </w:pPr>
      <w:r w:rsidRPr="00792E29">
        <w:rPr>
          <w:rStyle w:val="FootnoteReference"/>
          <w:color w:val="7030A0"/>
        </w:rPr>
        <w:footnoteRef/>
      </w:r>
      <w:r w:rsidRPr="00792E29">
        <w:rPr>
          <w:color w:val="7030A0"/>
        </w:rPr>
        <w:t xml:space="preserve"> </w:t>
      </w:r>
      <w:hyperlink r:id="rId7" w:history="1">
        <w:r w:rsidRPr="00792E29">
          <w:rPr>
            <w:color w:val="7030A0"/>
            <w:u w:val="single"/>
          </w:rPr>
          <w:t>https://arcareereducation.org/docs/default-source/arkansas-rehabilitation-services/2019-ar-field-policy-manual---final.pdf?sfvrsn=72014116_2</w:t>
        </w:r>
      </w:hyperlink>
    </w:p>
  </w:footnote>
  <w:footnote w:id="16">
    <w:p w14:paraId="0A9A63E6" w14:textId="77777777" w:rsidR="00567853" w:rsidRDefault="00567853" w:rsidP="002C5826">
      <w:pPr>
        <w:pStyle w:val="FootnoteText"/>
      </w:pPr>
      <w:r>
        <w:rPr>
          <w:rStyle w:val="FootnoteReference"/>
        </w:rPr>
        <w:footnoteRef/>
      </w:r>
      <w:r>
        <w:t xml:space="preserve"> Section H of Habilitation Provider Manual found at: </w:t>
      </w:r>
      <w:hyperlink r:id="rId8" w:history="1">
        <w:r w:rsidRPr="00792E29">
          <w:rPr>
            <w:rStyle w:val="Hyperlink"/>
            <w:color w:val="7030A0"/>
          </w:rPr>
          <w:t>file:///C:/Users/Lisa/Documents/5a%20EconSys/Rate-Reimbursement%20Guide/State%20Specific%20Info/Iowa/Iowa%20Habilitation%20Services%20Provider%20Manual.pdf</w:t>
        </w:r>
      </w:hyperlink>
    </w:p>
  </w:footnote>
  <w:footnote w:id="17">
    <w:p w14:paraId="5FF71C42" w14:textId="77777777" w:rsidR="00567853" w:rsidRDefault="00567853" w:rsidP="002C5826">
      <w:pPr>
        <w:pStyle w:val="FootnoteText"/>
      </w:pPr>
      <w:r>
        <w:rPr>
          <w:rStyle w:val="FootnoteReference"/>
        </w:rPr>
        <w:footnoteRef/>
      </w:r>
      <w:r>
        <w:t xml:space="preserve"> </w:t>
      </w:r>
      <w:hyperlink r:id="rId9" w:history="1">
        <w:r w:rsidRPr="00792E29">
          <w:rPr>
            <w:rStyle w:val="Hyperlink"/>
            <w:color w:val="7030A0"/>
          </w:rPr>
          <w:t>https://ivrs.iowa.gov/sites/default/files/documents/2019/04/responsibilities_for_discovery_services.pdf</w:t>
        </w:r>
      </w:hyperlink>
    </w:p>
  </w:footnote>
  <w:footnote w:id="18">
    <w:p w14:paraId="2604088A" w14:textId="77777777" w:rsidR="00567853" w:rsidRDefault="00567853" w:rsidP="002C5826">
      <w:pPr>
        <w:pStyle w:val="FootnoteText"/>
      </w:pPr>
      <w:r w:rsidRPr="00792E29">
        <w:rPr>
          <w:rStyle w:val="FootnoteReference"/>
          <w:color w:val="7030A0"/>
        </w:rPr>
        <w:footnoteRef/>
      </w:r>
      <w:hyperlink r:id="rId10" w:history="1">
        <w:r w:rsidRPr="00792E29">
          <w:rPr>
            <w:rStyle w:val="Hyperlink"/>
            <w:color w:val="7030A0"/>
          </w:rPr>
          <w:t>https://ivrs.iowa.gov/sites/default/files/documents/2019/04/responsibilities_for_customized_employment_services.pdf</w:t>
        </w:r>
      </w:hyperlink>
    </w:p>
  </w:footnote>
  <w:footnote w:id="19">
    <w:p w14:paraId="03C85394" w14:textId="77777777" w:rsidR="00567853" w:rsidRDefault="00567853" w:rsidP="002C5826">
      <w:pPr>
        <w:pStyle w:val="FootnoteText"/>
      </w:pPr>
      <w:r>
        <w:rPr>
          <w:rStyle w:val="FootnoteReference"/>
        </w:rPr>
        <w:footnoteRef/>
      </w:r>
      <w:r>
        <w:t xml:space="preserve"> LEAD Center Policy Brief at: </w:t>
      </w:r>
      <w:hyperlink r:id="rId11" w:history="1">
        <w:r w:rsidRPr="00792E29">
          <w:rPr>
            <w:rStyle w:val="Hyperlink"/>
            <w:color w:val="7030A0"/>
          </w:rPr>
          <w:t>http://drivedisabilityemployment.org/sites/default/files/MOU%20Summary.pdf</w:t>
        </w:r>
      </w:hyperlink>
    </w:p>
  </w:footnote>
  <w:footnote w:id="20">
    <w:p w14:paraId="373B0625" w14:textId="77777777" w:rsidR="00567853" w:rsidRDefault="00567853" w:rsidP="002C5826">
      <w:pPr>
        <w:pStyle w:val="FootnoteText"/>
      </w:pPr>
      <w:r>
        <w:rPr>
          <w:rStyle w:val="FootnoteReference"/>
        </w:rPr>
        <w:footnoteRef/>
      </w:r>
      <w:r>
        <w:t xml:space="preserve"> The MOU can be found at: </w:t>
      </w:r>
      <w:hyperlink r:id="rId12" w:history="1">
        <w:r w:rsidRPr="00792E29">
          <w:rPr>
            <w:rStyle w:val="Hyperlink"/>
            <w:color w:val="7030A0"/>
          </w:rPr>
          <w:t>https://www.tn.gov/content/dam/tn/tenncare/documents/VocationalRehabilitationMOU.pdf</w:t>
        </w:r>
      </w:hyperlink>
    </w:p>
  </w:footnote>
  <w:footnote w:id="21">
    <w:p w14:paraId="6E6787D0" w14:textId="77777777" w:rsidR="00567853" w:rsidRDefault="00567853" w:rsidP="002C5826">
      <w:pPr>
        <w:pStyle w:val="FootnoteText"/>
      </w:pPr>
      <w:r>
        <w:rPr>
          <w:rStyle w:val="FootnoteReference"/>
        </w:rPr>
        <w:footnoteRef/>
      </w:r>
      <w:r>
        <w:t xml:space="preserve"> The Tennessee </w:t>
      </w:r>
      <w:r w:rsidRPr="00F601C5">
        <w:t>Employment Exploration and Discovery services are described in detail elsewhere in this Guide.</w:t>
      </w:r>
    </w:p>
  </w:footnote>
  <w:footnote w:id="22">
    <w:p w14:paraId="14D2369E" w14:textId="77777777" w:rsidR="00567853" w:rsidRDefault="00567853" w:rsidP="002C5826">
      <w:pPr>
        <w:pStyle w:val="FootnoteText"/>
      </w:pPr>
      <w:r>
        <w:rPr>
          <w:rStyle w:val="FootnoteReference"/>
        </w:rPr>
        <w:footnoteRef/>
      </w:r>
      <w:r>
        <w:t xml:space="preserve"> The Oregon</w:t>
      </w:r>
      <w:r w:rsidRPr="00C70181">
        <w:t xml:space="preserve"> Discovery service is described in detail elsewhere in this Guide.</w:t>
      </w:r>
    </w:p>
  </w:footnote>
  <w:footnote w:id="23">
    <w:p w14:paraId="5F860F35" w14:textId="77777777" w:rsidR="00567853" w:rsidRDefault="00567853" w:rsidP="002C5826">
      <w:pPr>
        <w:pStyle w:val="FootnoteText"/>
      </w:pPr>
      <w:r>
        <w:rPr>
          <w:rStyle w:val="FootnoteReference"/>
        </w:rPr>
        <w:footnoteRef/>
      </w:r>
      <w:r>
        <w:t xml:space="preserve"> The Agreement can be found at: </w:t>
      </w:r>
      <w:hyperlink r:id="rId13" w:history="1">
        <w:r w:rsidRPr="00792E29">
          <w:rPr>
            <w:rStyle w:val="Hyperlink"/>
            <w:color w:val="7030A0"/>
          </w:rPr>
          <w:t>https://www.oregon.gov/DHS/EMPLOYMENT/VR/CooperativeAgreements/ODDS-VR-MOU.pdf</w:t>
        </w:r>
      </w:hyperlink>
    </w:p>
  </w:footnote>
  <w:footnote w:id="24">
    <w:p w14:paraId="35024CDB" w14:textId="77777777" w:rsidR="00567853" w:rsidRPr="000312BD" w:rsidRDefault="00567853" w:rsidP="002C5826">
      <w:pPr>
        <w:pStyle w:val="FootnoteText"/>
      </w:pPr>
      <w:r>
        <w:rPr>
          <w:rStyle w:val="FootnoteReference"/>
        </w:rPr>
        <w:footnoteRef/>
      </w:r>
      <w:r>
        <w:t xml:space="preserve"> </w:t>
      </w:r>
      <w:r w:rsidRPr="000312BD">
        <w:t>Villegas-Grubbs, John. (2009). R</w:t>
      </w:r>
      <w:r>
        <w:t xml:space="preserve">eport on Supported Employment Services: Outcomes-based Funding. </w:t>
      </w:r>
      <w:r w:rsidRPr="000312BD">
        <w:t>Novemb</w:t>
      </w:r>
      <w:r>
        <w:t xml:space="preserve">er </w:t>
      </w:r>
      <w:r w:rsidRPr="000312BD">
        <w:t>2009.</w:t>
      </w:r>
    </w:p>
  </w:footnote>
  <w:footnote w:id="25">
    <w:p w14:paraId="344B36EA" w14:textId="77777777" w:rsidR="00567853" w:rsidRPr="006145F7" w:rsidRDefault="00567853" w:rsidP="002C5826">
      <w:pPr>
        <w:pStyle w:val="FootnoteText"/>
      </w:pPr>
      <w:r>
        <w:rPr>
          <w:rStyle w:val="FootnoteReference"/>
        </w:rPr>
        <w:footnoteRef/>
      </w:r>
      <w:r>
        <w:t xml:space="preserve"> The M</w:t>
      </w:r>
      <w:r w:rsidRPr="006B0760">
        <w:t>CO also was able to determine that</w:t>
      </w:r>
      <w:r>
        <w:t>, at the time,</w:t>
      </w:r>
      <w:r w:rsidRPr="006B0760">
        <w:t xml:space="preserve"> the average support percentage for everyone participating in Individual Supported Employment was 30%</w:t>
      </w:r>
      <w:r>
        <w:t xml:space="preserve">. </w:t>
      </w:r>
      <w:r w:rsidRPr="006B0760">
        <w:t>This meant that on average, people in Individual Supported Employment were working three hours for every hour of paid support they received</w:t>
      </w:r>
      <w:r>
        <w:t xml:space="preserve">. </w:t>
      </w:r>
      <w:r w:rsidRPr="006B0760">
        <w:t>This demonstrated the service was priced comparably, on a cost-per-h</w:t>
      </w:r>
      <w:r>
        <w:t xml:space="preserve">our-of-participation basis, to </w:t>
      </w:r>
      <w:r w:rsidRPr="006B0760">
        <w:t>group employment, segregated employment</w:t>
      </w:r>
      <w:r>
        <w:t>,</w:t>
      </w:r>
      <w:r w:rsidRPr="006B0760">
        <w:t xml:space="preserve"> and non-work alternatives</w:t>
      </w:r>
      <w:r>
        <w:t xml:space="preserve">. </w:t>
      </w:r>
    </w:p>
  </w:footnote>
  <w:footnote w:id="26">
    <w:p w14:paraId="4486822E" w14:textId="77777777" w:rsidR="00567853" w:rsidRDefault="00567853" w:rsidP="002C5826">
      <w:pPr>
        <w:pStyle w:val="FootnoteText"/>
      </w:pPr>
      <w:r w:rsidRPr="00C9532E">
        <w:rPr>
          <w:rStyle w:val="FootnoteReference"/>
          <w:color w:val="7030A0"/>
        </w:rPr>
        <w:footnoteRef/>
      </w:r>
      <w:r w:rsidRPr="00C9532E">
        <w:rPr>
          <w:color w:val="7030A0"/>
        </w:rPr>
        <w:t xml:space="preserve"> </w:t>
      </w:r>
      <w:hyperlink r:id="rId14" w:history="1">
        <w:r w:rsidRPr="00C9532E">
          <w:rPr>
            <w:rStyle w:val="Hyperlink"/>
            <w:color w:val="7030A0"/>
          </w:rPr>
          <w:t>http://www.marcgold.com/</w:t>
        </w:r>
      </w:hyperlink>
    </w:p>
  </w:footnote>
  <w:footnote w:id="27">
    <w:p w14:paraId="773CEA03" w14:textId="69559249" w:rsidR="00567853" w:rsidRPr="008C5D4A" w:rsidRDefault="00567853" w:rsidP="002C5826">
      <w:pPr>
        <w:pStyle w:val="FootnoteText"/>
      </w:pPr>
      <w:r w:rsidRPr="00AD46FE">
        <w:rPr>
          <w:rStyle w:val="FootnoteReference"/>
        </w:rPr>
        <w:footnoteRef/>
      </w:r>
      <w:r w:rsidRPr="008C5D4A">
        <w:t xml:space="preserve"> See</w:t>
      </w:r>
      <w:r>
        <w:t xml:space="preserve">: </w:t>
      </w:r>
      <w:hyperlink r:id="rId15" w:history="1">
        <w:r w:rsidRPr="00D03F92">
          <w:rPr>
            <w:rStyle w:val="Hyperlink"/>
            <w:color w:val="7030A0"/>
            <w:u w:val="none"/>
          </w:rPr>
          <w:t>https://apps.econsys.com/vrn/50 States VR Rates and Services.xlsx</w:t>
        </w:r>
      </w:hyperlink>
      <w:r>
        <w:t xml:space="preserve"> </w:t>
      </w:r>
      <w:r w:rsidRPr="008C5D4A">
        <w:t>for detail of the revised costs per staff hour.</w:t>
      </w:r>
    </w:p>
  </w:footnote>
  <w:footnote w:id="28">
    <w:p w14:paraId="76EA63FB" w14:textId="77777777" w:rsidR="00567853" w:rsidRDefault="00567853" w:rsidP="002C5826">
      <w:pPr>
        <w:pStyle w:val="FootnoteText"/>
      </w:pPr>
      <w:r w:rsidRPr="00AD46FE">
        <w:rPr>
          <w:rStyle w:val="FootnoteReference"/>
        </w:rPr>
        <w:footnoteRef/>
      </w:r>
      <w:r w:rsidRPr="008C5D4A">
        <w:t xml:space="preserve"> Current version of Agreement can be found at: </w:t>
      </w:r>
      <w:hyperlink r:id="rId16" w:history="1">
        <w:r w:rsidRPr="00837BFC">
          <w:rPr>
            <w:rStyle w:val="Hyperlink"/>
            <w:color w:val="7030A0"/>
            <w:u w:val="none"/>
          </w:rPr>
          <w:t>https://www.oregon.gov/DHS/EMPLOYMENT/VR/CooperativeAgreements/ODDS-VR-MOU.pdf</w:t>
        </w:r>
      </w:hyperlink>
    </w:p>
  </w:footnote>
  <w:footnote w:id="29">
    <w:p w14:paraId="190A8DCB" w14:textId="77777777" w:rsidR="00567853" w:rsidRPr="001E6297" w:rsidRDefault="00567853" w:rsidP="002C5826">
      <w:pPr>
        <w:pStyle w:val="FootnoteText"/>
      </w:pPr>
      <w:r w:rsidRPr="001E6297">
        <w:rPr>
          <w:rStyle w:val="FootnoteReference"/>
          <w:szCs w:val="18"/>
        </w:rPr>
        <w:footnoteRef/>
      </w:r>
      <w:r w:rsidRPr="001E6297">
        <w:t xml:space="preserve"> Ibid.</w:t>
      </w:r>
    </w:p>
  </w:footnote>
  <w:footnote w:id="30">
    <w:p w14:paraId="44EE7718" w14:textId="77777777" w:rsidR="00567853" w:rsidRDefault="00567853" w:rsidP="002C5826">
      <w:pPr>
        <w:pStyle w:val="FootnoteText"/>
      </w:pPr>
      <w:r>
        <w:rPr>
          <w:rStyle w:val="FootnoteReference"/>
        </w:rPr>
        <w:footnoteRef/>
      </w:r>
      <w:r>
        <w:t xml:space="preserve"> Ibid.</w:t>
      </w:r>
    </w:p>
  </w:footnote>
  <w:footnote w:id="31">
    <w:p w14:paraId="0B5B9F1A" w14:textId="77777777" w:rsidR="00567853" w:rsidRDefault="00567853" w:rsidP="002C5826">
      <w:pPr>
        <w:pStyle w:val="FootnoteText"/>
      </w:pPr>
      <w:r>
        <w:rPr>
          <w:rStyle w:val="FootnoteReference"/>
        </w:rPr>
        <w:footnoteRef/>
      </w:r>
      <w:r>
        <w:t xml:space="preserve"> In Michigan, an Inter-Agency Cash Transfer Agreement (ICTA) involves an agency, other than MRS, providing services to people with disabilities entering into a written agreement with MRS that involves the agency transferring some of its budgeted state dollars to MRS, allowing MRS to use those dollars to draw down additional federal match ($8 federal can be drawn down for every $2 state). In return, MRS agrees to provide services, as specified in the agreement, to people with disabilities enrolled with and served by the agency providing the state dollars. </w:t>
      </w:r>
    </w:p>
  </w:footnote>
  <w:footnote w:id="32">
    <w:p w14:paraId="54F35194" w14:textId="77777777" w:rsidR="00567853" w:rsidRDefault="00567853" w:rsidP="002C5826">
      <w:pPr>
        <w:pStyle w:val="FootnoteText"/>
      </w:pPr>
      <w:r>
        <w:rPr>
          <w:rStyle w:val="FootnoteReference"/>
        </w:rPr>
        <w:footnoteRef/>
      </w:r>
      <w:r>
        <w:t xml:space="preserve"> This statistic taken from 2016-2017 National Core Indicators Adult Consumer Survey of over 21,500 individuals with IDD in 39 states. NCI is the only national survey that measures competitive integrated employment distinct from other types of Supported Employment. See:</w:t>
      </w:r>
      <w:r w:rsidRPr="00837BFC">
        <w:rPr>
          <w:color w:val="7030A0"/>
        </w:rPr>
        <w:t xml:space="preserve"> </w:t>
      </w:r>
      <w:hyperlink r:id="rId17" w:history="1">
        <w:r w:rsidRPr="00837BFC">
          <w:rPr>
            <w:rStyle w:val="Hyperlink"/>
            <w:color w:val="7030A0"/>
          </w:rPr>
          <w:t>https://www.nationalcoreindicators.org/upload/core-indicators/NCIEmployment_Update3_DataBrief.pdf</w:t>
        </w:r>
      </w:hyperlink>
    </w:p>
  </w:footnote>
  <w:footnote w:id="33">
    <w:p w14:paraId="158D9042" w14:textId="77777777" w:rsidR="00567853" w:rsidRDefault="00567853" w:rsidP="002C5826">
      <w:pPr>
        <w:pStyle w:val="FootnoteText"/>
      </w:pPr>
      <w:r>
        <w:rPr>
          <w:rStyle w:val="FootnoteReference"/>
        </w:rPr>
        <w:footnoteRef/>
      </w:r>
      <w:r>
        <w:t xml:space="preserve"> Hunt, Douglas (November 2016). Dane County’s Approach to Seamless Transition. See also: </w:t>
      </w:r>
      <w:hyperlink r:id="rId18" w:history="1">
        <w:r w:rsidRPr="00837BFC">
          <w:rPr>
            <w:rStyle w:val="Hyperlink"/>
            <w:color w:val="7030A0"/>
          </w:rPr>
          <w:t>http://www.ddnetworkinc.org/uploads/3/4/1/9/34192144/17-01-20_building_on_the_dane_county_difference.pdf</w:t>
        </w:r>
      </w:hyperlink>
    </w:p>
  </w:footnote>
  <w:footnote w:id="34">
    <w:p w14:paraId="72E3E042" w14:textId="77777777" w:rsidR="00567853" w:rsidRDefault="00567853" w:rsidP="002C5826">
      <w:pPr>
        <w:pStyle w:val="FootnoteText"/>
      </w:pPr>
      <w:r>
        <w:rPr>
          <w:rStyle w:val="FootnoteReference"/>
        </w:rPr>
        <w:footnoteRef/>
      </w:r>
      <w:r>
        <w:t xml:space="preserve"> This has been a long-standing expectation of VR Supported Employment providers, which can be found in federal regulations, but this is essentially an unfunded mandate, as VR does not fund this expectation once a case is closed.</w:t>
      </w:r>
    </w:p>
  </w:footnote>
  <w:footnote w:id="35">
    <w:p w14:paraId="2B1F2B3B" w14:textId="77777777" w:rsidR="00567853" w:rsidRDefault="00567853" w:rsidP="002C5826">
      <w:pPr>
        <w:pStyle w:val="FootnoteText"/>
      </w:pPr>
      <w:r w:rsidRPr="00837BFC">
        <w:rPr>
          <w:rStyle w:val="FootnoteReference"/>
          <w:color w:val="7030A0"/>
        </w:rPr>
        <w:footnoteRef/>
      </w:r>
      <w:r w:rsidRPr="00837BFC">
        <w:rPr>
          <w:color w:val="7030A0"/>
        </w:rPr>
        <w:t xml:space="preserve"> </w:t>
      </w:r>
      <w:hyperlink r:id="rId19" w:history="1">
        <w:r w:rsidRPr="00837BFC">
          <w:rPr>
            <w:rStyle w:val="Hyperlink"/>
            <w:color w:val="7030A0"/>
          </w:rPr>
          <w:t>https://www.sourceamerica.org/pathways-careers</w:t>
        </w:r>
      </w:hyperlink>
    </w:p>
  </w:footnote>
  <w:footnote w:id="36">
    <w:p w14:paraId="65CA3599" w14:textId="77777777" w:rsidR="00567853" w:rsidRDefault="00567853" w:rsidP="002C5826">
      <w:pPr>
        <w:pStyle w:val="FootnoteText"/>
      </w:pPr>
      <w:r w:rsidRPr="00837BFC">
        <w:rPr>
          <w:rStyle w:val="FootnoteReference"/>
          <w:color w:val="7030A0"/>
        </w:rPr>
        <w:footnoteRef/>
      </w:r>
      <w:r w:rsidRPr="00837BFC">
        <w:rPr>
          <w:color w:val="7030A0"/>
        </w:rPr>
        <w:t xml:space="preserve"> </w:t>
      </w:r>
      <w:hyperlink r:id="rId20" w:history="1">
        <w:r w:rsidRPr="00837BFC">
          <w:rPr>
            <w:rStyle w:val="Hyperlink"/>
            <w:color w:val="7030A0"/>
          </w:rPr>
          <w:t>https://dhss.delaware.gov/dsaapd/files/pathways_amendment.pdf</w:t>
        </w:r>
      </w:hyperlink>
    </w:p>
  </w:footnote>
  <w:footnote w:id="37">
    <w:p w14:paraId="19770D25" w14:textId="77777777" w:rsidR="00567853" w:rsidRDefault="00567853" w:rsidP="002C5826">
      <w:pPr>
        <w:pStyle w:val="FootnoteText"/>
      </w:pPr>
      <w:r w:rsidRPr="00837BFC">
        <w:rPr>
          <w:rStyle w:val="FootnoteReference"/>
          <w:color w:val="7030A0"/>
        </w:rPr>
        <w:footnoteRef/>
      </w:r>
      <w:r w:rsidRPr="00837BFC">
        <w:rPr>
          <w:color w:val="7030A0"/>
        </w:rPr>
        <w:t xml:space="preserve"> </w:t>
      </w:r>
      <w:hyperlink r:id="rId21" w:history="1">
        <w:r w:rsidRPr="00837BFC">
          <w:rPr>
            <w:rStyle w:val="Hyperlink"/>
            <w:color w:val="7030A0"/>
          </w:rPr>
          <w:t>https://gvs.georgia.gov/dbhddgvra-supported-employment-collaboration-individuals-intellectual-developmental-disabilities</w:t>
        </w:r>
      </w:hyperlink>
    </w:p>
  </w:footnote>
  <w:footnote w:id="38">
    <w:p w14:paraId="074000C3" w14:textId="77777777" w:rsidR="00567853" w:rsidRDefault="00567853" w:rsidP="002C5826">
      <w:pPr>
        <w:pStyle w:val="FootnoteText"/>
      </w:pPr>
      <w:r>
        <w:rPr>
          <w:rStyle w:val="FootnoteReference"/>
        </w:rPr>
        <w:footnoteRef/>
      </w:r>
      <w:r>
        <w:t xml:space="preserve"> Sequencing is the author’s concept and is distinguished from braiding in that funding and services for competitive integrated employment are provided, by two or more funding sources, in a sequential rather than concurrent fashion. </w:t>
      </w:r>
    </w:p>
  </w:footnote>
  <w:footnote w:id="39">
    <w:p w14:paraId="3D69F4C8" w14:textId="77777777" w:rsidR="00567853" w:rsidRDefault="00567853" w:rsidP="002C5826">
      <w:pPr>
        <w:pStyle w:val="FootnoteText"/>
      </w:pPr>
      <w:r>
        <w:rPr>
          <w:rStyle w:val="FootnoteReference"/>
        </w:rPr>
        <w:footnoteRef/>
      </w:r>
      <w:r>
        <w:t xml:space="preserve"> </w:t>
      </w:r>
      <w:hyperlink r:id="rId22" w:history="1">
        <w:r w:rsidRPr="00837BFC">
          <w:rPr>
            <w:rStyle w:val="Hyperlink"/>
            <w:color w:val="7030A0"/>
          </w:rPr>
          <w:t>https://dbhdd.georgia.gov/sites/dbhdd.georgia.gov/files/related_files/site_page/Guide%20to%20Employment%20Express.pdf</w:t>
        </w:r>
      </w:hyperlink>
    </w:p>
  </w:footnote>
  <w:footnote w:id="40">
    <w:p w14:paraId="24E0827C" w14:textId="77777777" w:rsidR="00567853" w:rsidRPr="00837BFC" w:rsidRDefault="00567853" w:rsidP="002C5826">
      <w:pPr>
        <w:pStyle w:val="FootnoteText"/>
        <w:rPr>
          <w:color w:val="7030A0"/>
        </w:rPr>
      </w:pPr>
      <w:r>
        <w:rPr>
          <w:rStyle w:val="FootnoteReference"/>
        </w:rPr>
        <w:footnoteRef/>
      </w:r>
      <w:r>
        <w:t xml:space="preserve"> Georgia has an Employment First Law as of May 2018. See: </w:t>
      </w:r>
      <w:hyperlink r:id="rId23" w:history="1">
        <w:r w:rsidRPr="00837BFC">
          <w:rPr>
            <w:rStyle w:val="Hyperlink"/>
            <w:color w:val="7030A0"/>
          </w:rPr>
          <w:t>https://gvs.georgia.gov/press-releases/2018-05-08/georgias-employment-first-act-becomes-law</w:t>
        </w:r>
      </w:hyperlink>
    </w:p>
  </w:footnote>
  <w:footnote w:id="41">
    <w:p w14:paraId="53FAA31E" w14:textId="77777777" w:rsidR="00567853" w:rsidRDefault="00567853" w:rsidP="002C5826">
      <w:pPr>
        <w:pStyle w:val="FootnoteText"/>
      </w:pPr>
      <w:r w:rsidRPr="00837BFC">
        <w:rPr>
          <w:rStyle w:val="FootnoteReference"/>
          <w:color w:val="7030A0"/>
        </w:rPr>
        <w:footnoteRef/>
      </w:r>
      <w:r w:rsidRPr="00837BFC">
        <w:rPr>
          <w:color w:val="7030A0"/>
        </w:rPr>
        <w:t xml:space="preserve"> </w:t>
      </w:r>
      <w:hyperlink r:id="rId24" w:history="1">
        <w:r w:rsidRPr="00837BFC">
          <w:rPr>
            <w:rStyle w:val="Hyperlink"/>
            <w:color w:val="7030A0"/>
          </w:rPr>
          <w:t>https://acl.gov/sites/default/files/programs/2018-02/2017%20PCPID%20Full%20Report_0.PDF</w:t>
        </w:r>
      </w:hyperlink>
      <w:r w:rsidRPr="00837BFC">
        <w:rPr>
          <w:color w:val="7030A0"/>
        </w:rPr>
        <w:t xml:space="preserve"> </w:t>
      </w:r>
    </w:p>
  </w:footnote>
  <w:footnote w:id="42">
    <w:p w14:paraId="51508818" w14:textId="77777777" w:rsidR="00567853" w:rsidRDefault="00567853" w:rsidP="002C5826">
      <w:pPr>
        <w:pStyle w:val="FootnoteText"/>
      </w:pPr>
      <w:r>
        <w:rPr>
          <w:rStyle w:val="FootnoteReference"/>
        </w:rPr>
        <w:footnoteRef/>
      </w:r>
      <w:r>
        <w:t xml:space="preserve"> The use of natural people (supervisors; co-workers) using natural means to train an employee with a disability on the natural ways that the company expects the work to be done is the underlying principle of The Seven Phase Sequence for Systematic Instruction developed by Michael Callahan of Marc Gold and Associates. See: </w:t>
      </w:r>
      <w:hyperlink r:id="rId25" w:history="1">
        <w:r w:rsidRPr="00837BFC">
          <w:rPr>
            <w:rStyle w:val="Hyperlink"/>
            <w:color w:val="7030A0"/>
          </w:rPr>
          <w:t>https://static1.squarespace.com/static/57fa78cd6a496306c83a2ca7/t/5830f9bee4fcb5e251c81780/1479604673136/The+Seven+Phase+Sequence+for+Balancing+Naturalness+and+Individual+Needs.pdf</w:t>
        </w:r>
      </w:hyperlink>
    </w:p>
  </w:footnote>
  <w:footnote w:id="43">
    <w:p w14:paraId="1981E487" w14:textId="77777777" w:rsidR="00567853" w:rsidRDefault="00567853" w:rsidP="002C5826">
      <w:pPr>
        <w:pStyle w:val="FootnoteText"/>
      </w:pPr>
      <w:r>
        <w:rPr>
          <w:rStyle w:val="FootnoteReference"/>
        </w:rPr>
        <w:footnoteRef/>
      </w:r>
      <w:r>
        <w:t xml:space="preserve"> </w:t>
      </w:r>
      <w:r w:rsidRPr="0045502A">
        <w:t>American Job Centers can provide a range of employment services through programs funded under the Workforce Innovation and Opportunity Act.</w:t>
      </w:r>
    </w:p>
  </w:footnote>
  <w:footnote w:id="44">
    <w:p w14:paraId="2728C06C" w14:textId="77777777" w:rsidR="00567853" w:rsidRDefault="00567853" w:rsidP="002C5826">
      <w:pPr>
        <w:pStyle w:val="FootnoteText"/>
      </w:pPr>
      <w:r>
        <w:rPr>
          <w:rStyle w:val="FootnoteReference"/>
        </w:rPr>
        <w:footnoteRef/>
      </w:r>
      <w:r>
        <w:t xml:space="preserve"> EARN (Employer Assistance and Resource Network for Disability Inclusion). </w:t>
      </w:r>
      <w:hyperlink r:id="rId26" w:history="1">
        <w:r w:rsidRPr="00F90028">
          <w:rPr>
            <w:rStyle w:val="Hyperlink"/>
          </w:rPr>
          <w:t>www.askearn.org</w:t>
        </w:r>
      </w:hyperlink>
      <w:r>
        <w:t xml:space="preserve"> </w:t>
      </w:r>
    </w:p>
  </w:footnote>
  <w:footnote w:id="45">
    <w:p w14:paraId="616ABD9C" w14:textId="77777777" w:rsidR="00567853" w:rsidRDefault="00567853" w:rsidP="002C5826">
      <w:pPr>
        <w:pStyle w:val="FootnoteText"/>
      </w:pPr>
      <w:r w:rsidRPr="001E47FA">
        <w:rPr>
          <w:rStyle w:val="FootnoteReference"/>
          <w:rFonts w:asciiTheme="minorHAnsi" w:hAnsiTheme="minorHAnsi" w:cstheme="minorHAnsi"/>
          <w:sz w:val="20"/>
        </w:rPr>
        <w:footnoteRef/>
      </w:r>
      <w:r w:rsidRPr="001E47FA">
        <w:t xml:space="preserve"> Workforce Innovation and Opportunity Act Section 3 (44) or 20 CFR § 680.700</w:t>
      </w:r>
    </w:p>
  </w:footnote>
  <w:footnote w:id="46">
    <w:p w14:paraId="56F8E35C" w14:textId="77777777" w:rsidR="00567853" w:rsidRPr="00837BFC" w:rsidRDefault="00567853" w:rsidP="002C5826">
      <w:pPr>
        <w:pStyle w:val="FootnoteText"/>
        <w:rPr>
          <w:color w:val="7030A0"/>
        </w:rPr>
      </w:pPr>
      <w:r>
        <w:rPr>
          <w:rStyle w:val="FootnoteReference"/>
        </w:rPr>
        <w:footnoteRef/>
      </w:r>
      <w:r>
        <w:t xml:space="preserve"> </w:t>
      </w:r>
      <w:hyperlink r:id="rId27" w:history="1">
        <w:r w:rsidRPr="00837BFC">
          <w:rPr>
            <w:rStyle w:val="Hyperlink"/>
            <w:color w:val="7030A0"/>
          </w:rPr>
          <w:t>https://www.tn.gov/content/dam/tn/workforce/documents/On-the-job_training_Margaret_Prater__Kristie_Bennett-min.pdf</w:t>
        </w:r>
      </w:hyperlink>
    </w:p>
  </w:footnote>
  <w:footnote w:id="47">
    <w:p w14:paraId="25372A86" w14:textId="77777777" w:rsidR="00567853" w:rsidRDefault="00567853" w:rsidP="002C5826">
      <w:pPr>
        <w:pStyle w:val="FootnoteText"/>
      </w:pPr>
      <w:r w:rsidRPr="00837BFC">
        <w:rPr>
          <w:rStyle w:val="FootnoteReference"/>
          <w:color w:val="7030A0"/>
        </w:rPr>
        <w:footnoteRef/>
      </w:r>
      <w:r w:rsidRPr="00837BFC">
        <w:rPr>
          <w:color w:val="7030A0"/>
        </w:rPr>
        <w:t xml:space="preserve"> </w:t>
      </w:r>
      <w:hyperlink r:id="rId28" w:history="1">
        <w:r w:rsidRPr="00837BFC">
          <w:rPr>
            <w:rStyle w:val="Hyperlink"/>
            <w:color w:val="7030A0"/>
          </w:rPr>
          <w:t>http://www.rehabworks.org/ojt.shtml</w:t>
        </w:r>
      </w:hyperlink>
    </w:p>
  </w:footnote>
  <w:footnote w:id="48">
    <w:p w14:paraId="506711F3" w14:textId="77777777" w:rsidR="00567853" w:rsidRPr="00837BFC" w:rsidRDefault="00567853" w:rsidP="002C5826">
      <w:pPr>
        <w:pStyle w:val="FootnoteText"/>
        <w:rPr>
          <w:color w:val="7030A0"/>
        </w:rPr>
      </w:pPr>
      <w:r>
        <w:rPr>
          <w:rStyle w:val="FootnoteReference"/>
        </w:rPr>
        <w:footnoteRef/>
      </w:r>
      <w:r>
        <w:t xml:space="preserve"> </w:t>
      </w:r>
      <w:hyperlink r:id="rId29" w:history="1">
        <w:r w:rsidRPr="00837BFC">
          <w:rPr>
            <w:rStyle w:val="Hyperlink"/>
            <w:color w:val="7030A0"/>
          </w:rPr>
          <w:t>https://ocfs.ny.gov/main/cb/vocrehab_manual/08-37_OnTheJobTraining.htm</w:t>
        </w:r>
      </w:hyperlink>
    </w:p>
  </w:footnote>
  <w:footnote w:id="49">
    <w:p w14:paraId="1D2864C1" w14:textId="77777777" w:rsidR="00567853" w:rsidRPr="00837BFC" w:rsidRDefault="00567853" w:rsidP="002C5826">
      <w:pPr>
        <w:pStyle w:val="FootnoteText"/>
        <w:rPr>
          <w:color w:val="7030A0"/>
        </w:rPr>
      </w:pPr>
      <w:r w:rsidRPr="00837BFC">
        <w:rPr>
          <w:rStyle w:val="FootnoteReference"/>
          <w:color w:val="7030A0"/>
        </w:rPr>
        <w:footnoteRef/>
      </w:r>
      <w:r w:rsidRPr="00837BFC">
        <w:rPr>
          <w:color w:val="7030A0"/>
        </w:rPr>
        <w:t xml:space="preserve"> </w:t>
      </w:r>
      <w:hyperlink r:id="rId30" w:history="1">
        <w:r w:rsidRPr="00837BFC">
          <w:rPr>
            <w:rStyle w:val="Hyperlink"/>
            <w:color w:val="7030A0"/>
          </w:rPr>
          <w:t>https://downloads.cms.gov/cmsgov/archived-downloads/CMCSBulletins/downloads/CIB-9-16-11.pdf</w:t>
        </w:r>
      </w:hyperlink>
    </w:p>
  </w:footnote>
  <w:footnote w:id="50">
    <w:p w14:paraId="31AE12E9" w14:textId="77777777" w:rsidR="00567853" w:rsidRDefault="00567853" w:rsidP="002C5826">
      <w:pPr>
        <w:pStyle w:val="FootnoteText"/>
      </w:pPr>
      <w:r w:rsidRPr="0029473F">
        <w:t>https://apps.econsys.com/ta-planner/Contracts_with_Industry.pdf</w:t>
      </w:r>
      <w:r w:rsidRPr="00A21484">
        <w:rPr>
          <w:rStyle w:val="FootnoteReference"/>
        </w:rPr>
        <w:footnoteRef/>
      </w:r>
      <w:r w:rsidRPr="00055456">
        <w:t>.</w:t>
      </w:r>
    </w:p>
  </w:footnote>
  <w:footnote w:id="51">
    <w:p w14:paraId="7E184377" w14:textId="77777777" w:rsidR="00567853" w:rsidRDefault="00567853" w:rsidP="002C5826">
      <w:pPr>
        <w:pStyle w:val="FootnoteText"/>
      </w:pPr>
      <w:r w:rsidRPr="00837BFC">
        <w:rPr>
          <w:rStyle w:val="FootnoteReference"/>
          <w:color w:val="7030A0"/>
        </w:rPr>
        <w:footnoteRef/>
      </w:r>
      <w:r w:rsidRPr="00837BFC">
        <w:rPr>
          <w:color w:val="7030A0"/>
        </w:rPr>
        <w:t xml:space="preserve"> </w:t>
      </w:r>
      <w:hyperlink r:id="rId31" w:history="1">
        <w:r w:rsidRPr="00837BFC">
          <w:rPr>
            <w:rStyle w:val="Hyperlink"/>
            <w:color w:val="7030A0"/>
          </w:rPr>
          <w:t>https://docs.legis.wisconsin.gov/2017/related/acts/323</w:t>
        </w:r>
      </w:hyperlink>
    </w:p>
  </w:footnote>
  <w:footnote w:id="52">
    <w:p w14:paraId="03E12FBC" w14:textId="77777777" w:rsidR="00567853" w:rsidRDefault="00567853" w:rsidP="002C5826">
      <w:pPr>
        <w:pStyle w:val="FootnoteText"/>
      </w:pPr>
      <w:r w:rsidRPr="00837BFC">
        <w:rPr>
          <w:rStyle w:val="FootnoteReference"/>
          <w:color w:val="7030A0"/>
        </w:rPr>
        <w:footnoteRef/>
      </w:r>
      <w:r w:rsidRPr="00837BFC">
        <w:rPr>
          <w:color w:val="7030A0"/>
        </w:rPr>
        <w:t xml:space="preserve"> </w:t>
      </w:r>
      <w:hyperlink r:id="rId32" w:history="1">
        <w:r w:rsidRPr="00837BFC">
          <w:rPr>
            <w:rStyle w:val="Hyperlink"/>
            <w:color w:val="7030A0"/>
          </w:rPr>
          <w:t>http://www.tennesseeworks.org/so-what-services-are-available-with-employment-and-community-first-choices-part-3/</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60A1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4E50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F4E3EC"/>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E14A6374"/>
    <w:lvl w:ilvl="0">
      <w:start w:val="1"/>
      <w:numFmt w:val="upperLetter"/>
      <w:pStyle w:val="ListNumber2"/>
      <w:lvlText w:val="%1."/>
      <w:lvlJc w:val="left"/>
      <w:pPr>
        <w:ind w:left="720" w:hanging="360"/>
      </w:pPr>
    </w:lvl>
  </w:abstractNum>
  <w:abstractNum w:abstractNumId="4" w15:restartNumberingAfterBreak="0">
    <w:nsid w:val="FFFFFF80"/>
    <w:multiLevelType w:val="singleLevel"/>
    <w:tmpl w:val="1068C5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B226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D8AA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3C0A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4AF78A"/>
    <w:lvl w:ilvl="0">
      <w:start w:val="1"/>
      <w:numFmt w:val="decimal"/>
      <w:pStyle w:val="ListNumber"/>
      <w:lvlText w:val="%1."/>
      <w:lvlJc w:val="left"/>
      <w:pPr>
        <w:ind w:left="360" w:hanging="360"/>
      </w:pPr>
      <w:rPr>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B3A8BC52"/>
    <w:lvl w:ilvl="0">
      <w:start w:val="1"/>
      <w:numFmt w:val="bullet"/>
      <w:pStyle w:val="ListBullet"/>
      <w:lvlText w:val=""/>
      <w:lvlJc w:val="left"/>
      <w:pPr>
        <w:ind w:left="360" w:hanging="360"/>
      </w:pPr>
      <w:rPr>
        <w:rFonts w:ascii="Symbol" w:hAnsi="Symbol" w:hint="default"/>
        <w:color w:val="7F7F7F" w:themeColor="text1" w:themeTint="80"/>
      </w:rPr>
    </w:lvl>
  </w:abstractNum>
  <w:abstractNum w:abstractNumId="10" w15:restartNumberingAfterBreak="0">
    <w:nsid w:val="16591618"/>
    <w:multiLevelType w:val="hybridMultilevel"/>
    <w:tmpl w:val="BC081E10"/>
    <w:lvl w:ilvl="0" w:tplc="B6B267AC">
      <w:start w:val="3"/>
      <w:numFmt w:val="upperLetter"/>
      <w:lvlText w:val="%1."/>
      <w:lvlJc w:val="left"/>
      <w:pPr>
        <w:ind w:left="346" w:hanging="360"/>
      </w:pPr>
      <w:rPr>
        <w:rFonts w:hint="default"/>
        <w:color w:val="984806" w:themeColor="accent6" w:themeShade="80"/>
      </w:rPr>
    </w:lvl>
    <w:lvl w:ilvl="1" w:tplc="04090019" w:tentative="1">
      <w:start w:val="1"/>
      <w:numFmt w:val="lowerLetter"/>
      <w:lvlText w:val="%2."/>
      <w:lvlJc w:val="left"/>
      <w:pPr>
        <w:ind w:left="1331" w:hanging="360"/>
      </w:pPr>
    </w:lvl>
    <w:lvl w:ilvl="2" w:tplc="0409001B" w:tentative="1">
      <w:start w:val="1"/>
      <w:numFmt w:val="lowerRoman"/>
      <w:lvlText w:val="%3."/>
      <w:lvlJc w:val="right"/>
      <w:pPr>
        <w:ind w:left="2051" w:hanging="180"/>
      </w:pPr>
    </w:lvl>
    <w:lvl w:ilvl="3" w:tplc="0409000F" w:tentative="1">
      <w:start w:val="1"/>
      <w:numFmt w:val="decimal"/>
      <w:lvlText w:val="%4."/>
      <w:lvlJc w:val="left"/>
      <w:pPr>
        <w:ind w:left="2771" w:hanging="360"/>
      </w:pPr>
    </w:lvl>
    <w:lvl w:ilvl="4" w:tplc="04090019" w:tentative="1">
      <w:start w:val="1"/>
      <w:numFmt w:val="lowerLetter"/>
      <w:lvlText w:val="%5."/>
      <w:lvlJc w:val="left"/>
      <w:pPr>
        <w:ind w:left="3491" w:hanging="360"/>
      </w:pPr>
    </w:lvl>
    <w:lvl w:ilvl="5" w:tplc="0409001B" w:tentative="1">
      <w:start w:val="1"/>
      <w:numFmt w:val="lowerRoman"/>
      <w:lvlText w:val="%6."/>
      <w:lvlJc w:val="right"/>
      <w:pPr>
        <w:ind w:left="4211" w:hanging="180"/>
      </w:pPr>
    </w:lvl>
    <w:lvl w:ilvl="6" w:tplc="0409000F" w:tentative="1">
      <w:start w:val="1"/>
      <w:numFmt w:val="decimal"/>
      <w:lvlText w:val="%7."/>
      <w:lvlJc w:val="left"/>
      <w:pPr>
        <w:ind w:left="4931" w:hanging="360"/>
      </w:pPr>
    </w:lvl>
    <w:lvl w:ilvl="7" w:tplc="04090019" w:tentative="1">
      <w:start w:val="1"/>
      <w:numFmt w:val="lowerLetter"/>
      <w:lvlText w:val="%8."/>
      <w:lvlJc w:val="left"/>
      <w:pPr>
        <w:ind w:left="5651" w:hanging="360"/>
      </w:pPr>
    </w:lvl>
    <w:lvl w:ilvl="8" w:tplc="0409001B" w:tentative="1">
      <w:start w:val="1"/>
      <w:numFmt w:val="lowerRoman"/>
      <w:lvlText w:val="%9."/>
      <w:lvlJc w:val="right"/>
      <w:pPr>
        <w:ind w:left="6371" w:hanging="180"/>
      </w:pPr>
    </w:lvl>
  </w:abstractNum>
  <w:abstractNum w:abstractNumId="11" w15:restartNumberingAfterBreak="0">
    <w:nsid w:val="19DE7FCE"/>
    <w:multiLevelType w:val="hybridMultilevel"/>
    <w:tmpl w:val="100293C4"/>
    <w:lvl w:ilvl="0" w:tplc="39421D38">
      <w:start w:val="1"/>
      <w:numFmt w:val="upperRoman"/>
      <w:pStyle w:val="Heading1"/>
      <w:lvlText w:val="%1."/>
      <w:lvlJc w:val="left"/>
      <w:pPr>
        <w:ind w:left="0" w:hanging="720"/>
      </w:pPr>
      <w:rPr>
        <w:rFonts w:ascii="Cambria" w:hAnsi="Cambria" w:hint="default"/>
        <w:b/>
        <w:bCs/>
        <w:i w:val="0"/>
        <w:iCs w:val="0"/>
        <w:caps w:val="0"/>
        <w:smallCaps w:val="0"/>
        <w:strike w:val="0"/>
        <w:dstrike w:val="0"/>
        <w:outline w:val="0"/>
        <w:shadow w:val="0"/>
        <w:emboss w:val="0"/>
        <w:imprint w:val="0"/>
        <w:noProof w:val="0"/>
        <w:vanish w:val="0"/>
        <w:color w:val="18424E"/>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63E9B"/>
    <w:multiLevelType w:val="multilevel"/>
    <w:tmpl w:val="DC5C59A4"/>
    <w:lvl w:ilvl="0">
      <w:start w:val="1"/>
      <w:numFmt w:val="upperRoman"/>
      <w:lvlText w:val="%1."/>
      <w:lvlJc w:val="left"/>
      <w:pPr>
        <w:ind w:left="0" w:hanging="720"/>
      </w:pPr>
      <w:rPr>
        <w:rFonts w:ascii="Cambria" w:hAnsi="Cambria" w:hint="default"/>
        <w:b/>
        <w:bCs/>
        <w:i w:val="0"/>
        <w:iCs w:val="0"/>
        <w:caps w:val="0"/>
        <w:smallCaps w:val="0"/>
        <w:strike w:val="0"/>
        <w:dstrike w:val="0"/>
        <w:outline w:val="0"/>
        <w:shadow w:val="0"/>
        <w:emboss w:val="0"/>
        <w:imprint w:val="0"/>
        <w:noProof w:val="0"/>
        <w:vanish w:val="0"/>
        <w:color w:val="18424E"/>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E2581A"/>
    <w:multiLevelType w:val="hybridMultilevel"/>
    <w:tmpl w:val="0032C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0108B"/>
    <w:multiLevelType w:val="hybridMultilevel"/>
    <w:tmpl w:val="41A47BA6"/>
    <w:lvl w:ilvl="0" w:tplc="1E3C295E">
      <w:start w:val="2"/>
      <w:numFmt w:val="upperRoman"/>
      <w:lvlText w:val="%1."/>
      <w:lvlJc w:val="left"/>
      <w:pPr>
        <w:ind w:left="-360" w:hanging="360"/>
      </w:pPr>
      <w:rPr>
        <w:rFonts w:hint="default"/>
        <w:b w:val="0"/>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710FF"/>
    <w:multiLevelType w:val="multilevel"/>
    <w:tmpl w:val="316A3CCE"/>
    <w:lvl w:ilvl="0">
      <w:start w:val="1"/>
      <w:numFmt w:val="upperRoman"/>
      <w:lvlText w:val="%1."/>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4B5A6D"/>
    <w:multiLevelType w:val="singleLevel"/>
    <w:tmpl w:val="3BBE406E"/>
    <w:lvl w:ilvl="0">
      <w:start w:val="1"/>
      <w:numFmt w:val="bullet"/>
      <w:lvlText w:val=""/>
      <w:lvlJc w:val="left"/>
      <w:pPr>
        <w:ind w:left="360" w:hanging="360"/>
      </w:pPr>
      <w:rPr>
        <w:rFonts w:ascii="Symbol" w:hAnsi="Symbol" w:hint="default"/>
        <w:color w:val="7F7F7F" w:themeColor="text1" w:themeTint="80"/>
      </w:rPr>
    </w:lvl>
  </w:abstractNum>
  <w:abstractNum w:abstractNumId="17" w15:restartNumberingAfterBreak="0">
    <w:nsid w:val="4151782A"/>
    <w:multiLevelType w:val="hybridMultilevel"/>
    <w:tmpl w:val="4ED238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50487"/>
    <w:multiLevelType w:val="hybridMultilevel"/>
    <w:tmpl w:val="07883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724FB6"/>
    <w:multiLevelType w:val="hybridMultilevel"/>
    <w:tmpl w:val="1CCE681C"/>
    <w:lvl w:ilvl="0" w:tplc="B9BE459E">
      <w:start w:val="1"/>
      <w:numFmt w:val="upperLetter"/>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20" w15:restartNumberingAfterBreak="0">
    <w:nsid w:val="61455BA9"/>
    <w:multiLevelType w:val="hybridMultilevel"/>
    <w:tmpl w:val="66C27DAE"/>
    <w:lvl w:ilvl="0" w:tplc="24F07F76">
      <w:start w:val="2019"/>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942B2B"/>
    <w:multiLevelType w:val="hybridMultilevel"/>
    <w:tmpl w:val="4E021FC8"/>
    <w:lvl w:ilvl="0" w:tplc="BC849B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12741"/>
    <w:multiLevelType w:val="hybridMultilevel"/>
    <w:tmpl w:val="DE4A4288"/>
    <w:lvl w:ilvl="0" w:tplc="B94ACD62">
      <w:start w:val="2019"/>
      <w:numFmt w:val="bullet"/>
      <w:lvlText w:val="-"/>
      <w:lvlJc w:val="left"/>
      <w:pPr>
        <w:ind w:left="1080" w:hanging="360"/>
      </w:pPr>
      <w:rPr>
        <w:rFonts w:ascii="Optima" w:eastAsia="Times New Roman" w:hAnsi="Optim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F0A07B4"/>
    <w:multiLevelType w:val="hybridMultilevel"/>
    <w:tmpl w:val="FB382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3"/>
  </w:num>
  <w:num w:numId="5">
    <w:abstractNumId w:val="2"/>
  </w:num>
  <w:num w:numId="6">
    <w:abstractNumId w:val="8"/>
    <w:lvlOverride w:ilvl="0">
      <w:startOverride w:val="1"/>
    </w:lvlOverride>
  </w:num>
  <w:num w:numId="7">
    <w:abstractNumId w:val="8"/>
    <w:lvlOverride w:ilvl="0">
      <w:startOverride w:val="1"/>
    </w:lvlOverride>
  </w:num>
  <w:num w:numId="8">
    <w:abstractNumId w:val="16"/>
  </w:num>
  <w:num w:numId="9">
    <w:abstractNumId w:val="17"/>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3"/>
  </w:num>
  <w:num w:numId="21">
    <w:abstractNumId w:val="10"/>
  </w:num>
  <w:num w:numId="22">
    <w:abstractNumId w:val="19"/>
  </w:num>
  <w:num w:numId="23">
    <w:abstractNumId w:val="8"/>
  </w:num>
  <w:num w:numId="24">
    <w:abstractNumId w:val="20"/>
  </w:num>
  <w:num w:numId="25">
    <w:abstractNumId w:val="22"/>
  </w:num>
  <w:num w:numId="26">
    <w:abstractNumId w:val="13"/>
  </w:num>
  <w:num w:numId="27">
    <w:abstractNumId w:val="0"/>
  </w:num>
  <w:num w:numId="28">
    <w:abstractNumId w:val="1"/>
  </w:num>
  <w:num w:numId="29">
    <w:abstractNumId w:val="4"/>
  </w:num>
  <w:num w:numId="30">
    <w:abstractNumId w:val="5"/>
  </w:num>
  <w:num w:numId="31">
    <w:abstractNumId w:val="6"/>
  </w:num>
  <w:num w:numId="32">
    <w:abstractNumId w:val="11"/>
  </w:num>
  <w:num w:numId="33">
    <w:abstractNumId w:val="15"/>
  </w:num>
  <w:num w:numId="34">
    <w:abstractNumId w:val="12"/>
  </w:num>
  <w:num w:numId="35">
    <w:abstractNumId w:val="21"/>
  </w:num>
  <w:num w:numId="36">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HfkjRZJlNmogoGvYZ/2hTWNvJD4VbmUypMaAHK+/8yr7Upeu3LPKWKi3bBf9zNmQw+SACMZxDYqy4QhJpJg1BQ==" w:salt="rEGgJsW9qpSKIZ8JIlgazg=="/>
  <w:defaultTabStop w:val="720"/>
  <w:defaultTableStyle w:val="EconSys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E09"/>
    <w:rsid w:val="0000028F"/>
    <w:rsid w:val="0000063A"/>
    <w:rsid w:val="0000097E"/>
    <w:rsid w:val="00000BC5"/>
    <w:rsid w:val="000024AE"/>
    <w:rsid w:val="00002753"/>
    <w:rsid w:val="00002B8F"/>
    <w:rsid w:val="0000302A"/>
    <w:rsid w:val="000035A9"/>
    <w:rsid w:val="00004FD6"/>
    <w:rsid w:val="000055B6"/>
    <w:rsid w:val="000065A2"/>
    <w:rsid w:val="00006812"/>
    <w:rsid w:val="00007246"/>
    <w:rsid w:val="00007441"/>
    <w:rsid w:val="000077D3"/>
    <w:rsid w:val="000100C4"/>
    <w:rsid w:val="0001026B"/>
    <w:rsid w:val="00010E31"/>
    <w:rsid w:val="000112F3"/>
    <w:rsid w:val="00011807"/>
    <w:rsid w:val="0001180B"/>
    <w:rsid w:val="0001216B"/>
    <w:rsid w:val="00012DF8"/>
    <w:rsid w:val="00013250"/>
    <w:rsid w:val="0001368E"/>
    <w:rsid w:val="00013791"/>
    <w:rsid w:val="00014005"/>
    <w:rsid w:val="00014151"/>
    <w:rsid w:val="000147DE"/>
    <w:rsid w:val="00014B8F"/>
    <w:rsid w:val="0001509C"/>
    <w:rsid w:val="00015E17"/>
    <w:rsid w:val="000173D4"/>
    <w:rsid w:val="00017C97"/>
    <w:rsid w:val="0002018A"/>
    <w:rsid w:val="000203D4"/>
    <w:rsid w:val="00021EC7"/>
    <w:rsid w:val="000226F1"/>
    <w:rsid w:val="00022B8D"/>
    <w:rsid w:val="00022F76"/>
    <w:rsid w:val="000230DA"/>
    <w:rsid w:val="00023280"/>
    <w:rsid w:val="00023A3A"/>
    <w:rsid w:val="00023EAD"/>
    <w:rsid w:val="0002426C"/>
    <w:rsid w:val="000244FB"/>
    <w:rsid w:val="00025656"/>
    <w:rsid w:val="00025DEF"/>
    <w:rsid w:val="00025DFA"/>
    <w:rsid w:val="00027030"/>
    <w:rsid w:val="00027CE1"/>
    <w:rsid w:val="0003065B"/>
    <w:rsid w:val="00030690"/>
    <w:rsid w:val="00030A7B"/>
    <w:rsid w:val="0003146B"/>
    <w:rsid w:val="00031D31"/>
    <w:rsid w:val="00031F10"/>
    <w:rsid w:val="000320FD"/>
    <w:rsid w:val="000327C9"/>
    <w:rsid w:val="00032A8C"/>
    <w:rsid w:val="00032E80"/>
    <w:rsid w:val="0003304B"/>
    <w:rsid w:val="000332CE"/>
    <w:rsid w:val="000333BC"/>
    <w:rsid w:val="00033459"/>
    <w:rsid w:val="000338ED"/>
    <w:rsid w:val="00033C81"/>
    <w:rsid w:val="00035270"/>
    <w:rsid w:val="0003541F"/>
    <w:rsid w:val="00035A45"/>
    <w:rsid w:val="000365A1"/>
    <w:rsid w:val="000366AC"/>
    <w:rsid w:val="0003674F"/>
    <w:rsid w:val="00036873"/>
    <w:rsid w:val="00036C1F"/>
    <w:rsid w:val="00036F29"/>
    <w:rsid w:val="00036F49"/>
    <w:rsid w:val="000371F4"/>
    <w:rsid w:val="00037587"/>
    <w:rsid w:val="00037C4E"/>
    <w:rsid w:val="00040C6A"/>
    <w:rsid w:val="00040F28"/>
    <w:rsid w:val="00041045"/>
    <w:rsid w:val="00041320"/>
    <w:rsid w:val="00041428"/>
    <w:rsid w:val="00041760"/>
    <w:rsid w:val="0004188B"/>
    <w:rsid w:val="000419CA"/>
    <w:rsid w:val="00042CD1"/>
    <w:rsid w:val="00042DB2"/>
    <w:rsid w:val="00042FFC"/>
    <w:rsid w:val="0004323D"/>
    <w:rsid w:val="000432D9"/>
    <w:rsid w:val="000433D2"/>
    <w:rsid w:val="0004394E"/>
    <w:rsid w:val="00043A24"/>
    <w:rsid w:val="000442C4"/>
    <w:rsid w:val="000449DD"/>
    <w:rsid w:val="00045150"/>
    <w:rsid w:val="00045A1C"/>
    <w:rsid w:val="0004603B"/>
    <w:rsid w:val="0004656A"/>
    <w:rsid w:val="00046767"/>
    <w:rsid w:val="00047BBF"/>
    <w:rsid w:val="00051981"/>
    <w:rsid w:val="000521A1"/>
    <w:rsid w:val="00052493"/>
    <w:rsid w:val="00052606"/>
    <w:rsid w:val="000540E3"/>
    <w:rsid w:val="00054103"/>
    <w:rsid w:val="00055456"/>
    <w:rsid w:val="000557BD"/>
    <w:rsid w:val="00055B05"/>
    <w:rsid w:val="00055B64"/>
    <w:rsid w:val="00055BD2"/>
    <w:rsid w:val="0005713F"/>
    <w:rsid w:val="00057434"/>
    <w:rsid w:val="00057684"/>
    <w:rsid w:val="00057F2E"/>
    <w:rsid w:val="00060365"/>
    <w:rsid w:val="00060F12"/>
    <w:rsid w:val="000612E3"/>
    <w:rsid w:val="0006131D"/>
    <w:rsid w:val="000616EE"/>
    <w:rsid w:val="0006363F"/>
    <w:rsid w:val="00063F0B"/>
    <w:rsid w:val="00064045"/>
    <w:rsid w:val="00064598"/>
    <w:rsid w:val="000648F7"/>
    <w:rsid w:val="00064A8C"/>
    <w:rsid w:val="00064A9B"/>
    <w:rsid w:val="00065024"/>
    <w:rsid w:val="000658C4"/>
    <w:rsid w:val="000660E9"/>
    <w:rsid w:val="000660ED"/>
    <w:rsid w:val="00066343"/>
    <w:rsid w:val="0006656A"/>
    <w:rsid w:val="000665ED"/>
    <w:rsid w:val="00066618"/>
    <w:rsid w:val="00066EE1"/>
    <w:rsid w:val="00067177"/>
    <w:rsid w:val="00067C9C"/>
    <w:rsid w:val="00067F70"/>
    <w:rsid w:val="0007028C"/>
    <w:rsid w:val="00070497"/>
    <w:rsid w:val="000710C0"/>
    <w:rsid w:val="000717EE"/>
    <w:rsid w:val="00071E81"/>
    <w:rsid w:val="00072A39"/>
    <w:rsid w:val="00073008"/>
    <w:rsid w:val="00073785"/>
    <w:rsid w:val="000748AF"/>
    <w:rsid w:val="00074A06"/>
    <w:rsid w:val="00074A8E"/>
    <w:rsid w:val="00074E43"/>
    <w:rsid w:val="00075900"/>
    <w:rsid w:val="000764E7"/>
    <w:rsid w:val="00076C4F"/>
    <w:rsid w:val="000776D7"/>
    <w:rsid w:val="0007798B"/>
    <w:rsid w:val="00077F5F"/>
    <w:rsid w:val="000800AF"/>
    <w:rsid w:val="00080710"/>
    <w:rsid w:val="00080C47"/>
    <w:rsid w:val="00080FF3"/>
    <w:rsid w:val="00081836"/>
    <w:rsid w:val="00081A41"/>
    <w:rsid w:val="00081B18"/>
    <w:rsid w:val="00082467"/>
    <w:rsid w:val="00082B9E"/>
    <w:rsid w:val="000830AC"/>
    <w:rsid w:val="00083F6F"/>
    <w:rsid w:val="00084267"/>
    <w:rsid w:val="000847E4"/>
    <w:rsid w:val="00084F96"/>
    <w:rsid w:val="000850FC"/>
    <w:rsid w:val="000854B9"/>
    <w:rsid w:val="000854CC"/>
    <w:rsid w:val="000856A0"/>
    <w:rsid w:val="00085962"/>
    <w:rsid w:val="00085D55"/>
    <w:rsid w:val="000862F9"/>
    <w:rsid w:val="0008682B"/>
    <w:rsid w:val="00086A85"/>
    <w:rsid w:val="00087781"/>
    <w:rsid w:val="00087B1F"/>
    <w:rsid w:val="00090081"/>
    <w:rsid w:val="000906EB"/>
    <w:rsid w:val="000908F0"/>
    <w:rsid w:val="00090BD0"/>
    <w:rsid w:val="00090C42"/>
    <w:rsid w:val="000920A5"/>
    <w:rsid w:val="0009376B"/>
    <w:rsid w:val="0009489B"/>
    <w:rsid w:val="00094AA2"/>
    <w:rsid w:val="0009669A"/>
    <w:rsid w:val="00096E33"/>
    <w:rsid w:val="00097085"/>
    <w:rsid w:val="00097140"/>
    <w:rsid w:val="000A057D"/>
    <w:rsid w:val="000A10E0"/>
    <w:rsid w:val="000A1C4A"/>
    <w:rsid w:val="000A1D63"/>
    <w:rsid w:val="000A1E82"/>
    <w:rsid w:val="000A3879"/>
    <w:rsid w:val="000A3D3C"/>
    <w:rsid w:val="000A3D7D"/>
    <w:rsid w:val="000A4697"/>
    <w:rsid w:val="000A4CC9"/>
    <w:rsid w:val="000A4D29"/>
    <w:rsid w:val="000A55C1"/>
    <w:rsid w:val="000A5D77"/>
    <w:rsid w:val="000A68E4"/>
    <w:rsid w:val="000A6967"/>
    <w:rsid w:val="000B3008"/>
    <w:rsid w:val="000B3587"/>
    <w:rsid w:val="000B3689"/>
    <w:rsid w:val="000B4247"/>
    <w:rsid w:val="000B4E11"/>
    <w:rsid w:val="000B4E34"/>
    <w:rsid w:val="000B504C"/>
    <w:rsid w:val="000B61B8"/>
    <w:rsid w:val="000B70C4"/>
    <w:rsid w:val="000B734F"/>
    <w:rsid w:val="000C001D"/>
    <w:rsid w:val="000C0D2E"/>
    <w:rsid w:val="000C1118"/>
    <w:rsid w:val="000C12C9"/>
    <w:rsid w:val="000C1FE0"/>
    <w:rsid w:val="000C2382"/>
    <w:rsid w:val="000C24AD"/>
    <w:rsid w:val="000C2739"/>
    <w:rsid w:val="000C28C9"/>
    <w:rsid w:val="000C2F44"/>
    <w:rsid w:val="000C358F"/>
    <w:rsid w:val="000C37D3"/>
    <w:rsid w:val="000C43AD"/>
    <w:rsid w:val="000C52D1"/>
    <w:rsid w:val="000C6B5F"/>
    <w:rsid w:val="000C744C"/>
    <w:rsid w:val="000C7F7B"/>
    <w:rsid w:val="000D0E70"/>
    <w:rsid w:val="000D192E"/>
    <w:rsid w:val="000D214D"/>
    <w:rsid w:val="000D2286"/>
    <w:rsid w:val="000D2CD4"/>
    <w:rsid w:val="000D39E1"/>
    <w:rsid w:val="000D3B8B"/>
    <w:rsid w:val="000D405C"/>
    <w:rsid w:val="000D4F91"/>
    <w:rsid w:val="000D53F9"/>
    <w:rsid w:val="000D61B0"/>
    <w:rsid w:val="000D6C24"/>
    <w:rsid w:val="000D7BF1"/>
    <w:rsid w:val="000D7C9A"/>
    <w:rsid w:val="000D7DAA"/>
    <w:rsid w:val="000E019D"/>
    <w:rsid w:val="000E035B"/>
    <w:rsid w:val="000E0575"/>
    <w:rsid w:val="000E085F"/>
    <w:rsid w:val="000E0C9A"/>
    <w:rsid w:val="000E0FDD"/>
    <w:rsid w:val="000E24BA"/>
    <w:rsid w:val="000E2D7A"/>
    <w:rsid w:val="000E2E93"/>
    <w:rsid w:val="000E2F38"/>
    <w:rsid w:val="000E3048"/>
    <w:rsid w:val="000E40BE"/>
    <w:rsid w:val="000E46E7"/>
    <w:rsid w:val="000E4706"/>
    <w:rsid w:val="000E474F"/>
    <w:rsid w:val="000E4CAB"/>
    <w:rsid w:val="000E4EEE"/>
    <w:rsid w:val="000E5C17"/>
    <w:rsid w:val="000E6079"/>
    <w:rsid w:val="000E649E"/>
    <w:rsid w:val="000E6927"/>
    <w:rsid w:val="000E6EEA"/>
    <w:rsid w:val="000E71C4"/>
    <w:rsid w:val="000E76FF"/>
    <w:rsid w:val="000E7A7D"/>
    <w:rsid w:val="000F0158"/>
    <w:rsid w:val="000F065B"/>
    <w:rsid w:val="000F158B"/>
    <w:rsid w:val="000F1F9C"/>
    <w:rsid w:val="000F2740"/>
    <w:rsid w:val="000F27FD"/>
    <w:rsid w:val="000F2AD7"/>
    <w:rsid w:val="000F2F79"/>
    <w:rsid w:val="000F3D10"/>
    <w:rsid w:val="000F48B6"/>
    <w:rsid w:val="000F55AF"/>
    <w:rsid w:val="000F55E4"/>
    <w:rsid w:val="000F62B6"/>
    <w:rsid w:val="000F6D63"/>
    <w:rsid w:val="000F7162"/>
    <w:rsid w:val="001009B4"/>
    <w:rsid w:val="00100BA2"/>
    <w:rsid w:val="001011D0"/>
    <w:rsid w:val="0010170A"/>
    <w:rsid w:val="00102147"/>
    <w:rsid w:val="00102732"/>
    <w:rsid w:val="0010330E"/>
    <w:rsid w:val="00104325"/>
    <w:rsid w:val="00104A14"/>
    <w:rsid w:val="00105535"/>
    <w:rsid w:val="00105F72"/>
    <w:rsid w:val="001068B6"/>
    <w:rsid w:val="00106C86"/>
    <w:rsid w:val="00106E61"/>
    <w:rsid w:val="00107331"/>
    <w:rsid w:val="00107F22"/>
    <w:rsid w:val="00110E95"/>
    <w:rsid w:val="0011152F"/>
    <w:rsid w:val="00111699"/>
    <w:rsid w:val="00111E71"/>
    <w:rsid w:val="001124AB"/>
    <w:rsid w:val="00112638"/>
    <w:rsid w:val="00113DA0"/>
    <w:rsid w:val="00114138"/>
    <w:rsid w:val="001147B8"/>
    <w:rsid w:val="00114961"/>
    <w:rsid w:val="00115AEA"/>
    <w:rsid w:val="001167B7"/>
    <w:rsid w:val="00117A8F"/>
    <w:rsid w:val="001201C8"/>
    <w:rsid w:val="0012035B"/>
    <w:rsid w:val="00120608"/>
    <w:rsid w:val="00120AC5"/>
    <w:rsid w:val="00120C9B"/>
    <w:rsid w:val="001211CE"/>
    <w:rsid w:val="001214AA"/>
    <w:rsid w:val="0012194E"/>
    <w:rsid w:val="001221C5"/>
    <w:rsid w:val="001227C5"/>
    <w:rsid w:val="00122A17"/>
    <w:rsid w:val="00123565"/>
    <w:rsid w:val="00123725"/>
    <w:rsid w:val="00123782"/>
    <w:rsid w:val="00123E9A"/>
    <w:rsid w:val="0012453F"/>
    <w:rsid w:val="00124CF1"/>
    <w:rsid w:val="001253B5"/>
    <w:rsid w:val="00125741"/>
    <w:rsid w:val="001259A1"/>
    <w:rsid w:val="00125BE1"/>
    <w:rsid w:val="00125C1E"/>
    <w:rsid w:val="00126552"/>
    <w:rsid w:val="001268B6"/>
    <w:rsid w:val="00126A10"/>
    <w:rsid w:val="00127A0B"/>
    <w:rsid w:val="00127F6B"/>
    <w:rsid w:val="00130C44"/>
    <w:rsid w:val="00130CA1"/>
    <w:rsid w:val="00130CA7"/>
    <w:rsid w:val="00130E27"/>
    <w:rsid w:val="00131224"/>
    <w:rsid w:val="00131F61"/>
    <w:rsid w:val="00132578"/>
    <w:rsid w:val="00132C4B"/>
    <w:rsid w:val="00133862"/>
    <w:rsid w:val="001338A0"/>
    <w:rsid w:val="00133AB2"/>
    <w:rsid w:val="00134509"/>
    <w:rsid w:val="001350E2"/>
    <w:rsid w:val="001353CF"/>
    <w:rsid w:val="0013568E"/>
    <w:rsid w:val="00135747"/>
    <w:rsid w:val="0013581F"/>
    <w:rsid w:val="0013596C"/>
    <w:rsid w:val="0013622E"/>
    <w:rsid w:val="001368D4"/>
    <w:rsid w:val="00136DF5"/>
    <w:rsid w:val="001373F4"/>
    <w:rsid w:val="00137547"/>
    <w:rsid w:val="00137F09"/>
    <w:rsid w:val="001407A3"/>
    <w:rsid w:val="00140FF4"/>
    <w:rsid w:val="00141537"/>
    <w:rsid w:val="00141B78"/>
    <w:rsid w:val="00141BB0"/>
    <w:rsid w:val="00142D02"/>
    <w:rsid w:val="00142D46"/>
    <w:rsid w:val="00142E90"/>
    <w:rsid w:val="00143334"/>
    <w:rsid w:val="00143C70"/>
    <w:rsid w:val="00143F4D"/>
    <w:rsid w:val="00144253"/>
    <w:rsid w:val="00144363"/>
    <w:rsid w:val="0014443E"/>
    <w:rsid w:val="00144C03"/>
    <w:rsid w:val="00144C10"/>
    <w:rsid w:val="00144FA9"/>
    <w:rsid w:val="001455EC"/>
    <w:rsid w:val="001456CD"/>
    <w:rsid w:val="00145C80"/>
    <w:rsid w:val="001467EA"/>
    <w:rsid w:val="00146AEA"/>
    <w:rsid w:val="0014762A"/>
    <w:rsid w:val="0014783A"/>
    <w:rsid w:val="001479C8"/>
    <w:rsid w:val="00147B8B"/>
    <w:rsid w:val="00150560"/>
    <w:rsid w:val="00150863"/>
    <w:rsid w:val="00150905"/>
    <w:rsid w:val="0015092A"/>
    <w:rsid w:val="001511A6"/>
    <w:rsid w:val="001511CF"/>
    <w:rsid w:val="001515B7"/>
    <w:rsid w:val="001519BD"/>
    <w:rsid w:val="00152A85"/>
    <w:rsid w:val="001534FC"/>
    <w:rsid w:val="00153F47"/>
    <w:rsid w:val="001540AA"/>
    <w:rsid w:val="001546C5"/>
    <w:rsid w:val="0015487C"/>
    <w:rsid w:val="001552C5"/>
    <w:rsid w:val="00156CEE"/>
    <w:rsid w:val="00157D66"/>
    <w:rsid w:val="0016085A"/>
    <w:rsid w:val="00161093"/>
    <w:rsid w:val="00161545"/>
    <w:rsid w:val="0016210F"/>
    <w:rsid w:val="0016256F"/>
    <w:rsid w:val="001626BA"/>
    <w:rsid w:val="00162922"/>
    <w:rsid w:val="00163689"/>
    <w:rsid w:val="00163BDA"/>
    <w:rsid w:val="00165156"/>
    <w:rsid w:val="001653A0"/>
    <w:rsid w:val="001666DE"/>
    <w:rsid w:val="00166989"/>
    <w:rsid w:val="00167184"/>
    <w:rsid w:val="001671C5"/>
    <w:rsid w:val="00167680"/>
    <w:rsid w:val="0016782B"/>
    <w:rsid w:val="001702CB"/>
    <w:rsid w:val="001709D0"/>
    <w:rsid w:val="00170A31"/>
    <w:rsid w:val="00171088"/>
    <w:rsid w:val="00171101"/>
    <w:rsid w:val="00171E66"/>
    <w:rsid w:val="00172983"/>
    <w:rsid w:val="00172DDF"/>
    <w:rsid w:val="00172E4F"/>
    <w:rsid w:val="0017308D"/>
    <w:rsid w:val="0017338C"/>
    <w:rsid w:val="001736C4"/>
    <w:rsid w:val="001741EE"/>
    <w:rsid w:val="00175571"/>
    <w:rsid w:val="00175AF2"/>
    <w:rsid w:val="00175C4B"/>
    <w:rsid w:val="00176230"/>
    <w:rsid w:val="00176C0F"/>
    <w:rsid w:val="0017719F"/>
    <w:rsid w:val="00177D86"/>
    <w:rsid w:val="001802FD"/>
    <w:rsid w:val="001805A4"/>
    <w:rsid w:val="00180654"/>
    <w:rsid w:val="0018093A"/>
    <w:rsid w:val="001809AF"/>
    <w:rsid w:val="00180A36"/>
    <w:rsid w:val="00180B25"/>
    <w:rsid w:val="0018134F"/>
    <w:rsid w:val="00182500"/>
    <w:rsid w:val="001825FF"/>
    <w:rsid w:val="0018279D"/>
    <w:rsid w:val="00182BF8"/>
    <w:rsid w:val="00182CF6"/>
    <w:rsid w:val="001831CD"/>
    <w:rsid w:val="00183221"/>
    <w:rsid w:val="00183612"/>
    <w:rsid w:val="00183762"/>
    <w:rsid w:val="001839A3"/>
    <w:rsid w:val="00183CE9"/>
    <w:rsid w:val="0018424A"/>
    <w:rsid w:val="00184259"/>
    <w:rsid w:val="00184FD8"/>
    <w:rsid w:val="001859FE"/>
    <w:rsid w:val="00185D05"/>
    <w:rsid w:val="00186102"/>
    <w:rsid w:val="00186117"/>
    <w:rsid w:val="00186A5E"/>
    <w:rsid w:val="00186B47"/>
    <w:rsid w:val="00186E30"/>
    <w:rsid w:val="001873E5"/>
    <w:rsid w:val="0018798F"/>
    <w:rsid w:val="00187F49"/>
    <w:rsid w:val="0019107C"/>
    <w:rsid w:val="00191146"/>
    <w:rsid w:val="00191A1A"/>
    <w:rsid w:val="00192129"/>
    <w:rsid w:val="001921D1"/>
    <w:rsid w:val="0019275D"/>
    <w:rsid w:val="00192908"/>
    <w:rsid w:val="00192CC9"/>
    <w:rsid w:val="00193455"/>
    <w:rsid w:val="001949B7"/>
    <w:rsid w:val="00194D94"/>
    <w:rsid w:val="001955DC"/>
    <w:rsid w:val="00196676"/>
    <w:rsid w:val="00197BF7"/>
    <w:rsid w:val="001A04D7"/>
    <w:rsid w:val="001A0611"/>
    <w:rsid w:val="001A0732"/>
    <w:rsid w:val="001A0751"/>
    <w:rsid w:val="001A0D07"/>
    <w:rsid w:val="001A1B74"/>
    <w:rsid w:val="001A25E4"/>
    <w:rsid w:val="001A281A"/>
    <w:rsid w:val="001A2BA6"/>
    <w:rsid w:val="001A2D68"/>
    <w:rsid w:val="001A33F8"/>
    <w:rsid w:val="001A3FAA"/>
    <w:rsid w:val="001A5495"/>
    <w:rsid w:val="001A5638"/>
    <w:rsid w:val="001A5E1F"/>
    <w:rsid w:val="001A5EFA"/>
    <w:rsid w:val="001A6332"/>
    <w:rsid w:val="001A6E63"/>
    <w:rsid w:val="001A7407"/>
    <w:rsid w:val="001B0408"/>
    <w:rsid w:val="001B0B20"/>
    <w:rsid w:val="001B0CAB"/>
    <w:rsid w:val="001B126B"/>
    <w:rsid w:val="001B177F"/>
    <w:rsid w:val="001B1F3A"/>
    <w:rsid w:val="001B2629"/>
    <w:rsid w:val="001B29BE"/>
    <w:rsid w:val="001B33BC"/>
    <w:rsid w:val="001B3863"/>
    <w:rsid w:val="001B3A02"/>
    <w:rsid w:val="001B3E0A"/>
    <w:rsid w:val="001B422A"/>
    <w:rsid w:val="001B4ED4"/>
    <w:rsid w:val="001B5C7C"/>
    <w:rsid w:val="001B5EEF"/>
    <w:rsid w:val="001B63FD"/>
    <w:rsid w:val="001B644C"/>
    <w:rsid w:val="001B6607"/>
    <w:rsid w:val="001B7192"/>
    <w:rsid w:val="001B7565"/>
    <w:rsid w:val="001C0781"/>
    <w:rsid w:val="001C0E16"/>
    <w:rsid w:val="001C0EE3"/>
    <w:rsid w:val="001C0F81"/>
    <w:rsid w:val="001C12A0"/>
    <w:rsid w:val="001C149E"/>
    <w:rsid w:val="001C18CF"/>
    <w:rsid w:val="001C1CC2"/>
    <w:rsid w:val="001C22C4"/>
    <w:rsid w:val="001C2A4B"/>
    <w:rsid w:val="001C2C5C"/>
    <w:rsid w:val="001C37BE"/>
    <w:rsid w:val="001C4376"/>
    <w:rsid w:val="001C43DF"/>
    <w:rsid w:val="001C45B8"/>
    <w:rsid w:val="001C492A"/>
    <w:rsid w:val="001C4ADF"/>
    <w:rsid w:val="001C4B24"/>
    <w:rsid w:val="001C4D8E"/>
    <w:rsid w:val="001C509A"/>
    <w:rsid w:val="001C5711"/>
    <w:rsid w:val="001C5E2D"/>
    <w:rsid w:val="001C6127"/>
    <w:rsid w:val="001C636B"/>
    <w:rsid w:val="001C67F7"/>
    <w:rsid w:val="001C6A30"/>
    <w:rsid w:val="001C7049"/>
    <w:rsid w:val="001C7171"/>
    <w:rsid w:val="001C76E7"/>
    <w:rsid w:val="001C7CAA"/>
    <w:rsid w:val="001D0C0F"/>
    <w:rsid w:val="001D13D2"/>
    <w:rsid w:val="001D14F8"/>
    <w:rsid w:val="001D28AF"/>
    <w:rsid w:val="001D3C46"/>
    <w:rsid w:val="001D420A"/>
    <w:rsid w:val="001D56AA"/>
    <w:rsid w:val="001D574D"/>
    <w:rsid w:val="001D5C2C"/>
    <w:rsid w:val="001D69D8"/>
    <w:rsid w:val="001D6ECA"/>
    <w:rsid w:val="001D77BF"/>
    <w:rsid w:val="001D792F"/>
    <w:rsid w:val="001E0824"/>
    <w:rsid w:val="001E0CFB"/>
    <w:rsid w:val="001E1527"/>
    <w:rsid w:val="001E18F9"/>
    <w:rsid w:val="001E2244"/>
    <w:rsid w:val="001E22EE"/>
    <w:rsid w:val="001E231A"/>
    <w:rsid w:val="001E26E9"/>
    <w:rsid w:val="001E273A"/>
    <w:rsid w:val="001E2D56"/>
    <w:rsid w:val="001E2F37"/>
    <w:rsid w:val="001E2F72"/>
    <w:rsid w:val="001E2FC6"/>
    <w:rsid w:val="001E3095"/>
    <w:rsid w:val="001E34A0"/>
    <w:rsid w:val="001E5946"/>
    <w:rsid w:val="001E5AD0"/>
    <w:rsid w:val="001E5E07"/>
    <w:rsid w:val="001E6128"/>
    <w:rsid w:val="001E623B"/>
    <w:rsid w:val="001E6297"/>
    <w:rsid w:val="001E6743"/>
    <w:rsid w:val="001E6980"/>
    <w:rsid w:val="001E6BF9"/>
    <w:rsid w:val="001E6CD2"/>
    <w:rsid w:val="001E7174"/>
    <w:rsid w:val="001E7633"/>
    <w:rsid w:val="001E79D0"/>
    <w:rsid w:val="001F04C7"/>
    <w:rsid w:val="001F2167"/>
    <w:rsid w:val="001F2412"/>
    <w:rsid w:val="001F2994"/>
    <w:rsid w:val="001F2DBA"/>
    <w:rsid w:val="001F305E"/>
    <w:rsid w:val="001F42AB"/>
    <w:rsid w:val="001F42C5"/>
    <w:rsid w:val="001F46E6"/>
    <w:rsid w:val="001F4DB1"/>
    <w:rsid w:val="001F568E"/>
    <w:rsid w:val="001F57B0"/>
    <w:rsid w:val="001F5FAC"/>
    <w:rsid w:val="001F6AE2"/>
    <w:rsid w:val="001F6FF2"/>
    <w:rsid w:val="001F733D"/>
    <w:rsid w:val="001F7400"/>
    <w:rsid w:val="00200C59"/>
    <w:rsid w:val="0020150A"/>
    <w:rsid w:val="002022A9"/>
    <w:rsid w:val="00202FA4"/>
    <w:rsid w:val="00203E9A"/>
    <w:rsid w:val="002045B3"/>
    <w:rsid w:val="00204E42"/>
    <w:rsid w:val="0020521D"/>
    <w:rsid w:val="0020568B"/>
    <w:rsid w:val="00205A30"/>
    <w:rsid w:val="00205DD3"/>
    <w:rsid w:val="00205F93"/>
    <w:rsid w:val="002073D0"/>
    <w:rsid w:val="00207824"/>
    <w:rsid w:val="002102B1"/>
    <w:rsid w:val="002114C4"/>
    <w:rsid w:val="00211593"/>
    <w:rsid w:val="00211760"/>
    <w:rsid w:val="00212370"/>
    <w:rsid w:val="00212983"/>
    <w:rsid w:val="00212DE5"/>
    <w:rsid w:val="0021428C"/>
    <w:rsid w:val="00214757"/>
    <w:rsid w:val="002147EC"/>
    <w:rsid w:val="00214872"/>
    <w:rsid w:val="00214EC3"/>
    <w:rsid w:val="0021506E"/>
    <w:rsid w:val="00215AA9"/>
    <w:rsid w:val="00215CD1"/>
    <w:rsid w:val="00215FE7"/>
    <w:rsid w:val="0021687E"/>
    <w:rsid w:val="002169CA"/>
    <w:rsid w:val="00216E84"/>
    <w:rsid w:val="00216FCE"/>
    <w:rsid w:val="002171AA"/>
    <w:rsid w:val="00217819"/>
    <w:rsid w:val="00217C7A"/>
    <w:rsid w:val="00222496"/>
    <w:rsid w:val="0022325B"/>
    <w:rsid w:val="00223715"/>
    <w:rsid w:val="0022372C"/>
    <w:rsid w:val="002238F2"/>
    <w:rsid w:val="0022448D"/>
    <w:rsid w:val="002247B2"/>
    <w:rsid w:val="00224889"/>
    <w:rsid w:val="00224E39"/>
    <w:rsid w:val="00224F3E"/>
    <w:rsid w:val="00225183"/>
    <w:rsid w:val="002257FF"/>
    <w:rsid w:val="00225FFA"/>
    <w:rsid w:val="002268C9"/>
    <w:rsid w:val="00226C9F"/>
    <w:rsid w:val="00226FE0"/>
    <w:rsid w:val="00230559"/>
    <w:rsid w:val="002305BD"/>
    <w:rsid w:val="00230E6C"/>
    <w:rsid w:val="0023112E"/>
    <w:rsid w:val="00231656"/>
    <w:rsid w:val="0023186B"/>
    <w:rsid w:val="00231899"/>
    <w:rsid w:val="00231927"/>
    <w:rsid w:val="00231B5C"/>
    <w:rsid w:val="00231CCF"/>
    <w:rsid w:val="002326EE"/>
    <w:rsid w:val="002329DC"/>
    <w:rsid w:val="00232D16"/>
    <w:rsid w:val="00232F24"/>
    <w:rsid w:val="00233694"/>
    <w:rsid w:val="0023396F"/>
    <w:rsid w:val="002347FD"/>
    <w:rsid w:val="00234B8E"/>
    <w:rsid w:val="002350A1"/>
    <w:rsid w:val="00235614"/>
    <w:rsid w:val="00235A6F"/>
    <w:rsid w:val="00235DAA"/>
    <w:rsid w:val="00235DBC"/>
    <w:rsid w:val="00235DD8"/>
    <w:rsid w:val="00236212"/>
    <w:rsid w:val="002365DC"/>
    <w:rsid w:val="00236B33"/>
    <w:rsid w:val="0023723A"/>
    <w:rsid w:val="002372FC"/>
    <w:rsid w:val="002374F1"/>
    <w:rsid w:val="002379BD"/>
    <w:rsid w:val="00237BBB"/>
    <w:rsid w:val="00237C2B"/>
    <w:rsid w:val="00240009"/>
    <w:rsid w:val="00240DBF"/>
    <w:rsid w:val="0024136C"/>
    <w:rsid w:val="0024194B"/>
    <w:rsid w:val="00242130"/>
    <w:rsid w:val="00242340"/>
    <w:rsid w:val="00243102"/>
    <w:rsid w:val="00243410"/>
    <w:rsid w:val="00244691"/>
    <w:rsid w:val="00244B6B"/>
    <w:rsid w:val="00244CBC"/>
    <w:rsid w:val="002451FF"/>
    <w:rsid w:val="00245C48"/>
    <w:rsid w:val="00245F36"/>
    <w:rsid w:val="0024600B"/>
    <w:rsid w:val="00246CB5"/>
    <w:rsid w:val="00247045"/>
    <w:rsid w:val="00247572"/>
    <w:rsid w:val="002476FD"/>
    <w:rsid w:val="00247726"/>
    <w:rsid w:val="00250365"/>
    <w:rsid w:val="00250464"/>
    <w:rsid w:val="00250924"/>
    <w:rsid w:val="0025147B"/>
    <w:rsid w:val="002514A2"/>
    <w:rsid w:val="00251AF0"/>
    <w:rsid w:val="00251FEB"/>
    <w:rsid w:val="002534E6"/>
    <w:rsid w:val="00253558"/>
    <w:rsid w:val="002536A8"/>
    <w:rsid w:val="0025426C"/>
    <w:rsid w:val="00255848"/>
    <w:rsid w:val="00255F6B"/>
    <w:rsid w:val="00256505"/>
    <w:rsid w:val="00256781"/>
    <w:rsid w:val="0025729F"/>
    <w:rsid w:val="00257BD1"/>
    <w:rsid w:val="00257C22"/>
    <w:rsid w:val="002600C2"/>
    <w:rsid w:val="00260AD8"/>
    <w:rsid w:val="00260BAB"/>
    <w:rsid w:val="00261343"/>
    <w:rsid w:val="002618D2"/>
    <w:rsid w:val="00261AF1"/>
    <w:rsid w:val="00261FC8"/>
    <w:rsid w:val="00262062"/>
    <w:rsid w:val="002624A7"/>
    <w:rsid w:val="002627C9"/>
    <w:rsid w:val="00262BEF"/>
    <w:rsid w:val="0026310C"/>
    <w:rsid w:val="002634A8"/>
    <w:rsid w:val="00263558"/>
    <w:rsid w:val="00263C67"/>
    <w:rsid w:val="00263C85"/>
    <w:rsid w:val="00263D8D"/>
    <w:rsid w:val="00263F56"/>
    <w:rsid w:val="002643D0"/>
    <w:rsid w:val="00264524"/>
    <w:rsid w:val="00264DF5"/>
    <w:rsid w:val="00264EBB"/>
    <w:rsid w:val="00265372"/>
    <w:rsid w:val="00265BAC"/>
    <w:rsid w:val="00266A96"/>
    <w:rsid w:val="00266DFD"/>
    <w:rsid w:val="0026767D"/>
    <w:rsid w:val="00267909"/>
    <w:rsid w:val="00271359"/>
    <w:rsid w:val="00272921"/>
    <w:rsid w:val="00273067"/>
    <w:rsid w:val="0027355B"/>
    <w:rsid w:val="002737AA"/>
    <w:rsid w:val="0027380C"/>
    <w:rsid w:val="0027446A"/>
    <w:rsid w:val="0027485F"/>
    <w:rsid w:val="00276100"/>
    <w:rsid w:val="00276217"/>
    <w:rsid w:val="00276750"/>
    <w:rsid w:val="002773E8"/>
    <w:rsid w:val="0028056E"/>
    <w:rsid w:val="00280859"/>
    <w:rsid w:val="00280EC4"/>
    <w:rsid w:val="00281356"/>
    <w:rsid w:val="0028151A"/>
    <w:rsid w:val="00282079"/>
    <w:rsid w:val="002822FB"/>
    <w:rsid w:val="00282756"/>
    <w:rsid w:val="00282BA7"/>
    <w:rsid w:val="00282BAA"/>
    <w:rsid w:val="00283694"/>
    <w:rsid w:val="002852B3"/>
    <w:rsid w:val="0028571C"/>
    <w:rsid w:val="00286746"/>
    <w:rsid w:val="002872E1"/>
    <w:rsid w:val="0028781B"/>
    <w:rsid w:val="002904A5"/>
    <w:rsid w:val="00291823"/>
    <w:rsid w:val="00292263"/>
    <w:rsid w:val="00292265"/>
    <w:rsid w:val="00292EB9"/>
    <w:rsid w:val="00293575"/>
    <w:rsid w:val="00294522"/>
    <w:rsid w:val="002953C7"/>
    <w:rsid w:val="002954DB"/>
    <w:rsid w:val="0029596C"/>
    <w:rsid w:val="00295F33"/>
    <w:rsid w:val="00296C1A"/>
    <w:rsid w:val="00296D96"/>
    <w:rsid w:val="002973D9"/>
    <w:rsid w:val="00297CD9"/>
    <w:rsid w:val="002A04F0"/>
    <w:rsid w:val="002A0C99"/>
    <w:rsid w:val="002A0E6D"/>
    <w:rsid w:val="002A1613"/>
    <w:rsid w:val="002A1EBB"/>
    <w:rsid w:val="002A2318"/>
    <w:rsid w:val="002A24F4"/>
    <w:rsid w:val="002A3920"/>
    <w:rsid w:val="002A44BE"/>
    <w:rsid w:val="002A54E3"/>
    <w:rsid w:val="002A5BD4"/>
    <w:rsid w:val="002A5EE7"/>
    <w:rsid w:val="002A699B"/>
    <w:rsid w:val="002A756E"/>
    <w:rsid w:val="002A77BE"/>
    <w:rsid w:val="002A78E2"/>
    <w:rsid w:val="002B049C"/>
    <w:rsid w:val="002B0C37"/>
    <w:rsid w:val="002B0D7F"/>
    <w:rsid w:val="002B131A"/>
    <w:rsid w:val="002B1AB6"/>
    <w:rsid w:val="002B1DEB"/>
    <w:rsid w:val="002B1E21"/>
    <w:rsid w:val="002B2533"/>
    <w:rsid w:val="002B4345"/>
    <w:rsid w:val="002B4D53"/>
    <w:rsid w:val="002B55EF"/>
    <w:rsid w:val="002B5819"/>
    <w:rsid w:val="002B5BCD"/>
    <w:rsid w:val="002B5D22"/>
    <w:rsid w:val="002B7297"/>
    <w:rsid w:val="002B7647"/>
    <w:rsid w:val="002B79B2"/>
    <w:rsid w:val="002C0447"/>
    <w:rsid w:val="002C0639"/>
    <w:rsid w:val="002C071A"/>
    <w:rsid w:val="002C09FD"/>
    <w:rsid w:val="002C0D85"/>
    <w:rsid w:val="002C0DC5"/>
    <w:rsid w:val="002C23A2"/>
    <w:rsid w:val="002C37C7"/>
    <w:rsid w:val="002C4713"/>
    <w:rsid w:val="002C4ACA"/>
    <w:rsid w:val="002C4B10"/>
    <w:rsid w:val="002C5068"/>
    <w:rsid w:val="002C5826"/>
    <w:rsid w:val="002C657B"/>
    <w:rsid w:val="002C681D"/>
    <w:rsid w:val="002C71D3"/>
    <w:rsid w:val="002C71F8"/>
    <w:rsid w:val="002C7BD9"/>
    <w:rsid w:val="002C7D84"/>
    <w:rsid w:val="002C7EEE"/>
    <w:rsid w:val="002D05B3"/>
    <w:rsid w:val="002D0BC2"/>
    <w:rsid w:val="002D158F"/>
    <w:rsid w:val="002D21AA"/>
    <w:rsid w:val="002D229A"/>
    <w:rsid w:val="002D257A"/>
    <w:rsid w:val="002D28A3"/>
    <w:rsid w:val="002D2FB9"/>
    <w:rsid w:val="002D4774"/>
    <w:rsid w:val="002D4D75"/>
    <w:rsid w:val="002D4EEC"/>
    <w:rsid w:val="002D55F2"/>
    <w:rsid w:val="002D689F"/>
    <w:rsid w:val="002D6D75"/>
    <w:rsid w:val="002E01A9"/>
    <w:rsid w:val="002E06B8"/>
    <w:rsid w:val="002E0A1D"/>
    <w:rsid w:val="002E1218"/>
    <w:rsid w:val="002E166F"/>
    <w:rsid w:val="002E2595"/>
    <w:rsid w:val="002E2F1A"/>
    <w:rsid w:val="002E3F52"/>
    <w:rsid w:val="002E472A"/>
    <w:rsid w:val="002E4F9C"/>
    <w:rsid w:val="002E5D11"/>
    <w:rsid w:val="002E64CF"/>
    <w:rsid w:val="002E6965"/>
    <w:rsid w:val="002E7E5F"/>
    <w:rsid w:val="002E7E9A"/>
    <w:rsid w:val="002F000E"/>
    <w:rsid w:val="002F052B"/>
    <w:rsid w:val="002F0FFB"/>
    <w:rsid w:val="002F2086"/>
    <w:rsid w:val="002F20A8"/>
    <w:rsid w:val="002F324A"/>
    <w:rsid w:val="002F374F"/>
    <w:rsid w:val="002F3DC6"/>
    <w:rsid w:val="002F4B2E"/>
    <w:rsid w:val="002F50EF"/>
    <w:rsid w:val="002F53D5"/>
    <w:rsid w:val="002F54D9"/>
    <w:rsid w:val="002F59BC"/>
    <w:rsid w:val="002F6070"/>
    <w:rsid w:val="002F60C0"/>
    <w:rsid w:val="002F6620"/>
    <w:rsid w:val="002F6888"/>
    <w:rsid w:val="002F7295"/>
    <w:rsid w:val="003016FD"/>
    <w:rsid w:val="00301C6B"/>
    <w:rsid w:val="00301DAA"/>
    <w:rsid w:val="00301FF2"/>
    <w:rsid w:val="00302617"/>
    <w:rsid w:val="0030312C"/>
    <w:rsid w:val="0030319F"/>
    <w:rsid w:val="003031A9"/>
    <w:rsid w:val="00303377"/>
    <w:rsid w:val="003035D6"/>
    <w:rsid w:val="00303659"/>
    <w:rsid w:val="00305196"/>
    <w:rsid w:val="00305311"/>
    <w:rsid w:val="00305A83"/>
    <w:rsid w:val="00305CE9"/>
    <w:rsid w:val="003063B0"/>
    <w:rsid w:val="00306F38"/>
    <w:rsid w:val="003073EB"/>
    <w:rsid w:val="00307613"/>
    <w:rsid w:val="00307859"/>
    <w:rsid w:val="0030793F"/>
    <w:rsid w:val="00307A55"/>
    <w:rsid w:val="00307A9C"/>
    <w:rsid w:val="00310E28"/>
    <w:rsid w:val="0031119C"/>
    <w:rsid w:val="00311DE1"/>
    <w:rsid w:val="00312093"/>
    <w:rsid w:val="003127BB"/>
    <w:rsid w:val="00313A66"/>
    <w:rsid w:val="003151E4"/>
    <w:rsid w:val="003153B6"/>
    <w:rsid w:val="00315719"/>
    <w:rsid w:val="00315846"/>
    <w:rsid w:val="0031612B"/>
    <w:rsid w:val="003165B6"/>
    <w:rsid w:val="0031746E"/>
    <w:rsid w:val="003175D1"/>
    <w:rsid w:val="00317B7F"/>
    <w:rsid w:val="003200A6"/>
    <w:rsid w:val="00320B8C"/>
    <w:rsid w:val="00320BA5"/>
    <w:rsid w:val="003218A3"/>
    <w:rsid w:val="00321F80"/>
    <w:rsid w:val="00322B5B"/>
    <w:rsid w:val="00322B83"/>
    <w:rsid w:val="00322C8D"/>
    <w:rsid w:val="003237E7"/>
    <w:rsid w:val="003239F9"/>
    <w:rsid w:val="00323E00"/>
    <w:rsid w:val="00324122"/>
    <w:rsid w:val="0032452A"/>
    <w:rsid w:val="00324F77"/>
    <w:rsid w:val="0032663C"/>
    <w:rsid w:val="00327911"/>
    <w:rsid w:val="00330779"/>
    <w:rsid w:val="0033181C"/>
    <w:rsid w:val="00333744"/>
    <w:rsid w:val="00333F62"/>
    <w:rsid w:val="00334603"/>
    <w:rsid w:val="00334E0C"/>
    <w:rsid w:val="0033577C"/>
    <w:rsid w:val="0033588D"/>
    <w:rsid w:val="00335E2C"/>
    <w:rsid w:val="00335F87"/>
    <w:rsid w:val="0033655D"/>
    <w:rsid w:val="0033729B"/>
    <w:rsid w:val="003401D9"/>
    <w:rsid w:val="00340705"/>
    <w:rsid w:val="00340756"/>
    <w:rsid w:val="00340FF4"/>
    <w:rsid w:val="00341E16"/>
    <w:rsid w:val="003432E7"/>
    <w:rsid w:val="003435A9"/>
    <w:rsid w:val="00343F83"/>
    <w:rsid w:val="0034451C"/>
    <w:rsid w:val="00344B9C"/>
    <w:rsid w:val="00344EC8"/>
    <w:rsid w:val="003461F4"/>
    <w:rsid w:val="00346489"/>
    <w:rsid w:val="00347E15"/>
    <w:rsid w:val="0035039D"/>
    <w:rsid w:val="003504C0"/>
    <w:rsid w:val="003506C1"/>
    <w:rsid w:val="003508F8"/>
    <w:rsid w:val="003510E5"/>
    <w:rsid w:val="0035117B"/>
    <w:rsid w:val="00352631"/>
    <w:rsid w:val="003527EF"/>
    <w:rsid w:val="00353B39"/>
    <w:rsid w:val="003545F6"/>
    <w:rsid w:val="0035488E"/>
    <w:rsid w:val="00354CAD"/>
    <w:rsid w:val="0035504C"/>
    <w:rsid w:val="003553B1"/>
    <w:rsid w:val="00356213"/>
    <w:rsid w:val="0035622C"/>
    <w:rsid w:val="0035635D"/>
    <w:rsid w:val="0035640D"/>
    <w:rsid w:val="00356CE2"/>
    <w:rsid w:val="00356FE9"/>
    <w:rsid w:val="003573F2"/>
    <w:rsid w:val="00357AA5"/>
    <w:rsid w:val="00360116"/>
    <w:rsid w:val="0036142A"/>
    <w:rsid w:val="003615BE"/>
    <w:rsid w:val="00361752"/>
    <w:rsid w:val="00361A3C"/>
    <w:rsid w:val="00361C38"/>
    <w:rsid w:val="0036211D"/>
    <w:rsid w:val="00362350"/>
    <w:rsid w:val="003624D9"/>
    <w:rsid w:val="003629A8"/>
    <w:rsid w:val="00362A90"/>
    <w:rsid w:val="003633C3"/>
    <w:rsid w:val="003638F6"/>
    <w:rsid w:val="00363F13"/>
    <w:rsid w:val="00363FEF"/>
    <w:rsid w:val="00364331"/>
    <w:rsid w:val="003643F7"/>
    <w:rsid w:val="00364DAA"/>
    <w:rsid w:val="00365FE2"/>
    <w:rsid w:val="00366B6C"/>
    <w:rsid w:val="00366D40"/>
    <w:rsid w:val="003674D4"/>
    <w:rsid w:val="003704BC"/>
    <w:rsid w:val="00370A97"/>
    <w:rsid w:val="00370E8F"/>
    <w:rsid w:val="0037194D"/>
    <w:rsid w:val="00371A29"/>
    <w:rsid w:val="00372C65"/>
    <w:rsid w:val="003737ED"/>
    <w:rsid w:val="003743FF"/>
    <w:rsid w:val="003744FA"/>
    <w:rsid w:val="0037505C"/>
    <w:rsid w:val="003759FA"/>
    <w:rsid w:val="0037706B"/>
    <w:rsid w:val="00377402"/>
    <w:rsid w:val="00377602"/>
    <w:rsid w:val="003800CB"/>
    <w:rsid w:val="003803DE"/>
    <w:rsid w:val="0038068D"/>
    <w:rsid w:val="00380E84"/>
    <w:rsid w:val="003818A0"/>
    <w:rsid w:val="0038198C"/>
    <w:rsid w:val="0038269A"/>
    <w:rsid w:val="0038291B"/>
    <w:rsid w:val="00382F34"/>
    <w:rsid w:val="00385673"/>
    <w:rsid w:val="003859C8"/>
    <w:rsid w:val="003859D3"/>
    <w:rsid w:val="00386272"/>
    <w:rsid w:val="00386A6E"/>
    <w:rsid w:val="00386FD8"/>
    <w:rsid w:val="003871F2"/>
    <w:rsid w:val="0038757F"/>
    <w:rsid w:val="00387963"/>
    <w:rsid w:val="00390153"/>
    <w:rsid w:val="0039021F"/>
    <w:rsid w:val="003906F2"/>
    <w:rsid w:val="00390EEB"/>
    <w:rsid w:val="0039123F"/>
    <w:rsid w:val="00391D41"/>
    <w:rsid w:val="0039297F"/>
    <w:rsid w:val="00393E32"/>
    <w:rsid w:val="00394062"/>
    <w:rsid w:val="003940D6"/>
    <w:rsid w:val="003942DF"/>
    <w:rsid w:val="00394494"/>
    <w:rsid w:val="00394A3F"/>
    <w:rsid w:val="00394C35"/>
    <w:rsid w:val="00394E78"/>
    <w:rsid w:val="00395579"/>
    <w:rsid w:val="003959BD"/>
    <w:rsid w:val="00395E5D"/>
    <w:rsid w:val="00396133"/>
    <w:rsid w:val="0039661E"/>
    <w:rsid w:val="00396958"/>
    <w:rsid w:val="0039788A"/>
    <w:rsid w:val="003A0A64"/>
    <w:rsid w:val="003A1B35"/>
    <w:rsid w:val="003A1D07"/>
    <w:rsid w:val="003A2909"/>
    <w:rsid w:val="003A29E0"/>
    <w:rsid w:val="003A2F41"/>
    <w:rsid w:val="003A3164"/>
    <w:rsid w:val="003A3BAC"/>
    <w:rsid w:val="003A3DE5"/>
    <w:rsid w:val="003A4169"/>
    <w:rsid w:val="003A51C7"/>
    <w:rsid w:val="003A5888"/>
    <w:rsid w:val="003A5CE8"/>
    <w:rsid w:val="003A6DD1"/>
    <w:rsid w:val="003A75CC"/>
    <w:rsid w:val="003A79CF"/>
    <w:rsid w:val="003B0D8E"/>
    <w:rsid w:val="003B1554"/>
    <w:rsid w:val="003B1567"/>
    <w:rsid w:val="003B16D9"/>
    <w:rsid w:val="003B21A3"/>
    <w:rsid w:val="003B2C55"/>
    <w:rsid w:val="003B3125"/>
    <w:rsid w:val="003B333E"/>
    <w:rsid w:val="003B36A1"/>
    <w:rsid w:val="003B385D"/>
    <w:rsid w:val="003B3914"/>
    <w:rsid w:val="003B3B68"/>
    <w:rsid w:val="003B3D48"/>
    <w:rsid w:val="003B3D78"/>
    <w:rsid w:val="003B3E89"/>
    <w:rsid w:val="003B444A"/>
    <w:rsid w:val="003B46F6"/>
    <w:rsid w:val="003B49BD"/>
    <w:rsid w:val="003B4E07"/>
    <w:rsid w:val="003B6130"/>
    <w:rsid w:val="003B64AA"/>
    <w:rsid w:val="003B695A"/>
    <w:rsid w:val="003B6CB6"/>
    <w:rsid w:val="003B7130"/>
    <w:rsid w:val="003B7164"/>
    <w:rsid w:val="003B7846"/>
    <w:rsid w:val="003C13D4"/>
    <w:rsid w:val="003C1C25"/>
    <w:rsid w:val="003C1D2A"/>
    <w:rsid w:val="003C1D9E"/>
    <w:rsid w:val="003C1F7A"/>
    <w:rsid w:val="003C2B83"/>
    <w:rsid w:val="003C2F38"/>
    <w:rsid w:val="003C3012"/>
    <w:rsid w:val="003C345A"/>
    <w:rsid w:val="003C3CD8"/>
    <w:rsid w:val="003C4127"/>
    <w:rsid w:val="003C4506"/>
    <w:rsid w:val="003C4A67"/>
    <w:rsid w:val="003C4A79"/>
    <w:rsid w:val="003C4F56"/>
    <w:rsid w:val="003C5B00"/>
    <w:rsid w:val="003C6666"/>
    <w:rsid w:val="003C6BCE"/>
    <w:rsid w:val="003D0589"/>
    <w:rsid w:val="003D0652"/>
    <w:rsid w:val="003D0BC8"/>
    <w:rsid w:val="003D136F"/>
    <w:rsid w:val="003D15C2"/>
    <w:rsid w:val="003D27EA"/>
    <w:rsid w:val="003D3830"/>
    <w:rsid w:val="003D3DEC"/>
    <w:rsid w:val="003D439F"/>
    <w:rsid w:val="003D4EB4"/>
    <w:rsid w:val="003D5AF4"/>
    <w:rsid w:val="003D60B8"/>
    <w:rsid w:val="003D6F1A"/>
    <w:rsid w:val="003D74A4"/>
    <w:rsid w:val="003D7613"/>
    <w:rsid w:val="003D7F51"/>
    <w:rsid w:val="003E23F1"/>
    <w:rsid w:val="003E2B9D"/>
    <w:rsid w:val="003E2E6E"/>
    <w:rsid w:val="003E37A3"/>
    <w:rsid w:val="003E42BF"/>
    <w:rsid w:val="003E4400"/>
    <w:rsid w:val="003E4A2A"/>
    <w:rsid w:val="003E4A79"/>
    <w:rsid w:val="003E56FF"/>
    <w:rsid w:val="003E5CCA"/>
    <w:rsid w:val="003E69CA"/>
    <w:rsid w:val="003E7298"/>
    <w:rsid w:val="003E7960"/>
    <w:rsid w:val="003E79E9"/>
    <w:rsid w:val="003E7EF9"/>
    <w:rsid w:val="003F01F9"/>
    <w:rsid w:val="003F0640"/>
    <w:rsid w:val="003F06C3"/>
    <w:rsid w:val="003F0ACC"/>
    <w:rsid w:val="003F0F2E"/>
    <w:rsid w:val="003F11DE"/>
    <w:rsid w:val="003F1BB6"/>
    <w:rsid w:val="003F2BC0"/>
    <w:rsid w:val="003F2DFA"/>
    <w:rsid w:val="003F2F83"/>
    <w:rsid w:val="003F30E0"/>
    <w:rsid w:val="003F3187"/>
    <w:rsid w:val="003F36CD"/>
    <w:rsid w:val="003F48E4"/>
    <w:rsid w:val="003F4BEE"/>
    <w:rsid w:val="003F5977"/>
    <w:rsid w:val="003F5E09"/>
    <w:rsid w:val="003F6260"/>
    <w:rsid w:val="003F6977"/>
    <w:rsid w:val="00400065"/>
    <w:rsid w:val="00400BDA"/>
    <w:rsid w:val="00401004"/>
    <w:rsid w:val="004017D8"/>
    <w:rsid w:val="00401AD4"/>
    <w:rsid w:val="00401D8D"/>
    <w:rsid w:val="004021A7"/>
    <w:rsid w:val="00402662"/>
    <w:rsid w:val="00403027"/>
    <w:rsid w:val="00403BE2"/>
    <w:rsid w:val="00403F7B"/>
    <w:rsid w:val="00405B57"/>
    <w:rsid w:val="004067DD"/>
    <w:rsid w:val="00406925"/>
    <w:rsid w:val="004071F2"/>
    <w:rsid w:val="00407A0F"/>
    <w:rsid w:val="00407C68"/>
    <w:rsid w:val="0041000A"/>
    <w:rsid w:val="00410168"/>
    <w:rsid w:val="00410603"/>
    <w:rsid w:val="00410B4D"/>
    <w:rsid w:val="00412650"/>
    <w:rsid w:val="00412766"/>
    <w:rsid w:val="0041282A"/>
    <w:rsid w:val="00412C5B"/>
    <w:rsid w:val="00412F61"/>
    <w:rsid w:val="00413315"/>
    <w:rsid w:val="00413C00"/>
    <w:rsid w:val="00414763"/>
    <w:rsid w:val="00414957"/>
    <w:rsid w:val="00414D38"/>
    <w:rsid w:val="00414D6D"/>
    <w:rsid w:val="004150EE"/>
    <w:rsid w:val="00415500"/>
    <w:rsid w:val="0041569C"/>
    <w:rsid w:val="0041692B"/>
    <w:rsid w:val="00417488"/>
    <w:rsid w:val="004202CB"/>
    <w:rsid w:val="004204F8"/>
    <w:rsid w:val="004207A5"/>
    <w:rsid w:val="0042083C"/>
    <w:rsid w:val="0042122F"/>
    <w:rsid w:val="00421B5F"/>
    <w:rsid w:val="00421B85"/>
    <w:rsid w:val="004221DE"/>
    <w:rsid w:val="00422A43"/>
    <w:rsid w:val="004233CF"/>
    <w:rsid w:val="004234C8"/>
    <w:rsid w:val="00423D00"/>
    <w:rsid w:val="00424C21"/>
    <w:rsid w:val="00425080"/>
    <w:rsid w:val="00425676"/>
    <w:rsid w:val="0042596D"/>
    <w:rsid w:val="004259BF"/>
    <w:rsid w:val="00425B2A"/>
    <w:rsid w:val="00425B32"/>
    <w:rsid w:val="00427003"/>
    <w:rsid w:val="0043045D"/>
    <w:rsid w:val="0043161E"/>
    <w:rsid w:val="00431713"/>
    <w:rsid w:val="0043313B"/>
    <w:rsid w:val="004332F5"/>
    <w:rsid w:val="0043361B"/>
    <w:rsid w:val="0043439D"/>
    <w:rsid w:val="00434573"/>
    <w:rsid w:val="0043486A"/>
    <w:rsid w:val="0043494A"/>
    <w:rsid w:val="00434BC1"/>
    <w:rsid w:val="00435662"/>
    <w:rsid w:val="0043604A"/>
    <w:rsid w:val="004374EF"/>
    <w:rsid w:val="004406BB"/>
    <w:rsid w:val="00442ABE"/>
    <w:rsid w:val="00442AC6"/>
    <w:rsid w:val="00442FE9"/>
    <w:rsid w:val="00443551"/>
    <w:rsid w:val="004435C8"/>
    <w:rsid w:val="00443A82"/>
    <w:rsid w:val="00443E2C"/>
    <w:rsid w:val="0044467A"/>
    <w:rsid w:val="00444987"/>
    <w:rsid w:val="00444FCD"/>
    <w:rsid w:val="00445A26"/>
    <w:rsid w:val="00446262"/>
    <w:rsid w:val="00447F8D"/>
    <w:rsid w:val="0045057B"/>
    <w:rsid w:val="0045072B"/>
    <w:rsid w:val="004507FB"/>
    <w:rsid w:val="00450995"/>
    <w:rsid w:val="0045182A"/>
    <w:rsid w:val="00452345"/>
    <w:rsid w:val="00452360"/>
    <w:rsid w:val="00452646"/>
    <w:rsid w:val="004528F1"/>
    <w:rsid w:val="00452AEC"/>
    <w:rsid w:val="00453A82"/>
    <w:rsid w:val="00454020"/>
    <w:rsid w:val="0045502A"/>
    <w:rsid w:val="004554ED"/>
    <w:rsid w:val="00455D27"/>
    <w:rsid w:val="00456096"/>
    <w:rsid w:val="004565F4"/>
    <w:rsid w:val="004570BA"/>
    <w:rsid w:val="004575AD"/>
    <w:rsid w:val="0045766C"/>
    <w:rsid w:val="004605F5"/>
    <w:rsid w:val="00460756"/>
    <w:rsid w:val="00460BD6"/>
    <w:rsid w:val="004614D7"/>
    <w:rsid w:val="004616CC"/>
    <w:rsid w:val="004616F8"/>
    <w:rsid w:val="00461845"/>
    <w:rsid w:val="00461DCC"/>
    <w:rsid w:val="00462306"/>
    <w:rsid w:val="004624A8"/>
    <w:rsid w:val="004629C0"/>
    <w:rsid w:val="004631A5"/>
    <w:rsid w:val="00463745"/>
    <w:rsid w:val="00463DB7"/>
    <w:rsid w:val="00464353"/>
    <w:rsid w:val="00464723"/>
    <w:rsid w:val="0046672F"/>
    <w:rsid w:val="004667DF"/>
    <w:rsid w:val="00466BAD"/>
    <w:rsid w:val="00467043"/>
    <w:rsid w:val="00470270"/>
    <w:rsid w:val="004702EF"/>
    <w:rsid w:val="0047079F"/>
    <w:rsid w:val="00470993"/>
    <w:rsid w:val="00470EEF"/>
    <w:rsid w:val="0047172A"/>
    <w:rsid w:val="004725B6"/>
    <w:rsid w:val="00472C61"/>
    <w:rsid w:val="00473330"/>
    <w:rsid w:val="004738D4"/>
    <w:rsid w:val="00473FA0"/>
    <w:rsid w:val="00474543"/>
    <w:rsid w:val="00474810"/>
    <w:rsid w:val="00475CF6"/>
    <w:rsid w:val="00476E49"/>
    <w:rsid w:val="00477229"/>
    <w:rsid w:val="00477820"/>
    <w:rsid w:val="00477B7B"/>
    <w:rsid w:val="00477CB0"/>
    <w:rsid w:val="00477F0B"/>
    <w:rsid w:val="0048076B"/>
    <w:rsid w:val="0048109C"/>
    <w:rsid w:val="004812C9"/>
    <w:rsid w:val="004814F2"/>
    <w:rsid w:val="004815E7"/>
    <w:rsid w:val="00481A20"/>
    <w:rsid w:val="00481BB2"/>
    <w:rsid w:val="00481F4A"/>
    <w:rsid w:val="004821C3"/>
    <w:rsid w:val="00482312"/>
    <w:rsid w:val="004825A8"/>
    <w:rsid w:val="00482AE3"/>
    <w:rsid w:val="00482F76"/>
    <w:rsid w:val="004834EC"/>
    <w:rsid w:val="004835E3"/>
    <w:rsid w:val="00483C7D"/>
    <w:rsid w:val="004840F6"/>
    <w:rsid w:val="00485987"/>
    <w:rsid w:val="00485F69"/>
    <w:rsid w:val="004870A9"/>
    <w:rsid w:val="004904BF"/>
    <w:rsid w:val="00490CFC"/>
    <w:rsid w:val="00490D84"/>
    <w:rsid w:val="0049163B"/>
    <w:rsid w:val="00491CBC"/>
    <w:rsid w:val="004923B1"/>
    <w:rsid w:val="00492CA9"/>
    <w:rsid w:val="00492D43"/>
    <w:rsid w:val="00493912"/>
    <w:rsid w:val="0049392A"/>
    <w:rsid w:val="00493CBE"/>
    <w:rsid w:val="00493D92"/>
    <w:rsid w:val="0049400F"/>
    <w:rsid w:val="00494BC0"/>
    <w:rsid w:val="004964A7"/>
    <w:rsid w:val="00496521"/>
    <w:rsid w:val="0049691C"/>
    <w:rsid w:val="004969F8"/>
    <w:rsid w:val="00497C44"/>
    <w:rsid w:val="004A00E8"/>
    <w:rsid w:val="004A11C5"/>
    <w:rsid w:val="004A15B4"/>
    <w:rsid w:val="004A1A20"/>
    <w:rsid w:val="004A1A5D"/>
    <w:rsid w:val="004A20DD"/>
    <w:rsid w:val="004A2520"/>
    <w:rsid w:val="004A2532"/>
    <w:rsid w:val="004A2608"/>
    <w:rsid w:val="004A273B"/>
    <w:rsid w:val="004A2AEB"/>
    <w:rsid w:val="004A2BE8"/>
    <w:rsid w:val="004A35E2"/>
    <w:rsid w:val="004A369D"/>
    <w:rsid w:val="004A3755"/>
    <w:rsid w:val="004A3F54"/>
    <w:rsid w:val="004A450C"/>
    <w:rsid w:val="004A4A3D"/>
    <w:rsid w:val="004A4C02"/>
    <w:rsid w:val="004A4E17"/>
    <w:rsid w:val="004A5AF6"/>
    <w:rsid w:val="004A5DB9"/>
    <w:rsid w:val="004A67C4"/>
    <w:rsid w:val="004A6A7C"/>
    <w:rsid w:val="004A7859"/>
    <w:rsid w:val="004B0CBA"/>
    <w:rsid w:val="004B0E6C"/>
    <w:rsid w:val="004B1030"/>
    <w:rsid w:val="004B183C"/>
    <w:rsid w:val="004B229B"/>
    <w:rsid w:val="004B2BFC"/>
    <w:rsid w:val="004B36EF"/>
    <w:rsid w:val="004B37E0"/>
    <w:rsid w:val="004B3EFB"/>
    <w:rsid w:val="004B3F26"/>
    <w:rsid w:val="004B5049"/>
    <w:rsid w:val="004B5347"/>
    <w:rsid w:val="004B60EC"/>
    <w:rsid w:val="004B65F1"/>
    <w:rsid w:val="004B6F3E"/>
    <w:rsid w:val="004B70AA"/>
    <w:rsid w:val="004C0321"/>
    <w:rsid w:val="004C062C"/>
    <w:rsid w:val="004C0CA1"/>
    <w:rsid w:val="004C0E7F"/>
    <w:rsid w:val="004C15E3"/>
    <w:rsid w:val="004C18B9"/>
    <w:rsid w:val="004C1ACF"/>
    <w:rsid w:val="004C2375"/>
    <w:rsid w:val="004C286B"/>
    <w:rsid w:val="004C3B0E"/>
    <w:rsid w:val="004C4536"/>
    <w:rsid w:val="004C4546"/>
    <w:rsid w:val="004C4731"/>
    <w:rsid w:val="004C49AB"/>
    <w:rsid w:val="004C5528"/>
    <w:rsid w:val="004C5747"/>
    <w:rsid w:val="004C5A71"/>
    <w:rsid w:val="004C5E4F"/>
    <w:rsid w:val="004C603D"/>
    <w:rsid w:val="004C76CF"/>
    <w:rsid w:val="004C7C39"/>
    <w:rsid w:val="004C7F99"/>
    <w:rsid w:val="004D1967"/>
    <w:rsid w:val="004D2086"/>
    <w:rsid w:val="004D26DE"/>
    <w:rsid w:val="004D2F8A"/>
    <w:rsid w:val="004D35A0"/>
    <w:rsid w:val="004D400B"/>
    <w:rsid w:val="004D4C63"/>
    <w:rsid w:val="004D4D58"/>
    <w:rsid w:val="004D5CDB"/>
    <w:rsid w:val="004D5DD8"/>
    <w:rsid w:val="004D68CD"/>
    <w:rsid w:val="004D6C9E"/>
    <w:rsid w:val="004D77D3"/>
    <w:rsid w:val="004E0FD8"/>
    <w:rsid w:val="004E283D"/>
    <w:rsid w:val="004E2B6F"/>
    <w:rsid w:val="004E3C19"/>
    <w:rsid w:val="004E45F9"/>
    <w:rsid w:val="004E51C3"/>
    <w:rsid w:val="004E5FEA"/>
    <w:rsid w:val="004E6061"/>
    <w:rsid w:val="004E62BE"/>
    <w:rsid w:val="004E709F"/>
    <w:rsid w:val="004E70B6"/>
    <w:rsid w:val="004E74D0"/>
    <w:rsid w:val="004F04E7"/>
    <w:rsid w:val="004F0811"/>
    <w:rsid w:val="004F2072"/>
    <w:rsid w:val="004F2759"/>
    <w:rsid w:val="004F276D"/>
    <w:rsid w:val="004F352D"/>
    <w:rsid w:val="004F42E0"/>
    <w:rsid w:val="004F49F8"/>
    <w:rsid w:val="004F4B2E"/>
    <w:rsid w:val="004F4BE3"/>
    <w:rsid w:val="004F4E01"/>
    <w:rsid w:val="004F5143"/>
    <w:rsid w:val="004F60BD"/>
    <w:rsid w:val="004F6E7D"/>
    <w:rsid w:val="004F7073"/>
    <w:rsid w:val="004F7D3F"/>
    <w:rsid w:val="00500099"/>
    <w:rsid w:val="0050031A"/>
    <w:rsid w:val="00500B0C"/>
    <w:rsid w:val="00500DC9"/>
    <w:rsid w:val="00501662"/>
    <w:rsid w:val="005017DA"/>
    <w:rsid w:val="00503627"/>
    <w:rsid w:val="00503BBC"/>
    <w:rsid w:val="00503FFA"/>
    <w:rsid w:val="005043F4"/>
    <w:rsid w:val="00504515"/>
    <w:rsid w:val="00505C05"/>
    <w:rsid w:val="0050643E"/>
    <w:rsid w:val="00506A36"/>
    <w:rsid w:val="00506CE0"/>
    <w:rsid w:val="00506F1F"/>
    <w:rsid w:val="005072BC"/>
    <w:rsid w:val="00507995"/>
    <w:rsid w:val="00510027"/>
    <w:rsid w:val="00510E4C"/>
    <w:rsid w:val="00512A95"/>
    <w:rsid w:val="00513A95"/>
    <w:rsid w:val="00514791"/>
    <w:rsid w:val="0051518C"/>
    <w:rsid w:val="005154BE"/>
    <w:rsid w:val="00515634"/>
    <w:rsid w:val="005158CA"/>
    <w:rsid w:val="005158DB"/>
    <w:rsid w:val="00515CF4"/>
    <w:rsid w:val="0051649A"/>
    <w:rsid w:val="00516BD3"/>
    <w:rsid w:val="00516BE0"/>
    <w:rsid w:val="00516E0D"/>
    <w:rsid w:val="00517A92"/>
    <w:rsid w:val="00517B1C"/>
    <w:rsid w:val="00517C68"/>
    <w:rsid w:val="00520376"/>
    <w:rsid w:val="00520839"/>
    <w:rsid w:val="005209B4"/>
    <w:rsid w:val="00520A33"/>
    <w:rsid w:val="00520A6B"/>
    <w:rsid w:val="00520AEF"/>
    <w:rsid w:val="00520F58"/>
    <w:rsid w:val="00521385"/>
    <w:rsid w:val="00521CF5"/>
    <w:rsid w:val="0052249F"/>
    <w:rsid w:val="00524802"/>
    <w:rsid w:val="00524DA0"/>
    <w:rsid w:val="00524F5C"/>
    <w:rsid w:val="0052507F"/>
    <w:rsid w:val="0052575B"/>
    <w:rsid w:val="005258FB"/>
    <w:rsid w:val="00526804"/>
    <w:rsid w:val="00526FA8"/>
    <w:rsid w:val="005270B0"/>
    <w:rsid w:val="005300E6"/>
    <w:rsid w:val="005302EF"/>
    <w:rsid w:val="00530DBB"/>
    <w:rsid w:val="00532218"/>
    <w:rsid w:val="00533158"/>
    <w:rsid w:val="00533357"/>
    <w:rsid w:val="0053340C"/>
    <w:rsid w:val="005337DB"/>
    <w:rsid w:val="00533966"/>
    <w:rsid w:val="00533AD7"/>
    <w:rsid w:val="00533B6B"/>
    <w:rsid w:val="00534CC8"/>
    <w:rsid w:val="00534F2F"/>
    <w:rsid w:val="005352E2"/>
    <w:rsid w:val="00535931"/>
    <w:rsid w:val="00536266"/>
    <w:rsid w:val="005362D2"/>
    <w:rsid w:val="005363DA"/>
    <w:rsid w:val="0053671C"/>
    <w:rsid w:val="00536982"/>
    <w:rsid w:val="005371CB"/>
    <w:rsid w:val="005374C8"/>
    <w:rsid w:val="005376E5"/>
    <w:rsid w:val="00537E1A"/>
    <w:rsid w:val="00540377"/>
    <w:rsid w:val="005405FB"/>
    <w:rsid w:val="00540867"/>
    <w:rsid w:val="00540E1F"/>
    <w:rsid w:val="00540F21"/>
    <w:rsid w:val="00541025"/>
    <w:rsid w:val="005416C3"/>
    <w:rsid w:val="00541E00"/>
    <w:rsid w:val="005427A0"/>
    <w:rsid w:val="00542924"/>
    <w:rsid w:val="00542B38"/>
    <w:rsid w:val="005432A7"/>
    <w:rsid w:val="00543449"/>
    <w:rsid w:val="00543B6D"/>
    <w:rsid w:val="00543BD4"/>
    <w:rsid w:val="00543CA2"/>
    <w:rsid w:val="00545699"/>
    <w:rsid w:val="0054580D"/>
    <w:rsid w:val="0054664A"/>
    <w:rsid w:val="00546DD2"/>
    <w:rsid w:val="00547A9A"/>
    <w:rsid w:val="005504DC"/>
    <w:rsid w:val="005505A5"/>
    <w:rsid w:val="00550E22"/>
    <w:rsid w:val="00551466"/>
    <w:rsid w:val="005514D6"/>
    <w:rsid w:val="00551A63"/>
    <w:rsid w:val="00551EAB"/>
    <w:rsid w:val="00552347"/>
    <w:rsid w:val="00552A76"/>
    <w:rsid w:val="00552B55"/>
    <w:rsid w:val="00552C42"/>
    <w:rsid w:val="0055335F"/>
    <w:rsid w:val="005534CB"/>
    <w:rsid w:val="00553C3B"/>
    <w:rsid w:val="005541A2"/>
    <w:rsid w:val="00554A4E"/>
    <w:rsid w:val="00554AA5"/>
    <w:rsid w:val="00554E73"/>
    <w:rsid w:val="00555A2C"/>
    <w:rsid w:val="005562ED"/>
    <w:rsid w:val="00556D38"/>
    <w:rsid w:val="00556DBA"/>
    <w:rsid w:val="00557343"/>
    <w:rsid w:val="00557772"/>
    <w:rsid w:val="005578D3"/>
    <w:rsid w:val="005601B8"/>
    <w:rsid w:val="00560233"/>
    <w:rsid w:val="0056159F"/>
    <w:rsid w:val="00562218"/>
    <w:rsid w:val="00562565"/>
    <w:rsid w:val="005635D5"/>
    <w:rsid w:val="00563EBB"/>
    <w:rsid w:val="0056404D"/>
    <w:rsid w:val="00564BD2"/>
    <w:rsid w:val="00565728"/>
    <w:rsid w:val="00566201"/>
    <w:rsid w:val="0056712A"/>
    <w:rsid w:val="00567171"/>
    <w:rsid w:val="00567610"/>
    <w:rsid w:val="00567853"/>
    <w:rsid w:val="005702ED"/>
    <w:rsid w:val="00570353"/>
    <w:rsid w:val="005704AA"/>
    <w:rsid w:val="00570D01"/>
    <w:rsid w:val="0057169D"/>
    <w:rsid w:val="00572A5B"/>
    <w:rsid w:val="00572E17"/>
    <w:rsid w:val="005730DF"/>
    <w:rsid w:val="005736F0"/>
    <w:rsid w:val="005736F1"/>
    <w:rsid w:val="00574076"/>
    <w:rsid w:val="00574B6F"/>
    <w:rsid w:val="005759E2"/>
    <w:rsid w:val="00575BA2"/>
    <w:rsid w:val="00575C44"/>
    <w:rsid w:val="00576517"/>
    <w:rsid w:val="00577F48"/>
    <w:rsid w:val="00580087"/>
    <w:rsid w:val="00580271"/>
    <w:rsid w:val="005802CD"/>
    <w:rsid w:val="0058107D"/>
    <w:rsid w:val="005812F1"/>
    <w:rsid w:val="00581968"/>
    <w:rsid w:val="0058298A"/>
    <w:rsid w:val="00582E51"/>
    <w:rsid w:val="005835A7"/>
    <w:rsid w:val="00583BF3"/>
    <w:rsid w:val="00583E14"/>
    <w:rsid w:val="0058599D"/>
    <w:rsid w:val="00585B10"/>
    <w:rsid w:val="00585F80"/>
    <w:rsid w:val="00586566"/>
    <w:rsid w:val="005866AA"/>
    <w:rsid w:val="00586BCE"/>
    <w:rsid w:val="005878A1"/>
    <w:rsid w:val="005904EB"/>
    <w:rsid w:val="0059091E"/>
    <w:rsid w:val="00590DD9"/>
    <w:rsid w:val="00590E65"/>
    <w:rsid w:val="005919DB"/>
    <w:rsid w:val="00591C6C"/>
    <w:rsid w:val="00591E2A"/>
    <w:rsid w:val="00591FCB"/>
    <w:rsid w:val="00592173"/>
    <w:rsid w:val="00592D7F"/>
    <w:rsid w:val="00592F2C"/>
    <w:rsid w:val="00593802"/>
    <w:rsid w:val="00593BB9"/>
    <w:rsid w:val="00593C7A"/>
    <w:rsid w:val="0059414C"/>
    <w:rsid w:val="00594263"/>
    <w:rsid w:val="00594E54"/>
    <w:rsid w:val="0059522D"/>
    <w:rsid w:val="00595E54"/>
    <w:rsid w:val="00597348"/>
    <w:rsid w:val="00597EC9"/>
    <w:rsid w:val="005A06C1"/>
    <w:rsid w:val="005A1ACD"/>
    <w:rsid w:val="005A1C51"/>
    <w:rsid w:val="005A29CC"/>
    <w:rsid w:val="005A31B6"/>
    <w:rsid w:val="005A36F5"/>
    <w:rsid w:val="005A5202"/>
    <w:rsid w:val="005A6337"/>
    <w:rsid w:val="005A6AB0"/>
    <w:rsid w:val="005A6E43"/>
    <w:rsid w:val="005A705F"/>
    <w:rsid w:val="005A7871"/>
    <w:rsid w:val="005A7A15"/>
    <w:rsid w:val="005B00AF"/>
    <w:rsid w:val="005B07E9"/>
    <w:rsid w:val="005B1062"/>
    <w:rsid w:val="005B16C9"/>
    <w:rsid w:val="005B357C"/>
    <w:rsid w:val="005B3AA9"/>
    <w:rsid w:val="005B52BC"/>
    <w:rsid w:val="005B536A"/>
    <w:rsid w:val="005B569F"/>
    <w:rsid w:val="005B5C76"/>
    <w:rsid w:val="005B65E2"/>
    <w:rsid w:val="005B737D"/>
    <w:rsid w:val="005B7592"/>
    <w:rsid w:val="005C0481"/>
    <w:rsid w:val="005C0908"/>
    <w:rsid w:val="005C0C61"/>
    <w:rsid w:val="005C0DB1"/>
    <w:rsid w:val="005C1074"/>
    <w:rsid w:val="005C13F6"/>
    <w:rsid w:val="005C15E2"/>
    <w:rsid w:val="005C1C24"/>
    <w:rsid w:val="005C1C5F"/>
    <w:rsid w:val="005C3513"/>
    <w:rsid w:val="005C358A"/>
    <w:rsid w:val="005C5890"/>
    <w:rsid w:val="005C589D"/>
    <w:rsid w:val="005C5CF9"/>
    <w:rsid w:val="005C6B9D"/>
    <w:rsid w:val="005C727C"/>
    <w:rsid w:val="005C7E64"/>
    <w:rsid w:val="005D0492"/>
    <w:rsid w:val="005D08CF"/>
    <w:rsid w:val="005D09B9"/>
    <w:rsid w:val="005D1003"/>
    <w:rsid w:val="005D1AA8"/>
    <w:rsid w:val="005D1D1C"/>
    <w:rsid w:val="005D2153"/>
    <w:rsid w:val="005D21A2"/>
    <w:rsid w:val="005D2ED1"/>
    <w:rsid w:val="005D37C6"/>
    <w:rsid w:val="005D44AB"/>
    <w:rsid w:val="005D465B"/>
    <w:rsid w:val="005D47F6"/>
    <w:rsid w:val="005D4884"/>
    <w:rsid w:val="005D4A81"/>
    <w:rsid w:val="005D5128"/>
    <w:rsid w:val="005D5757"/>
    <w:rsid w:val="005D74A8"/>
    <w:rsid w:val="005D75AA"/>
    <w:rsid w:val="005D75AC"/>
    <w:rsid w:val="005E0708"/>
    <w:rsid w:val="005E0804"/>
    <w:rsid w:val="005E1091"/>
    <w:rsid w:val="005E1AD9"/>
    <w:rsid w:val="005E3D3B"/>
    <w:rsid w:val="005E3F46"/>
    <w:rsid w:val="005E4ABF"/>
    <w:rsid w:val="005E5B06"/>
    <w:rsid w:val="005E5F4A"/>
    <w:rsid w:val="005E64AB"/>
    <w:rsid w:val="005E64DE"/>
    <w:rsid w:val="005E6869"/>
    <w:rsid w:val="005E6BB8"/>
    <w:rsid w:val="005E6C27"/>
    <w:rsid w:val="005E7201"/>
    <w:rsid w:val="005E73AF"/>
    <w:rsid w:val="005E79EA"/>
    <w:rsid w:val="005E7FA4"/>
    <w:rsid w:val="005F0781"/>
    <w:rsid w:val="005F0BB7"/>
    <w:rsid w:val="005F0C75"/>
    <w:rsid w:val="005F1244"/>
    <w:rsid w:val="005F3263"/>
    <w:rsid w:val="005F3443"/>
    <w:rsid w:val="005F4501"/>
    <w:rsid w:val="005F4B65"/>
    <w:rsid w:val="005F5C49"/>
    <w:rsid w:val="005F6ABA"/>
    <w:rsid w:val="00600BEA"/>
    <w:rsid w:val="00600F14"/>
    <w:rsid w:val="006010E2"/>
    <w:rsid w:val="00601172"/>
    <w:rsid w:val="006012B4"/>
    <w:rsid w:val="00602174"/>
    <w:rsid w:val="00602997"/>
    <w:rsid w:val="00602A09"/>
    <w:rsid w:val="006030FE"/>
    <w:rsid w:val="006036F8"/>
    <w:rsid w:val="00603D1C"/>
    <w:rsid w:val="00604857"/>
    <w:rsid w:val="0060519B"/>
    <w:rsid w:val="006054E2"/>
    <w:rsid w:val="00605AF3"/>
    <w:rsid w:val="00605BE4"/>
    <w:rsid w:val="00605E89"/>
    <w:rsid w:val="00605FF4"/>
    <w:rsid w:val="00606ED4"/>
    <w:rsid w:val="00610A35"/>
    <w:rsid w:val="00610E0A"/>
    <w:rsid w:val="00611AF9"/>
    <w:rsid w:val="00612907"/>
    <w:rsid w:val="00612A15"/>
    <w:rsid w:val="006132A6"/>
    <w:rsid w:val="00613693"/>
    <w:rsid w:val="0061434F"/>
    <w:rsid w:val="006143B3"/>
    <w:rsid w:val="006146AE"/>
    <w:rsid w:val="0061513F"/>
    <w:rsid w:val="00616B6B"/>
    <w:rsid w:val="00616E54"/>
    <w:rsid w:val="0061743E"/>
    <w:rsid w:val="00617ED9"/>
    <w:rsid w:val="00617F80"/>
    <w:rsid w:val="00620173"/>
    <w:rsid w:val="00620852"/>
    <w:rsid w:val="006214F4"/>
    <w:rsid w:val="00621F95"/>
    <w:rsid w:val="00622845"/>
    <w:rsid w:val="00623489"/>
    <w:rsid w:val="0062380C"/>
    <w:rsid w:val="0062493B"/>
    <w:rsid w:val="00624DBF"/>
    <w:rsid w:val="006275FA"/>
    <w:rsid w:val="006277E5"/>
    <w:rsid w:val="006279CB"/>
    <w:rsid w:val="006300CD"/>
    <w:rsid w:val="00630409"/>
    <w:rsid w:val="0063068C"/>
    <w:rsid w:val="00630FC4"/>
    <w:rsid w:val="006310FC"/>
    <w:rsid w:val="00631971"/>
    <w:rsid w:val="00631BFA"/>
    <w:rsid w:val="00633117"/>
    <w:rsid w:val="00633F0B"/>
    <w:rsid w:val="00634408"/>
    <w:rsid w:val="006346ED"/>
    <w:rsid w:val="006359F7"/>
    <w:rsid w:val="006363F8"/>
    <w:rsid w:val="006364B1"/>
    <w:rsid w:val="006364CB"/>
    <w:rsid w:val="006365DA"/>
    <w:rsid w:val="006366F8"/>
    <w:rsid w:val="0063704A"/>
    <w:rsid w:val="00637364"/>
    <w:rsid w:val="00637963"/>
    <w:rsid w:val="00637CE7"/>
    <w:rsid w:val="00640452"/>
    <w:rsid w:val="006408ED"/>
    <w:rsid w:val="0064154B"/>
    <w:rsid w:val="0064182D"/>
    <w:rsid w:val="00641A75"/>
    <w:rsid w:val="00641ABD"/>
    <w:rsid w:val="0064296F"/>
    <w:rsid w:val="006429BE"/>
    <w:rsid w:val="0064311A"/>
    <w:rsid w:val="00643D56"/>
    <w:rsid w:val="006445B8"/>
    <w:rsid w:val="00644AB7"/>
    <w:rsid w:val="00645D00"/>
    <w:rsid w:val="0064649B"/>
    <w:rsid w:val="0064684D"/>
    <w:rsid w:val="0064728A"/>
    <w:rsid w:val="00647BBB"/>
    <w:rsid w:val="00647D7C"/>
    <w:rsid w:val="006500D6"/>
    <w:rsid w:val="006503C4"/>
    <w:rsid w:val="0065069C"/>
    <w:rsid w:val="00650B6F"/>
    <w:rsid w:val="00651611"/>
    <w:rsid w:val="00652FC3"/>
    <w:rsid w:val="00653F02"/>
    <w:rsid w:val="0065476A"/>
    <w:rsid w:val="00655E4E"/>
    <w:rsid w:val="00656546"/>
    <w:rsid w:val="0065679F"/>
    <w:rsid w:val="006570F2"/>
    <w:rsid w:val="00657700"/>
    <w:rsid w:val="00657843"/>
    <w:rsid w:val="00657A12"/>
    <w:rsid w:val="00657A2C"/>
    <w:rsid w:val="00657AE2"/>
    <w:rsid w:val="00657FC7"/>
    <w:rsid w:val="006601D5"/>
    <w:rsid w:val="00661017"/>
    <w:rsid w:val="006613F1"/>
    <w:rsid w:val="00661B0F"/>
    <w:rsid w:val="00661F0D"/>
    <w:rsid w:val="00662A55"/>
    <w:rsid w:val="00662B16"/>
    <w:rsid w:val="00663729"/>
    <w:rsid w:val="006637DB"/>
    <w:rsid w:val="00664C61"/>
    <w:rsid w:val="006657A9"/>
    <w:rsid w:val="006657D9"/>
    <w:rsid w:val="00665904"/>
    <w:rsid w:val="00665D94"/>
    <w:rsid w:val="00665DE9"/>
    <w:rsid w:val="00665E36"/>
    <w:rsid w:val="0066610F"/>
    <w:rsid w:val="0066655C"/>
    <w:rsid w:val="00666A9C"/>
    <w:rsid w:val="00666D04"/>
    <w:rsid w:val="0066706D"/>
    <w:rsid w:val="006677B7"/>
    <w:rsid w:val="00667BFD"/>
    <w:rsid w:val="00667F20"/>
    <w:rsid w:val="00670E59"/>
    <w:rsid w:val="00671E18"/>
    <w:rsid w:val="0067370E"/>
    <w:rsid w:val="006739A3"/>
    <w:rsid w:val="00673A22"/>
    <w:rsid w:val="00673B7A"/>
    <w:rsid w:val="00673C4A"/>
    <w:rsid w:val="00673F9C"/>
    <w:rsid w:val="0067457B"/>
    <w:rsid w:val="00675365"/>
    <w:rsid w:val="006755A3"/>
    <w:rsid w:val="00675DDC"/>
    <w:rsid w:val="0067600D"/>
    <w:rsid w:val="006766FF"/>
    <w:rsid w:val="00676AB8"/>
    <w:rsid w:val="00677425"/>
    <w:rsid w:val="006817EE"/>
    <w:rsid w:val="006821C8"/>
    <w:rsid w:val="006829C6"/>
    <w:rsid w:val="00682B2C"/>
    <w:rsid w:val="00683D6B"/>
    <w:rsid w:val="0068493A"/>
    <w:rsid w:val="00684A50"/>
    <w:rsid w:val="00684B27"/>
    <w:rsid w:val="00684CB6"/>
    <w:rsid w:val="006851B2"/>
    <w:rsid w:val="00685660"/>
    <w:rsid w:val="0068617A"/>
    <w:rsid w:val="006867FE"/>
    <w:rsid w:val="00687549"/>
    <w:rsid w:val="00687B98"/>
    <w:rsid w:val="00687D21"/>
    <w:rsid w:val="00690C0A"/>
    <w:rsid w:val="00691166"/>
    <w:rsid w:val="00691304"/>
    <w:rsid w:val="00691877"/>
    <w:rsid w:val="006922E1"/>
    <w:rsid w:val="00692644"/>
    <w:rsid w:val="0069279E"/>
    <w:rsid w:val="00692C2A"/>
    <w:rsid w:val="006935FC"/>
    <w:rsid w:val="006939CA"/>
    <w:rsid w:val="00693DC3"/>
    <w:rsid w:val="006944A4"/>
    <w:rsid w:val="00694599"/>
    <w:rsid w:val="006946E0"/>
    <w:rsid w:val="00694B0C"/>
    <w:rsid w:val="00695104"/>
    <w:rsid w:val="006953AD"/>
    <w:rsid w:val="0069556B"/>
    <w:rsid w:val="00695D96"/>
    <w:rsid w:val="00695DB8"/>
    <w:rsid w:val="006967DC"/>
    <w:rsid w:val="006972A3"/>
    <w:rsid w:val="00697DA5"/>
    <w:rsid w:val="006A0961"/>
    <w:rsid w:val="006A0B6A"/>
    <w:rsid w:val="006A0E68"/>
    <w:rsid w:val="006A1A3F"/>
    <w:rsid w:val="006A2836"/>
    <w:rsid w:val="006A2BD9"/>
    <w:rsid w:val="006A3F1F"/>
    <w:rsid w:val="006A4DD8"/>
    <w:rsid w:val="006A509D"/>
    <w:rsid w:val="006A59B5"/>
    <w:rsid w:val="006A5BAC"/>
    <w:rsid w:val="006A5FF4"/>
    <w:rsid w:val="006A6A89"/>
    <w:rsid w:val="006B0F06"/>
    <w:rsid w:val="006B1AE4"/>
    <w:rsid w:val="006B242C"/>
    <w:rsid w:val="006B39E2"/>
    <w:rsid w:val="006B39E9"/>
    <w:rsid w:val="006B4A25"/>
    <w:rsid w:val="006B4D60"/>
    <w:rsid w:val="006B6476"/>
    <w:rsid w:val="006B6895"/>
    <w:rsid w:val="006B6A8A"/>
    <w:rsid w:val="006B752A"/>
    <w:rsid w:val="006B76E6"/>
    <w:rsid w:val="006B77E2"/>
    <w:rsid w:val="006B7E9E"/>
    <w:rsid w:val="006B7F6A"/>
    <w:rsid w:val="006C017B"/>
    <w:rsid w:val="006C0CFF"/>
    <w:rsid w:val="006C1BD1"/>
    <w:rsid w:val="006C1EE3"/>
    <w:rsid w:val="006C2EFA"/>
    <w:rsid w:val="006C339E"/>
    <w:rsid w:val="006C3B5D"/>
    <w:rsid w:val="006C4236"/>
    <w:rsid w:val="006C4711"/>
    <w:rsid w:val="006C4B75"/>
    <w:rsid w:val="006C4C05"/>
    <w:rsid w:val="006C5CD1"/>
    <w:rsid w:val="006C5CE6"/>
    <w:rsid w:val="006C5D70"/>
    <w:rsid w:val="006C5F8C"/>
    <w:rsid w:val="006C6343"/>
    <w:rsid w:val="006C63CF"/>
    <w:rsid w:val="006C66AE"/>
    <w:rsid w:val="006C6AB5"/>
    <w:rsid w:val="006C6F9D"/>
    <w:rsid w:val="006C7457"/>
    <w:rsid w:val="006C7D7D"/>
    <w:rsid w:val="006C7FB6"/>
    <w:rsid w:val="006D0DAB"/>
    <w:rsid w:val="006D118E"/>
    <w:rsid w:val="006D1CFC"/>
    <w:rsid w:val="006D1DDA"/>
    <w:rsid w:val="006D245E"/>
    <w:rsid w:val="006D315C"/>
    <w:rsid w:val="006D3636"/>
    <w:rsid w:val="006D37EF"/>
    <w:rsid w:val="006D3B25"/>
    <w:rsid w:val="006D40FF"/>
    <w:rsid w:val="006D4743"/>
    <w:rsid w:val="006D4768"/>
    <w:rsid w:val="006D4856"/>
    <w:rsid w:val="006D4BE7"/>
    <w:rsid w:val="006D5428"/>
    <w:rsid w:val="006D5C9A"/>
    <w:rsid w:val="006D5F26"/>
    <w:rsid w:val="006D69AD"/>
    <w:rsid w:val="006D6FA4"/>
    <w:rsid w:val="006D7C8A"/>
    <w:rsid w:val="006D7EE6"/>
    <w:rsid w:val="006E08E7"/>
    <w:rsid w:val="006E143C"/>
    <w:rsid w:val="006E239C"/>
    <w:rsid w:val="006E340B"/>
    <w:rsid w:val="006E3597"/>
    <w:rsid w:val="006E3819"/>
    <w:rsid w:val="006E3934"/>
    <w:rsid w:val="006E4721"/>
    <w:rsid w:val="006E47D1"/>
    <w:rsid w:val="006E4BB6"/>
    <w:rsid w:val="006E59D1"/>
    <w:rsid w:val="006E6979"/>
    <w:rsid w:val="006E785F"/>
    <w:rsid w:val="006F009A"/>
    <w:rsid w:val="006F0CCC"/>
    <w:rsid w:val="006F16DC"/>
    <w:rsid w:val="006F1DB9"/>
    <w:rsid w:val="006F1FFD"/>
    <w:rsid w:val="006F21D1"/>
    <w:rsid w:val="006F3231"/>
    <w:rsid w:val="006F357D"/>
    <w:rsid w:val="006F42F9"/>
    <w:rsid w:val="006F4463"/>
    <w:rsid w:val="006F4AC1"/>
    <w:rsid w:val="006F4D47"/>
    <w:rsid w:val="006F525B"/>
    <w:rsid w:val="006F58AE"/>
    <w:rsid w:val="006F5BB7"/>
    <w:rsid w:val="006F64B8"/>
    <w:rsid w:val="006F7BB7"/>
    <w:rsid w:val="007008A1"/>
    <w:rsid w:val="00700AF7"/>
    <w:rsid w:val="00700B5F"/>
    <w:rsid w:val="007014EC"/>
    <w:rsid w:val="00701535"/>
    <w:rsid w:val="007017B9"/>
    <w:rsid w:val="00701A0E"/>
    <w:rsid w:val="00702253"/>
    <w:rsid w:val="00703113"/>
    <w:rsid w:val="007032D6"/>
    <w:rsid w:val="00703BB7"/>
    <w:rsid w:val="0070442F"/>
    <w:rsid w:val="00704F08"/>
    <w:rsid w:val="0070586C"/>
    <w:rsid w:val="00705E2B"/>
    <w:rsid w:val="00706089"/>
    <w:rsid w:val="007061E3"/>
    <w:rsid w:val="00706B6A"/>
    <w:rsid w:val="007079F1"/>
    <w:rsid w:val="00707F15"/>
    <w:rsid w:val="00707FE4"/>
    <w:rsid w:val="0071016D"/>
    <w:rsid w:val="007103B4"/>
    <w:rsid w:val="0071067C"/>
    <w:rsid w:val="007107B4"/>
    <w:rsid w:val="00710E6B"/>
    <w:rsid w:val="007110E0"/>
    <w:rsid w:val="007117CD"/>
    <w:rsid w:val="0071180A"/>
    <w:rsid w:val="00711EDA"/>
    <w:rsid w:val="007121F2"/>
    <w:rsid w:val="00713694"/>
    <w:rsid w:val="007138D6"/>
    <w:rsid w:val="00714274"/>
    <w:rsid w:val="007149A3"/>
    <w:rsid w:val="00715825"/>
    <w:rsid w:val="00716058"/>
    <w:rsid w:val="007166AA"/>
    <w:rsid w:val="007175F5"/>
    <w:rsid w:val="0071767F"/>
    <w:rsid w:val="00717900"/>
    <w:rsid w:val="00717BC3"/>
    <w:rsid w:val="00717E4A"/>
    <w:rsid w:val="0072005E"/>
    <w:rsid w:val="007202B3"/>
    <w:rsid w:val="00720B25"/>
    <w:rsid w:val="00721517"/>
    <w:rsid w:val="007216BA"/>
    <w:rsid w:val="007218C8"/>
    <w:rsid w:val="00721ADF"/>
    <w:rsid w:val="00722294"/>
    <w:rsid w:val="00722572"/>
    <w:rsid w:val="0072282C"/>
    <w:rsid w:val="007229EF"/>
    <w:rsid w:val="00722FF4"/>
    <w:rsid w:val="00722FFD"/>
    <w:rsid w:val="00723B10"/>
    <w:rsid w:val="00724320"/>
    <w:rsid w:val="00724802"/>
    <w:rsid w:val="00724F59"/>
    <w:rsid w:val="0072718B"/>
    <w:rsid w:val="0072718D"/>
    <w:rsid w:val="00727540"/>
    <w:rsid w:val="007277E2"/>
    <w:rsid w:val="00727A28"/>
    <w:rsid w:val="00730040"/>
    <w:rsid w:val="00730FAC"/>
    <w:rsid w:val="007313F0"/>
    <w:rsid w:val="007314DD"/>
    <w:rsid w:val="00732669"/>
    <w:rsid w:val="00732998"/>
    <w:rsid w:val="00733BA6"/>
    <w:rsid w:val="00733EE2"/>
    <w:rsid w:val="007346E1"/>
    <w:rsid w:val="00734786"/>
    <w:rsid w:val="007347E1"/>
    <w:rsid w:val="00734A70"/>
    <w:rsid w:val="00734C98"/>
    <w:rsid w:val="0073563F"/>
    <w:rsid w:val="00735B4E"/>
    <w:rsid w:val="00736D7B"/>
    <w:rsid w:val="0073720F"/>
    <w:rsid w:val="0073762C"/>
    <w:rsid w:val="00737A7D"/>
    <w:rsid w:val="0074082B"/>
    <w:rsid w:val="00740933"/>
    <w:rsid w:val="00740E35"/>
    <w:rsid w:val="007414C7"/>
    <w:rsid w:val="00742072"/>
    <w:rsid w:val="00742243"/>
    <w:rsid w:val="00742C0F"/>
    <w:rsid w:val="00742CFC"/>
    <w:rsid w:val="00742D59"/>
    <w:rsid w:val="00742DF5"/>
    <w:rsid w:val="00743424"/>
    <w:rsid w:val="0074530B"/>
    <w:rsid w:val="0074562F"/>
    <w:rsid w:val="0074756F"/>
    <w:rsid w:val="00747612"/>
    <w:rsid w:val="007478EF"/>
    <w:rsid w:val="007503A3"/>
    <w:rsid w:val="00751054"/>
    <w:rsid w:val="007514E4"/>
    <w:rsid w:val="00751506"/>
    <w:rsid w:val="0075168C"/>
    <w:rsid w:val="00751BEE"/>
    <w:rsid w:val="00751D46"/>
    <w:rsid w:val="0075301F"/>
    <w:rsid w:val="00753470"/>
    <w:rsid w:val="0075370D"/>
    <w:rsid w:val="00753BF1"/>
    <w:rsid w:val="00754151"/>
    <w:rsid w:val="007541FC"/>
    <w:rsid w:val="00755B03"/>
    <w:rsid w:val="00755C68"/>
    <w:rsid w:val="007563A6"/>
    <w:rsid w:val="00756B3E"/>
    <w:rsid w:val="00756D49"/>
    <w:rsid w:val="00757407"/>
    <w:rsid w:val="00757555"/>
    <w:rsid w:val="00757DA4"/>
    <w:rsid w:val="00757F78"/>
    <w:rsid w:val="0076056F"/>
    <w:rsid w:val="0076141F"/>
    <w:rsid w:val="0076179A"/>
    <w:rsid w:val="00761892"/>
    <w:rsid w:val="00763693"/>
    <w:rsid w:val="00763B6E"/>
    <w:rsid w:val="00763E8F"/>
    <w:rsid w:val="0076531E"/>
    <w:rsid w:val="00765778"/>
    <w:rsid w:val="00765F6B"/>
    <w:rsid w:val="00766E1C"/>
    <w:rsid w:val="00767742"/>
    <w:rsid w:val="007677E2"/>
    <w:rsid w:val="00767800"/>
    <w:rsid w:val="00770042"/>
    <w:rsid w:val="00770FB9"/>
    <w:rsid w:val="00771010"/>
    <w:rsid w:val="00771A5C"/>
    <w:rsid w:val="00772052"/>
    <w:rsid w:val="00772F40"/>
    <w:rsid w:val="00773104"/>
    <w:rsid w:val="00773843"/>
    <w:rsid w:val="00773A24"/>
    <w:rsid w:val="007746DA"/>
    <w:rsid w:val="00775100"/>
    <w:rsid w:val="00775215"/>
    <w:rsid w:val="00775C75"/>
    <w:rsid w:val="007766E4"/>
    <w:rsid w:val="00776C21"/>
    <w:rsid w:val="00777FF2"/>
    <w:rsid w:val="00781E19"/>
    <w:rsid w:val="00781E1A"/>
    <w:rsid w:val="007824B8"/>
    <w:rsid w:val="007826BF"/>
    <w:rsid w:val="00783665"/>
    <w:rsid w:val="00783A45"/>
    <w:rsid w:val="00783DB2"/>
    <w:rsid w:val="007841D5"/>
    <w:rsid w:val="00784A10"/>
    <w:rsid w:val="00784D66"/>
    <w:rsid w:val="007855DD"/>
    <w:rsid w:val="00785C64"/>
    <w:rsid w:val="00786121"/>
    <w:rsid w:val="00786A74"/>
    <w:rsid w:val="00786BA9"/>
    <w:rsid w:val="00787161"/>
    <w:rsid w:val="007872A7"/>
    <w:rsid w:val="00787493"/>
    <w:rsid w:val="00787A9F"/>
    <w:rsid w:val="00787B67"/>
    <w:rsid w:val="00787CC9"/>
    <w:rsid w:val="00787FF6"/>
    <w:rsid w:val="0079188B"/>
    <w:rsid w:val="00792389"/>
    <w:rsid w:val="00792391"/>
    <w:rsid w:val="00792B86"/>
    <w:rsid w:val="00792E29"/>
    <w:rsid w:val="00792F52"/>
    <w:rsid w:val="0079305B"/>
    <w:rsid w:val="007934FD"/>
    <w:rsid w:val="0079373C"/>
    <w:rsid w:val="00793858"/>
    <w:rsid w:val="00793A68"/>
    <w:rsid w:val="00793BB6"/>
    <w:rsid w:val="007941F3"/>
    <w:rsid w:val="00794988"/>
    <w:rsid w:val="007949FD"/>
    <w:rsid w:val="00795D7C"/>
    <w:rsid w:val="00795EB6"/>
    <w:rsid w:val="00796478"/>
    <w:rsid w:val="007A014E"/>
    <w:rsid w:val="007A029C"/>
    <w:rsid w:val="007A0346"/>
    <w:rsid w:val="007A1953"/>
    <w:rsid w:val="007A210B"/>
    <w:rsid w:val="007A268C"/>
    <w:rsid w:val="007A27E1"/>
    <w:rsid w:val="007A3A30"/>
    <w:rsid w:val="007A47CE"/>
    <w:rsid w:val="007A49D9"/>
    <w:rsid w:val="007A4D11"/>
    <w:rsid w:val="007A59A8"/>
    <w:rsid w:val="007A5F38"/>
    <w:rsid w:val="007A5FEA"/>
    <w:rsid w:val="007A63EA"/>
    <w:rsid w:val="007B0ED7"/>
    <w:rsid w:val="007B0F01"/>
    <w:rsid w:val="007B181F"/>
    <w:rsid w:val="007B1FF5"/>
    <w:rsid w:val="007B2422"/>
    <w:rsid w:val="007B3630"/>
    <w:rsid w:val="007B3A96"/>
    <w:rsid w:val="007B3ACF"/>
    <w:rsid w:val="007B4616"/>
    <w:rsid w:val="007B47C5"/>
    <w:rsid w:val="007B6091"/>
    <w:rsid w:val="007B6546"/>
    <w:rsid w:val="007B66F1"/>
    <w:rsid w:val="007B6EE7"/>
    <w:rsid w:val="007B7046"/>
    <w:rsid w:val="007B779C"/>
    <w:rsid w:val="007B77C5"/>
    <w:rsid w:val="007B7A8D"/>
    <w:rsid w:val="007B7FCE"/>
    <w:rsid w:val="007C0027"/>
    <w:rsid w:val="007C0129"/>
    <w:rsid w:val="007C065C"/>
    <w:rsid w:val="007C08F5"/>
    <w:rsid w:val="007C090E"/>
    <w:rsid w:val="007C09FC"/>
    <w:rsid w:val="007C1333"/>
    <w:rsid w:val="007C2206"/>
    <w:rsid w:val="007C264E"/>
    <w:rsid w:val="007C28D8"/>
    <w:rsid w:val="007C2930"/>
    <w:rsid w:val="007C2D15"/>
    <w:rsid w:val="007C3931"/>
    <w:rsid w:val="007C4501"/>
    <w:rsid w:val="007C4508"/>
    <w:rsid w:val="007C4711"/>
    <w:rsid w:val="007C477A"/>
    <w:rsid w:val="007C48C2"/>
    <w:rsid w:val="007C5088"/>
    <w:rsid w:val="007C5196"/>
    <w:rsid w:val="007C5318"/>
    <w:rsid w:val="007C613C"/>
    <w:rsid w:val="007C78E3"/>
    <w:rsid w:val="007D1576"/>
    <w:rsid w:val="007D1B0A"/>
    <w:rsid w:val="007D1D01"/>
    <w:rsid w:val="007D260D"/>
    <w:rsid w:val="007D26E7"/>
    <w:rsid w:val="007D29D0"/>
    <w:rsid w:val="007D2AFD"/>
    <w:rsid w:val="007D39FA"/>
    <w:rsid w:val="007D3DD0"/>
    <w:rsid w:val="007D3FCF"/>
    <w:rsid w:val="007D4EE6"/>
    <w:rsid w:val="007D5DDE"/>
    <w:rsid w:val="007D7886"/>
    <w:rsid w:val="007E0360"/>
    <w:rsid w:val="007E0649"/>
    <w:rsid w:val="007E0E5D"/>
    <w:rsid w:val="007E1257"/>
    <w:rsid w:val="007E2650"/>
    <w:rsid w:val="007E3555"/>
    <w:rsid w:val="007E3FF7"/>
    <w:rsid w:val="007E491B"/>
    <w:rsid w:val="007E522B"/>
    <w:rsid w:val="007E558D"/>
    <w:rsid w:val="007E55DB"/>
    <w:rsid w:val="007E5B35"/>
    <w:rsid w:val="007E5E6C"/>
    <w:rsid w:val="007E6999"/>
    <w:rsid w:val="007E7FD8"/>
    <w:rsid w:val="007F10B7"/>
    <w:rsid w:val="007F176D"/>
    <w:rsid w:val="007F25CE"/>
    <w:rsid w:val="007F2FFB"/>
    <w:rsid w:val="007F33CA"/>
    <w:rsid w:val="007F477F"/>
    <w:rsid w:val="007F53E4"/>
    <w:rsid w:val="007F5558"/>
    <w:rsid w:val="007F632B"/>
    <w:rsid w:val="007F6387"/>
    <w:rsid w:val="007F6CCF"/>
    <w:rsid w:val="007F7344"/>
    <w:rsid w:val="007F7875"/>
    <w:rsid w:val="007F7ECC"/>
    <w:rsid w:val="0080020F"/>
    <w:rsid w:val="00800375"/>
    <w:rsid w:val="00801245"/>
    <w:rsid w:val="00801541"/>
    <w:rsid w:val="00801A04"/>
    <w:rsid w:val="00801A1A"/>
    <w:rsid w:val="00801CE9"/>
    <w:rsid w:val="00801EA7"/>
    <w:rsid w:val="008028D1"/>
    <w:rsid w:val="00802D10"/>
    <w:rsid w:val="008032D2"/>
    <w:rsid w:val="008048BA"/>
    <w:rsid w:val="00804C7E"/>
    <w:rsid w:val="008056F4"/>
    <w:rsid w:val="00805F3F"/>
    <w:rsid w:val="00806100"/>
    <w:rsid w:val="008068A3"/>
    <w:rsid w:val="00806DA9"/>
    <w:rsid w:val="00807784"/>
    <w:rsid w:val="00807892"/>
    <w:rsid w:val="00807952"/>
    <w:rsid w:val="008105D1"/>
    <w:rsid w:val="008109B8"/>
    <w:rsid w:val="008125FB"/>
    <w:rsid w:val="00812A73"/>
    <w:rsid w:val="00812DB3"/>
    <w:rsid w:val="00812E06"/>
    <w:rsid w:val="00812E32"/>
    <w:rsid w:val="00812FE1"/>
    <w:rsid w:val="00813620"/>
    <w:rsid w:val="0081448D"/>
    <w:rsid w:val="00814F28"/>
    <w:rsid w:val="00814FFA"/>
    <w:rsid w:val="008150E9"/>
    <w:rsid w:val="008153A0"/>
    <w:rsid w:val="00815711"/>
    <w:rsid w:val="00815A92"/>
    <w:rsid w:val="008169EB"/>
    <w:rsid w:val="00817790"/>
    <w:rsid w:val="00817A3D"/>
    <w:rsid w:val="00820690"/>
    <w:rsid w:val="00820724"/>
    <w:rsid w:val="00820E2C"/>
    <w:rsid w:val="00820FBF"/>
    <w:rsid w:val="00821751"/>
    <w:rsid w:val="008227BE"/>
    <w:rsid w:val="00822CA3"/>
    <w:rsid w:val="00823122"/>
    <w:rsid w:val="008239F3"/>
    <w:rsid w:val="00824110"/>
    <w:rsid w:val="0082476A"/>
    <w:rsid w:val="008249FA"/>
    <w:rsid w:val="00824FC8"/>
    <w:rsid w:val="00825714"/>
    <w:rsid w:val="00825EBB"/>
    <w:rsid w:val="008260AA"/>
    <w:rsid w:val="008263DA"/>
    <w:rsid w:val="008303E2"/>
    <w:rsid w:val="0083097C"/>
    <w:rsid w:val="008311E5"/>
    <w:rsid w:val="00831BDC"/>
    <w:rsid w:val="00831E38"/>
    <w:rsid w:val="008320E1"/>
    <w:rsid w:val="00832720"/>
    <w:rsid w:val="0083272C"/>
    <w:rsid w:val="00832EFD"/>
    <w:rsid w:val="0083326F"/>
    <w:rsid w:val="008335AC"/>
    <w:rsid w:val="00833AEB"/>
    <w:rsid w:val="00834768"/>
    <w:rsid w:val="00835526"/>
    <w:rsid w:val="00835B22"/>
    <w:rsid w:val="00835C71"/>
    <w:rsid w:val="00836111"/>
    <w:rsid w:val="00837369"/>
    <w:rsid w:val="008378DE"/>
    <w:rsid w:val="00837BFC"/>
    <w:rsid w:val="00840D5E"/>
    <w:rsid w:val="00841376"/>
    <w:rsid w:val="008421BC"/>
    <w:rsid w:val="00843B02"/>
    <w:rsid w:val="008440EF"/>
    <w:rsid w:val="00844315"/>
    <w:rsid w:val="008456D5"/>
    <w:rsid w:val="0084674B"/>
    <w:rsid w:val="00846D69"/>
    <w:rsid w:val="008470A2"/>
    <w:rsid w:val="0084762D"/>
    <w:rsid w:val="0084777A"/>
    <w:rsid w:val="008505BC"/>
    <w:rsid w:val="00850771"/>
    <w:rsid w:val="008507DB"/>
    <w:rsid w:val="00851817"/>
    <w:rsid w:val="00851F4B"/>
    <w:rsid w:val="00852187"/>
    <w:rsid w:val="00853655"/>
    <w:rsid w:val="008541EB"/>
    <w:rsid w:val="008543A5"/>
    <w:rsid w:val="0085469B"/>
    <w:rsid w:val="00854EAE"/>
    <w:rsid w:val="00855F04"/>
    <w:rsid w:val="00857099"/>
    <w:rsid w:val="00857241"/>
    <w:rsid w:val="008572A7"/>
    <w:rsid w:val="00857B3D"/>
    <w:rsid w:val="008600D2"/>
    <w:rsid w:val="008607C8"/>
    <w:rsid w:val="00860E42"/>
    <w:rsid w:val="0086102E"/>
    <w:rsid w:val="0086170F"/>
    <w:rsid w:val="0086192B"/>
    <w:rsid w:val="00861C46"/>
    <w:rsid w:val="00861F61"/>
    <w:rsid w:val="008621C1"/>
    <w:rsid w:val="008629C2"/>
    <w:rsid w:val="00862A80"/>
    <w:rsid w:val="00862FDD"/>
    <w:rsid w:val="008636A2"/>
    <w:rsid w:val="008639DE"/>
    <w:rsid w:val="00863B9E"/>
    <w:rsid w:val="00863C34"/>
    <w:rsid w:val="00863D7E"/>
    <w:rsid w:val="00864061"/>
    <w:rsid w:val="0086436C"/>
    <w:rsid w:val="00864371"/>
    <w:rsid w:val="008645CD"/>
    <w:rsid w:val="008649B1"/>
    <w:rsid w:val="00864AD0"/>
    <w:rsid w:val="00864B75"/>
    <w:rsid w:val="00865002"/>
    <w:rsid w:val="0086565A"/>
    <w:rsid w:val="0086587D"/>
    <w:rsid w:val="008658B5"/>
    <w:rsid w:val="00865F84"/>
    <w:rsid w:val="0086686D"/>
    <w:rsid w:val="008669DD"/>
    <w:rsid w:val="00867AAF"/>
    <w:rsid w:val="008704B6"/>
    <w:rsid w:val="00870B75"/>
    <w:rsid w:val="00871174"/>
    <w:rsid w:val="008714FE"/>
    <w:rsid w:val="00871713"/>
    <w:rsid w:val="00871D72"/>
    <w:rsid w:val="008720EC"/>
    <w:rsid w:val="0087248E"/>
    <w:rsid w:val="00873018"/>
    <w:rsid w:val="008739F6"/>
    <w:rsid w:val="00873D7D"/>
    <w:rsid w:val="008746EF"/>
    <w:rsid w:val="00874B48"/>
    <w:rsid w:val="0087576F"/>
    <w:rsid w:val="00876125"/>
    <w:rsid w:val="008767A7"/>
    <w:rsid w:val="00877093"/>
    <w:rsid w:val="008771A1"/>
    <w:rsid w:val="008774B5"/>
    <w:rsid w:val="008779F5"/>
    <w:rsid w:val="008800EE"/>
    <w:rsid w:val="0088107D"/>
    <w:rsid w:val="00881C22"/>
    <w:rsid w:val="008821FB"/>
    <w:rsid w:val="0088231F"/>
    <w:rsid w:val="008832DA"/>
    <w:rsid w:val="008843B6"/>
    <w:rsid w:val="008854E0"/>
    <w:rsid w:val="008855F3"/>
    <w:rsid w:val="008856CF"/>
    <w:rsid w:val="008857E2"/>
    <w:rsid w:val="00885837"/>
    <w:rsid w:val="008864A5"/>
    <w:rsid w:val="0088798A"/>
    <w:rsid w:val="0088799F"/>
    <w:rsid w:val="00887DB1"/>
    <w:rsid w:val="00890537"/>
    <w:rsid w:val="008912AC"/>
    <w:rsid w:val="008915A7"/>
    <w:rsid w:val="008916F9"/>
    <w:rsid w:val="00892223"/>
    <w:rsid w:val="008926EB"/>
    <w:rsid w:val="0089341B"/>
    <w:rsid w:val="00893839"/>
    <w:rsid w:val="00893ECB"/>
    <w:rsid w:val="00894C59"/>
    <w:rsid w:val="00895537"/>
    <w:rsid w:val="00895A3D"/>
    <w:rsid w:val="00896F41"/>
    <w:rsid w:val="008976AA"/>
    <w:rsid w:val="00897BA3"/>
    <w:rsid w:val="00897D1B"/>
    <w:rsid w:val="008A0A9D"/>
    <w:rsid w:val="008A247C"/>
    <w:rsid w:val="008A29C1"/>
    <w:rsid w:val="008A2B91"/>
    <w:rsid w:val="008A2D5F"/>
    <w:rsid w:val="008A2DB1"/>
    <w:rsid w:val="008A2E67"/>
    <w:rsid w:val="008A382A"/>
    <w:rsid w:val="008A405D"/>
    <w:rsid w:val="008A44F9"/>
    <w:rsid w:val="008A472A"/>
    <w:rsid w:val="008A4DEE"/>
    <w:rsid w:val="008A4E97"/>
    <w:rsid w:val="008A6473"/>
    <w:rsid w:val="008A68EF"/>
    <w:rsid w:val="008A6CCA"/>
    <w:rsid w:val="008A7123"/>
    <w:rsid w:val="008A73B8"/>
    <w:rsid w:val="008A78BB"/>
    <w:rsid w:val="008A79AE"/>
    <w:rsid w:val="008A7D69"/>
    <w:rsid w:val="008B03C6"/>
    <w:rsid w:val="008B0558"/>
    <w:rsid w:val="008B1166"/>
    <w:rsid w:val="008B12AA"/>
    <w:rsid w:val="008B1766"/>
    <w:rsid w:val="008B179E"/>
    <w:rsid w:val="008B1AA2"/>
    <w:rsid w:val="008B1B29"/>
    <w:rsid w:val="008B1CBA"/>
    <w:rsid w:val="008B2363"/>
    <w:rsid w:val="008B2471"/>
    <w:rsid w:val="008B271D"/>
    <w:rsid w:val="008B27FE"/>
    <w:rsid w:val="008B2BA0"/>
    <w:rsid w:val="008B2BB4"/>
    <w:rsid w:val="008B32E5"/>
    <w:rsid w:val="008B4403"/>
    <w:rsid w:val="008B442B"/>
    <w:rsid w:val="008B451D"/>
    <w:rsid w:val="008B4C75"/>
    <w:rsid w:val="008B58B9"/>
    <w:rsid w:val="008B6368"/>
    <w:rsid w:val="008B6756"/>
    <w:rsid w:val="008B678E"/>
    <w:rsid w:val="008B67C7"/>
    <w:rsid w:val="008B6950"/>
    <w:rsid w:val="008B6DED"/>
    <w:rsid w:val="008C103E"/>
    <w:rsid w:val="008C1CE4"/>
    <w:rsid w:val="008C2824"/>
    <w:rsid w:val="008C289F"/>
    <w:rsid w:val="008C2C64"/>
    <w:rsid w:val="008C3296"/>
    <w:rsid w:val="008C39C0"/>
    <w:rsid w:val="008C3E8A"/>
    <w:rsid w:val="008C3EB5"/>
    <w:rsid w:val="008C4325"/>
    <w:rsid w:val="008C4859"/>
    <w:rsid w:val="008C4BED"/>
    <w:rsid w:val="008C4BFB"/>
    <w:rsid w:val="008C4E0C"/>
    <w:rsid w:val="008C52E5"/>
    <w:rsid w:val="008C5B38"/>
    <w:rsid w:val="008C5D4A"/>
    <w:rsid w:val="008C7435"/>
    <w:rsid w:val="008C7DE4"/>
    <w:rsid w:val="008D0A66"/>
    <w:rsid w:val="008D0A7E"/>
    <w:rsid w:val="008D1119"/>
    <w:rsid w:val="008D1187"/>
    <w:rsid w:val="008D13DF"/>
    <w:rsid w:val="008D1A7A"/>
    <w:rsid w:val="008D1BB9"/>
    <w:rsid w:val="008D2728"/>
    <w:rsid w:val="008D2F27"/>
    <w:rsid w:val="008D3378"/>
    <w:rsid w:val="008D55AA"/>
    <w:rsid w:val="008D5671"/>
    <w:rsid w:val="008D5C26"/>
    <w:rsid w:val="008D62C7"/>
    <w:rsid w:val="008D6763"/>
    <w:rsid w:val="008D6ED6"/>
    <w:rsid w:val="008D73D9"/>
    <w:rsid w:val="008D7748"/>
    <w:rsid w:val="008E03EA"/>
    <w:rsid w:val="008E0F91"/>
    <w:rsid w:val="008E1C59"/>
    <w:rsid w:val="008E1EC1"/>
    <w:rsid w:val="008E1EE3"/>
    <w:rsid w:val="008E216E"/>
    <w:rsid w:val="008E252C"/>
    <w:rsid w:val="008E2E0F"/>
    <w:rsid w:val="008E4E65"/>
    <w:rsid w:val="008E5250"/>
    <w:rsid w:val="008E5283"/>
    <w:rsid w:val="008E53C1"/>
    <w:rsid w:val="008E5683"/>
    <w:rsid w:val="008E5C2A"/>
    <w:rsid w:val="008E5C2B"/>
    <w:rsid w:val="008E681D"/>
    <w:rsid w:val="008E68D2"/>
    <w:rsid w:val="008E6B2F"/>
    <w:rsid w:val="008E70CB"/>
    <w:rsid w:val="008E711A"/>
    <w:rsid w:val="008E73DE"/>
    <w:rsid w:val="008E7580"/>
    <w:rsid w:val="008E78C8"/>
    <w:rsid w:val="008E7B02"/>
    <w:rsid w:val="008F0A94"/>
    <w:rsid w:val="008F0E94"/>
    <w:rsid w:val="008F1A82"/>
    <w:rsid w:val="008F1E0A"/>
    <w:rsid w:val="008F25B5"/>
    <w:rsid w:val="008F28FF"/>
    <w:rsid w:val="008F2961"/>
    <w:rsid w:val="008F409B"/>
    <w:rsid w:val="008F440A"/>
    <w:rsid w:val="008F48C7"/>
    <w:rsid w:val="008F49A1"/>
    <w:rsid w:val="008F5045"/>
    <w:rsid w:val="008F520D"/>
    <w:rsid w:val="008F537B"/>
    <w:rsid w:val="008F5609"/>
    <w:rsid w:val="008F5DB6"/>
    <w:rsid w:val="008F6D6F"/>
    <w:rsid w:val="008F714B"/>
    <w:rsid w:val="008F741A"/>
    <w:rsid w:val="008F7499"/>
    <w:rsid w:val="008F7822"/>
    <w:rsid w:val="00900EE3"/>
    <w:rsid w:val="00901613"/>
    <w:rsid w:val="00901CCD"/>
    <w:rsid w:val="009021E4"/>
    <w:rsid w:val="0090228F"/>
    <w:rsid w:val="009025A1"/>
    <w:rsid w:val="0090286E"/>
    <w:rsid w:val="009029A5"/>
    <w:rsid w:val="00902BE1"/>
    <w:rsid w:val="0090313A"/>
    <w:rsid w:val="00903850"/>
    <w:rsid w:val="00904435"/>
    <w:rsid w:val="009051E9"/>
    <w:rsid w:val="0090520D"/>
    <w:rsid w:val="009065C2"/>
    <w:rsid w:val="00906A86"/>
    <w:rsid w:val="009075F3"/>
    <w:rsid w:val="00910097"/>
    <w:rsid w:val="0091097A"/>
    <w:rsid w:val="00911B2D"/>
    <w:rsid w:val="009125DD"/>
    <w:rsid w:val="00912B7F"/>
    <w:rsid w:val="00912C41"/>
    <w:rsid w:val="00913127"/>
    <w:rsid w:val="009135A2"/>
    <w:rsid w:val="00913AB3"/>
    <w:rsid w:val="00913BBA"/>
    <w:rsid w:val="00913D45"/>
    <w:rsid w:val="00914DBE"/>
    <w:rsid w:val="00915053"/>
    <w:rsid w:val="00915A13"/>
    <w:rsid w:val="00915AC7"/>
    <w:rsid w:val="00915EDC"/>
    <w:rsid w:val="00916A2F"/>
    <w:rsid w:val="00916D56"/>
    <w:rsid w:val="00917228"/>
    <w:rsid w:val="009175D1"/>
    <w:rsid w:val="00917A65"/>
    <w:rsid w:val="00917DF5"/>
    <w:rsid w:val="009247E0"/>
    <w:rsid w:val="00926484"/>
    <w:rsid w:val="009268EF"/>
    <w:rsid w:val="0092728F"/>
    <w:rsid w:val="009273D6"/>
    <w:rsid w:val="00927411"/>
    <w:rsid w:val="00927949"/>
    <w:rsid w:val="00927BA1"/>
    <w:rsid w:val="009306B0"/>
    <w:rsid w:val="00930D68"/>
    <w:rsid w:val="00931108"/>
    <w:rsid w:val="009313FE"/>
    <w:rsid w:val="00931B2D"/>
    <w:rsid w:val="00931B82"/>
    <w:rsid w:val="009339DA"/>
    <w:rsid w:val="00933DBC"/>
    <w:rsid w:val="0093427E"/>
    <w:rsid w:val="00934401"/>
    <w:rsid w:val="00934C03"/>
    <w:rsid w:val="00934CBC"/>
    <w:rsid w:val="0093561E"/>
    <w:rsid w:val="0093599E"/>
    <w:rsid w:val="0093631E"/>
    <w:rsid w:val="00936BE9"/>
    <w:rsid w:val="00936DCB"/>
    <w:rsid w:val="009370C9"/>
    <w:rsid w:val="0093756A"/>
    <w:rsid w:val="00940201"/>
    <w:rsid w:val="00941361"/>
    <w:rsid w:val="00941424"/>
    <w:rsid w:val="00941BA8"/>
    <w:rsid w:val="00942587"/>
    <w:rsid w:val="009425ED"/>
    <w:rsid w:val="0094290A"/>
    <w:rsid w:val="00942A2C"/>
    <w:rsid w:val="00942C17"/>
    <w:rsid w:val="00943225"/>
    <w:rsid w:val="009434EC"/>
    <w:rsid w:val="00943C7C"/>
    <w:rsid w:val="00943DFB"/>
    <w:rsid w:val="009443E5"/>
    <w:rsid w:val="009447EB"/>
    <w:rsid w:val="009454DA"/>
    <w:rsid w:val="00945756"/>
    <w:rsid w:val="009457D6"/>
    <w:rsid w:val="00945838"/>
    <w:rsid w:val="00945C93"/>
    <w:rsid w:val="009460BB"/>
    <w:rsid w:val="00946E2D"/>
    <w:rsid w:val="00946E81"/>
    <w:rsid w:val="00947096"/>
    <w:rsid w:val="009479C2"/>
    <w:rsid w:val="00947EC6"/>
    <w:rsid w:val="00950112"/>
    <w:rsid w:val="0095055F"/>
    <w:rsid w:val="00951554"/>
    <w:rsid w:val="00951E2B"/>
    <w:rsid w:val="0095232A"/>
    <w:rsid w:val="00952600"/>
    <w:rsid w:val="009529D0"/>
    <w:rsid w:val="00953051"/>
    <w:rsid w:val="009536B4"/>
    <w:rsid w:val="00954152"/>
    <w:rsid w:val="0095415D"/>
    <w:rsid w:val="00954675"/>
    <w:rsid w:val="00955FFA"/>
    <w:rsid w:val="00957299"/>
    <w:rsid w:val="0095788E"/>
    <w:rsid w:val="00961061"/>
    <w:rsid w:val="00961A3A"/>
    <w:rsid w:val="0096245B"/>
    <w:rsid w:val="00962C3B"/>
    <w:rsid w:val="0096326D"/>
    <w:rsid w:val="00963F5E"/>
    <w:rsid w:val="00964361"/>
    <w:rsid w:val="0096471C"/>
    <w:rsid w:val="00964C9F"/>
    <w:rsid w:val="009652BF"/>
    <w:rsid w:val="00965C01"/>
    <w:rsid w:val="00965D14"/>
    <w:rsid w:val="00966FAE"/>
    <w:rsid w:val="009672C1"/>
    <w:rsid w:val="0096745B"/>
    <w:rsid w:val="00967897"/>
    <w:rsid w:val="0097063F"/>
    <w:rsid w:val="009707C6"/>
    <w:rsid w:val="00970CB4"/>
    <w:rsid w:val="00970D9C"/>
    <w:rsid w:val="00972596"/>
    <w:rsid w:val="00972967"/>
    <w:rsid w:val="00972BC8"/>
    <w:rsid w:val="00972F68"/>
    <w:rsid w:val="00973059"/>
    <w:rsid w:val="009737B6"/>
    <w:rsid w:val="00973F55"/>
    <w:rsid w:val="0097429D"/>
    <w:rsid w:val="00975054"/>
    <w:rsid w:val="0097525A"/>
    <w:rsid w:val="009754DA"/>
    <w:rsid w:val="009757A5"/>
    <w:rsid w:val="0097646A"/>
    <w:rsid w:val="0097668A"/>
    <w:rsid w:val="00976781"/>
    <w:rsid w:val="009769BD"/>
    <w:rsid w:val="00977C0E"/>
    <w:rsid w:val="00980052"/>
    <w:rsid w:val="009806D0"/>
    <w:rsid w:val="00980C14"/>
    <w:rsid w:val="0098215F"/>
    <w:rsid w:val="00982241"/>
    <w:rsid w:val="00982D7E"/>
    <w:rsid w:val="00983097"/>
    <w:rsid w:val="0098362B"/>
    <w:rsid w:val="00984CC4"/>
    <w:rsid w:val="00985A5A"/>
    <w:rsid w:val="00985CEB"/>
    <w:rsid w:val="009861A3"/>
    <w:rsid w:val="009876C3"/>
    <w:rsid w:val="00990B45"/>
    <w:rsid w:val="00990C1D"/>
    <w:rsid w:val="00990F7A"/>
    <w:rsid w:val="009915F2"/>
    <w:rsid w:val="00991622"/>
    <w:rsid w:val="00991B3A"/>
    <w:rsid w:val="009921F5"/>
    <w:rsid w:val="00992A0E"/>
    <w:rsid w:val="00992A7A"/>
    <w:rsid w:val="00992C1D"/>
    <w:rsid w:val="009931D7"/>
    <w:rsid w:val="00993D2D"/>
    <w:rsid w:val="00993EE3"/>
    <w:rsid w:val="0099413E"/>
    <w:rsid w:val="009944E4"/>
    <w:rsid w:val="00994ECE"/>
    <w:rsid w:val="00994F5C"/>
    <w:rsid w:val="0099618F"/>
    <w:rsid w:val="00996B7B"/>
    <w:rsid w:val="00996D07"/>
    <w:rsid w:val="009976DF"/>
    <w:rsid w:val="009979E3"/>
    <w:rsid w:val="00997D45"/>
    <w:rsid w:val="009A05AB"/>
    <w:rsid w:val="009A1904"/>
    <w:rsid w:val="009A1D10"/>
    <w:rsid w:val="009A1FC1"/>
    <w:rsid w:val="009A2401"/>
    <w:rsid w:val="009A2548"/>
    <w:rsid w:val="009A2CCF"/>
    <w:rsid w:val="009A4B17"/>
    <w:rsid w:val="009A612C"/>
    <w:rsid w:val="009A615A"/>
    <w:rsid w:val="009A6560"/>
    <w:rsid w:val="009A6C23"/>
    <w:rsid w:val="009A6C54"/>
    <w:rsid w:val="009A6F59"/>
    <w:rsid w:val="009A781B"/>
    <w:rsid w:val="009B0030"/>
    <w:rsid w:val="009B01E3"/>
    <w:rsid w:val="009B09E3"/>
    <w:rsid w:val="009B11B9"/>
    <w:rsid w:val="009B2549"/>
    <w:rsid w:val="009B28C1"/>
    <w:rsid w:val="009B2D51"/>
    <w:rsid w:val="009B2E91"/>
    <w:rsid w:val="009B3AF8"/>
    <w:rsid w:val="009B4199"/>
    <w:rsid w:val="009B41A1"/>
    <w:rsid w:val="009B542A"/>
    <w:rsid w:val="009B6355"/>
    <w:rsid w:val="009B650A"/>
    <w:rsid w:val="009B6530"/>
    <w:rsid w:val="009B6894"/>
    <w:rsid w:val="009B730A"/>
    <w:rsid w:val="009B7BB4"/>
    <w:rsid w:val="009B7D9E"/>
    <w:rsid w:val="009C0857"/>
    <w:rsid w:val="009C0E9C"/>
    <w:rsid w:val="009C182B"/>
    <w:rsid w:val="009C1949"/>
    <w:rsid w:val="009C1C62"/>
    <w:rsid w:val="009C1DDF"/>
    <w:rsid w:val="009C2353"/>
    <w:rsid w:val="009C2881"/>
    <w:rsid w:val="009C2C65"/>
    <w:rsid w:val="009C2E3D"/>
    <w:rsid w:val="009C3174"/>
    <w:rsid w:val="009C32DA"/>
    <w:rsid w:val="009C3808"/>
    <w:rsid w:val="009C3D06"/>
    <w:rsid w:val="009C402F"/>
    <w:rsid w:val="009C4A77"/>
    <w:rsid w:val="009C586F"/>
    <w:rsid w:val="009C5D7E"/>
    <w:rsid w:val="009C639D"/>
    <w:rsid w:val="009C68B8"/>
    <w:rsid w:val="009C71D2"/>
    <w:rsid w:val="009C7311"/>
    <w:rsid w:val="009C7BF8"/>
    <w:rsid w:val="009D0006"/>
    <w:rsid w:val="009D07D8"/>
    <w:rsid w:val="009D0903"/>
    <w:rsid w:val="009D0A11"/>
    <w:rsid w:val="009D0D8D"/>
    <w:rsid w:val="009D106D"/>
    <w:rsid w:val="009D2487"/>
    <w:rsid w:val="009D2A10"/>
    <w:rsid w:val="009D2E8B"/>
    <w:rsid w:val="009D3163"/>
    <w:rsid w:val="009D3201"/>
    <w:rsid w:val="009D3CFA"/>
    <w:rsid w:val="009D6B5E"/>
    <w:rsid w:val="009D71C5"/>
    <w:rsid w:val="009D7204"/>
    <w:rsid w:val="009D7ADD"/>
    <w:rsid w:val="009E0D78"/>
    <w:rsid w:val="009E18CA"/>
    <w:rsid w:val="009E203D"/>
    <w:rsid w:val="009E2AA3"/>
    <w:rsid w:val="009E3411"/>
    <w:rsid w:val="009E39A6"/>
    <w:rsid w:val="009E3A06"/>
    <w:rsid w:val="009E42B0"/>
    <w:rsid w:val="009E5223"/>
    <w:rsid w:val="009E5E80"/>
    <w:rsid w:val="009E7729"/>
    <w:rsid w:val="009E7B35"/>
    <w:rsid w:val="009E7DA6"/>
    <w:rsid w:val="009F0038"/>
    <w:rsid w:val="009F0333"/>
    <w:rsid w:val="009F039F"/>
    <w:rsid w:val="009F2029"/>
    <w:rsid w:val="009F21C9"/>
    <w:rsid w:val="009F22D2"/>
    <w:rsid w:val="009F2EF2"/>
    <w:rsid w:val="009F36BB"/>
    <w:rsid w:val="009F39CE"/>
    <w:rsid w:val="009F4648"/>
    <w:rsid w:val="009F512D"/>
    <w:rsid w:val="009F5931"/>
    <w:rsid w:val="009F5F0C"/>
    <w:rsid w:val="009F6492"/>
    <w:rsid w:val="009F6826"/>
    <w:rsid w:val="009F6E10"/>
    <w:rsid w:val="009F6E91"/>
    <w:rsid w:val="009F750A"/>
    <w:rsid w:val="009F7F01"/>
    <w:rsid w:val="00A00660"/>
    <w:rsid w:val="00A00B4A"/>
    <w:rsid w:val="00A00CE3"/>
    <w:rsid w:val="00A00E41"/>
    <w:rsid w:val="00A026FE"/>
    <w:rsid w:val="00A02AF5"/>
    <w:rsid w:val="00A02D49"/>
    <w:rsid w:val="00A031B9"/>
    <w:rsid w:val="00A034A9"/>
    <w:rsid w:val="00A03A1C"/>
    <w:rsid w:val="00A0465A"/>
    <w:rsid w:val="00A049B4"/>
    <w:rsid w:val="00A04AD0"/>
    <w:rsid w:val="00A05219"/>
    <w:rsid w:val="00A0611B"/>
    <w:rsid w:val="00A0659A"/>
    <w:rsid w:val="00A065D7"/>
    <w:rsid w:val="00A0787C"/>
    <w:rsid w:val="00A07CC9"/>
    <w:rsid w:val="00A100EE"/>
    <w:rsid w:val="00A10430"/>
    <w:rsid w:val="00A10552"/>
    <w:rsid w:val="00A10692"/>
    <w:rsid w:val="00A10743"/>
    <w:rsid w:val="00A11566"/>
    <w:rsid w:val="00A11CD2"/>
    <w:rsid w:val="00A1261C"/>
    <w:rsid w:val="00A12CA1"/>
    <w:rsid w:val="00A12CD3"/>
    <w:rsid w:val="00A13477"/>
    <w:rsid w:val="00A13EED"/>
    <w:rsid w:val="00A13F08"/>
    <w:rsid w:val="00A14BF5"/>
    <w:rsid w:val="00A14C98"/>
    <w:rsid w:val="00A14E0D"/>
    <w:rsid w:val="00A14E95"/>
    <w:rsid w:val="00A150B6"/>
    <w:rsid w:val="00A15484"/>
    <w:rsid w:val="00A15B38"/>
    <w:rsid w:val="00A16460"/>
    <w:rsid w:val="00A16615"/>
    <w:rsid w:val="00A16B58"/>
    <w:rsid w:val="00A172EB"/>
    <w:rsid w:val="00A17D6D"/>
    <w:rsid w:val="00A20E4C"/>
    <w:rsid w:val="00A2127F"/>
    <w:rsid w:val="00A21484"/>
    <w:rsid w:val="00A21583"/>
    <w:rsid w:val="00A21F42"/>
    <w:rsid w:val="00A2239B"/>
    <w:rsid w:val="00A22E00"/>
    <w:rsid w:val="00A230D5"/>
    <w:rsid w:val="00A2316E"/>
    <w:rsid w:val="00A23495"/>
    <w:rsid w:val="00A23756"/>
    <w:rsid w:val="00A23990"/>
    <w:rsid w:val="00A23AF5"/>
    <w:rsid w:val="00A23D92"/>
    <w:rsid w:val="00A23E2C"/>
    <w:rsid w:val="00A243EF"/>
    <w:rsid w:val="00A24622"/>
    <w:rsid w:val="00A24653"/>
    <w:rsid w:val="00A25317"/>
    <w:rsid w:val="00A25476"/>
    <w:rsid w:val="00A25943"/>
    <w:rsid w:val="00A25E73"/>
    <w:rsid w:val="00A26E98"/>
    <w:rsid w:val="00A27A35"/>
    <w:rsid w:val="00A27C3F"/>
    <w:rsid w:val="00A27F03"/>
    <w:rsid w:val="00A3087A"/>
    <w:rsid w:val="00A30AEF"/>
    <w:rsid w:val="00A30F42"/>
    <w:rsid w:val="00A31872"/>
    <w:rsid w:val="00A319B4"/>
    <w:rsid w:val="00A32480"/>
    <w:rsid w:val="00A324DE"/>
    <w:rsid w:val="00A32FBA"/>
    <w:rsid w:val="00A339FF"/>
    <w:rsid w:val="00A34376"/>
    <w:rsid w:val="00A345C5"/>
    <w:rsid w:val="00A34817"/>
    <w:rsid w:val="00A34DEA"/>
    <w:rsid w:val="00A35D3C"/>
    <w:rsid w:val="00A36201"/>
    <w:rsid w:val="00A3653F"/>
    <w:rsid w:val="00A3666B"/>
    <w:rsid w:val="00A37EEA"/>
    <w:rsid w:val="00A4005B"/>
    <w:rsid w:val="00A400E7"/>
    <w:rsid w:val="00A403E5"/>
    <w:rsid w:val="00A40B0B"/>
    <w:rsid w:val="00A40BE9"/>
    <w:rsid w:val="00A40FFB"/>
    <w:rsid w:val="00A41DE4"/>
    <w:rsid w:val="00A42097"/>
    <w:rsid w:val="00A427C3"/>
    <w:rsid w:val="00A42FA9"/>
    <w:rsid w:val="00A438C0"/>
    <w:rsid w:val="00A44BE5"/>
    <w:rsid w:val="00A45891"/>
    <w:rsid w:val="00A45C9B"/>
    <w:rsid w:val="00A45D98"/>
    <w:rsid w:val="00A466F3"/>
    <w:rsid w:val="00A4729B"/>
    <w:rsid w:val="00A4736D"/>
    <w:rsid w:val="00A50038"/>
    <w:rsid w:val="00A5075F"/>
    <w:rsid w:val="00A50B8C"/>
    <w:rsid w:val="00A50CE9"/>
    <w:rsid w:val="00A50FCD"/>
    <w:rsid w:val="00A515F6"/>
    <w:rsid w:val="00A51731"/>
    <w:rsid w:val="00A51830"/>
    <w:rsid w:val="00A521BE"/>
    <w:rsid w:val="00A522DA"/>
    <w:rsid w:val="00A5308B"/>
    <w:rsid w:val="00A533AF"/>
    <w:rsid w:val="00A53406"/>
    <w:rsid w:val="00A53407"/>
    <w:rsid w:val="00A53E51"/>
    <w:rsid w:val="00A5434B"/>
    <w:rsid w:val="00A54815"/>
    <w:rsid w:val="00A54D6F"/>
    <w:rsid w:val="00A573C4"/>
    <w:rsid w:val="00A60155"/>
    <w:rsid w:val="00A6046E"/>
    <w:rsid w:val="00A60870"/>
    <w:rsid w:val="00A6164C"/>
    <w:rsid w:val="00A61941"/>
    <w:rsid w:val="00A61E7B"/>
    <w:rsid w:val="00A6229B"/>
    <w:rsid w:val="00A630F8"/>
    <w:rsid w:val="00A637F3"/>
    <w:rsid w:val="00A6406D"/>
    <w:rsid w:val="00A644BB"/>
    <w:rsid w:val="00A64FC5"/>
    <w:rsid w:val="00A651FF"/>
    <w:rsid w:val="00A66202"/>
    <w:rsid w:val="00A66316"/>
    <w:rsid w:val="00A66B39"/>
    <w:rsid w:val="00A6776C"/>
    <w:rsid w:val="00A67E39"/>
    <w:rsid w:val="00A70980"/>
    <w:rsid w:val="00A70A50"/>
    <w:rsid w:val="00A71F9B"/>
    <w:rsid w:val="00A7227E"/>
    <w:rsid w:val="00A72A7F"/>
    <w:rsid w:val="00A73E64"/>
    <w:rsid w:val="00A7463E"/>
    <w:rsid w:val="00A7498F"/>
    <w:rsid w:val="00A74A25"/>
    <w:rsid w:val="00A74F57"/>
    <w:rsid w:val="00A7505E"/>
    <w:rsid w:val="00A75326"/>
    <w:rsid w:val="00A753AF"/>
    <w:rsid w:val="00A76341"/>
    <w:rsid w:val="00A763F0"/>
    <w:rsid w:val="00A77009"/>
    <w:rsid w:val="00A81AB9"/>
    <w:rsid w:val="00A821A5"/>
    <w:rsid w:val="00A823AF"/>
    <w:rsid w:val="00A8261B"/>
    <w:rsid w:val="00A82655"/>
    <w:rsid w:val="00A827F7"/>
    <w:rsid w:val="00A82EF1"/>
    <w:rsid w:val="00A832F5"/>
    <w:rsid w:val="00A833A2"/>
    <w:rsid w:val="00A83E51"/>
    <w:rsid w:val="00A8438B"/>
    <w:rsid w:val="00A843DA"/>
    <w:rsid w:val="00A84B36"/>
    <w:rsid w:val="00A85F37"/>
    <w:rsid w:val="00A86337"/>
    <w:rsid w:val="00A87506"/>
    <w:rsid w:val="00A875CA"/>
    <w:rsid w:val="00A877D7"/>
    <w:rsid w:val="00A90A35"/>
    <w:rsid w:val="00A92547"/>
    <w:rsid w:val="00A925EA"/>
    <w:rsid w:val="00A92961"/>
    <w:rsid w:val="00A93A69"/>
    <w:rsid w:val="00A95385"/>
    <w:rsid w:val="00A9642D"/>
    <w:rsid w:val="00A96470"/>
    <w:rsid w:val="00A96979"/>
    <w:rsid w:val="00A96FD9"/>
    <w:rsid w:val="00A97D35"/>
    <w:rsid w:val="00AA0A1C"/>
    <w:rsid w:val="00AA1861"/>
    <w:rsid w:val="00AA22F7"/>
    <w:rsid w:val="00AA2548"/>
    <w:rsid w:val="00AA2B10"/>
    <w:rsid w:val="00AA323C"/>
    <w:rsid w:val="00AA44C8"/>
    <w:rsid w:val="00AA45B6"/>
    <w:rsid w:val="00AA46EC"/>
    <w:rsid w:val="00AA4A8B"/>
    <w:rsid w:val="00AA511D"/>
    <w:rsid w:val="00AA5999"/>
    <w:rsid w:val="00AA5A78"/>
    <w:rsid w:val="00AA6A19"/>
    <w:rsid w:val="00AA6E84"/>
    <w:rsid w:val="00AA73F5"/>
    <w:rsid w:val="00AA747E"/>
    <w:rsid w:val="00AA762A"/>
    <w:rsid w:val="00AA77AF"/>
    <w:rsid w:val="00AB0020"/>
    <w:rsid w:val="00AB0738"/>
    <w:rsid w:val="00AB0ACA"/>
    <w:rsid w:val="00AB0B7B"/>
    <w:rsid w:val="00AB13DA"/>
    <w:rsid w:val="00AB2424"/>
    <w:rsid w:val="00AB2768"/>
    <w:rsid w:val="00AB27FD"/>
    <w:rsid w:val="00AB2C14"/>
    <w:rsid w:val="00AB34F3"/>
    <w:rsid w:val="00AB3515"/>
    <w:rsid w:val="00AB358C"/>
    <w:rsid w:val="00AB39EC"/>
    <w:rsid w:val="00AB3D52"/>
    <w:rsid w:val="00AB439C"/>
    <w:rsid w:val="00AB5065"/>
    <w:rsid w:val="00AB5807"/>
    <w:rsid w:val="00AB6768"/>
    <w:rsid w:val="00AB697B"/>
    <w:rsid w:val="00AB6F9B"/>
    <w:rsid w:val="00AB72FC"/>
    <w:rsid w:val="00AC07E6"/>
    <w:rsid w:val="00AC0CDE"/>
    <w:rsid w:val="00AC0FC6"/>
    <w:rsid w:val="00AC1EFB"/>
    <w:rsid w:val="00AC1F60"/>
    <w:rsid w:val="00AC2334"/>
    <w:rsid w:val="00AC314F"/>
    <w:rsid w:val="00AC36C0"/>
    <w:rsid w:val="00AC4359"/>
    <w:rsid w:val="00AC4E8E"/>
    <w:rsid w:val="00AC4FB1"/>
    <w:rsid w:val="00AC5A31"/>
    <w:rsid w:val="00AC5CC4"/>
    <w:rsid w:val="00AC5D5E"/>
    <w:rsid w:val="00AC612F"/>
    <w:rsid w:val="00AC661D"/>
    <w:rsid w:val="00AC7650"/>
    <w:rsid w:val="00AC7A39"/>
    <w:rsid w:val="00AC7ADF"/>
    <w:rsid w:val="00AC7F05"/>
    <w:rsid w:val="00AD07AB"/>
    <w:rsid w:val="00AD0BCD"/>
    <w:rsid w:val="00AD1AB6"/>
    <w:rsid w:val="00AD3728"/>
    <w:rsid w:val="00AD3D63"/>
    <w:rsid w:val="00AD411C"/>
    <w:rsid w:val="00AD4220"/>
    <w:rsid w:val="00AD4613"/>
    <w:rsid w:val="00AD46FE"/>
    <w:rsid w:val="00AD4E54"/>
    <w:rsid w:val="00AD5B0A"/>
    <w:rsid w:val="00AD5FAA"/>
    <w:rsid w:val="00AD6D1D"/>
    <w:rsid w:val="00AD6E11"/>
    <w:rsid w:val="00AD6F97"/>
    <w:rsid w:val="00AD72A5"/>
    <w:rsid w:val="00AD739D"/>
    <w:rsid w:val="00AD7C6A"/>
    <w:rsid w:val="00AE02D4"/>
    <w:rsid w:val="00AE07EF"/>
    <w:rsid w:val="00AE18FD"/>
    <w:rsid w:val="00AE18FE"/>
    <w:rsid w:val="00AE231A"/>
    <w:rsid w:val="00AE249B"/>
    <w:rsid w:val="00AE27AB"/>
    <w:rsid w:val="00AE33EC"/>
    <w:rsid w:val="00AE4175"/>
    <w:rsid w:val="00AE5D7B"/>
    <w:rsid w:val="00AE6549"/>
    <w:rsid w:val="00AE6B2F"/>
    <w:rsid w:val="00AE6CE6"/>
    <w:rsid w:val="00AE79AC"/>
    <w:rsid w:val="00AE7CC7"/>
    <w:rsid w:val="00AE7CF2"/>
    <w:rsid w:val="00AF079C"/>
    <w:rsid w:val="00AF07D6"/>
    <w:rsid w:val="00AF1179"/>
    <w:rsid w:val="00AF18C3"/>
    <w:rsid w:val="00AF1C70"/>
    <w:rsid w:val="00AF1EED"/>
    <w:rsid w:val="00AF28DB"/>
    <w:rsid w:val="00AF2AF9"/>
    <w:rsid w:val="00AF3F4F"/>
    <w:rsid w:val="00AF41EE"/>
    <w:rsid w:val="00AF4C40"/>
    <w:rsid w:val="00AF5791"/>
    <w:rsid w:val="00AF5986"/>
    <w:rsid w:val="00AF60D8"/>
    <w:rsid w:val="00AF61E6"/>
    <w:rsid w:val="00AF6DEE"/>
    <w:rsid w:val="00AF7085"/>
    <w:rsid w:val="00AF7730"/>
    <w:rsid w:val="00B00253"/>
    <w:rsid w:val="00B00D18"/>
    <w:rsid w:val="00B0144F"/>
    <w:rsid w:val="00B016B4"/>
    <w:rsid w:val="00B0186A"/>
    <w:rsid w:val="00B020F3"/>
    <w:rsid w:val="00B0298C"/>
    <w:rsid w:val="00B039F8"/>
    <w:rsid w:val="00B03A9A"/>
    <w:rsid w:val="00B03AB3"/>
    <w:rsid w:val="00B047DF"/>
    <w:rsid w:val="00B05516"/>
    <w:rsid w:val="00B05981"/>
    <w:rsid w:val="00B05B16"/>
    <w:rsid w:val="00B05C11"/>
    <w:rsid w:val="00B05CDB"/>
    <w:rsid w:val="00B05E53"/>
    <w:rsid w:val="00B063B8"/>
    <w:rsid w:val="00B06842"/>
    <w:rsid w:val="00B068B9"/>
    <w:rsid w:val="00B06B32"/>
    <w:rsid w:val="00B06BA5"/>
    <w:rsid w:val="00B06F91"/>
    <w:rsid w:val="00B07557"/>
    <w:rsid w:val="00B07D0B"/>
    <w:rsid w:val="00B1017C"/>
    <w:rsid w:val="00B10711"/>
    <w:rsid w:val="00B11115"/>
    <w:rsid w:val="00B11CD7"/>
    <w:rsid w:val="00B129AF"/>
    <w:rsid w:val="00B12CEA"/>
    <w:rsid w:val="00B1367E"/>
    <w:rsid w:val="00B13F36"/>
    <w:rsid w:val="00B1448E"/>
    <w:rsid w:val="00B14627"/>
    <w:rsid w:val="00B14BBE"/>
    <w:rsid w:val="00B15165"/>
    <w:rsid w:val="00B15B65"/>
    <w:rsid w:val="00B15C0C"/>
    <w:rsid w:val="00B16165"/>
    <w:rsid w:val="00B178D9"/>
    <w:rsid w:val="00B17D77"/>
    <w:rsid w:val="00B20218"/>
    <w:rsid w:val="00B208BA"/>
    <w:rsid w:val="00B20E42"/>
    <w:rsid w:val="00B2165D"/>
    <w:rsid w:val="00B21A2C"/>
    <w:rsid w:val="00B21E87"/>
    <w:rsid w:val="00B237C6"/>
    <w:rsid w:val="00B238A4"/>
    <w:rsid w:val="00B23B31"/>
    <w:rsid w:val="00B23BA6"/>
    <w:rsid w:val="00B252A4"/>
    <w:rsid w:val="00B26122"/>
    <w:rsid w:val="00B26236"/>
    <w:rsid w:val="00B26A89"/>
    <w:rsid w:val="00B26B39"/>
    <w:rsid w:val="00B26CCE"/>
    <w:rsid w:val="00B276A9"/>
    <w:rsid w:val="00B27B4B"/>
    <w:rsid w:val="00B27D75"/>
    <w:rsid w:val="00B3032E"/>
    <w:rsid w:val="00B309A8"/>
    <w:rsid w:val="00B310F0"/>
    <w:rsid w:val="00B31E63"/>
    <w:rsid w:val="00B3219E"/>
    <w:rsid w:val="00B32719"/>
    <w:rsid w:val="00B3276B"/>
    <w:rsid w:val="00B32883"/>
    <w:rsid w:val="00B329F3"/>
    <w:rsid w:val="00B33395"/>
    <w:rsid w:val="00B344AD"/>
    <w:rsid w:val="00B350DB"/>
    <w:rsid w:val="00B35257"/>
    <w:rsid w:val="00B3604E"/>
    <w:rsid w:val="00B361A6"/>
    <w:rsid w:val="00B36AC8"/>
    <w:rsid w:val="00B3720C"/>
    <w:rsid w:val="00B376B8"/>
    <w:rsid w:val="00B37B46"/>
    <w:rsid w:val="00B37D4D"/>
    <w:rsid w:val="00B4034E"/>
    <w:rsid w:val="00B40F49"/>
    <w:rsid w:val="00B41328"/>
    <w:rsid w:val="00B41667"/>
    <w:rsid w:val="00B416B8"/>
    <w:rsid w:val="00B418DC"/>
    <w:rsid w:val="00B42003"/>
    <w:rsid w:val="00B43E91"/>
    <w:rsid w:val="00B43FC8"/>
    <w:rsid w:val="00B44CF0"/>
    <w:rsid w:val="00B460BD"/>
    <w:rsid w:val="00B46560"/>
    <w:rsid w:val="00B46CE1"/>
    <w:rsid w:val="00B47CE5"/>
    <w:rsid w:val="00B50F6B"/>
    <w:rsid w:val="00B51015"/>
    <w:rsid w:val="00B510BC"/>
    <w:rsid w:val="00B51261"/>
    <w:rsid w:val="00B513D5"/>
    <w:rsid w:val="00B51ACD"/>
    <w:rsid w:val="00B51B1D"/>
    <w:rsid w:val="00B51B3B"/>
    <w:rsid w:val="00B51BE4"/>
    <w:rsid w:val="00B51C9B"/>
    <w:rsid w:val="00B524CE"/>
    <w:rsid w:val="00B526B7"/>
    <w:rsid w:val="00B52854"/>
    <w:rsid w:val="00B52D9C"/>
    <w:rsid w:val="00B536C5"/>
    <w:rsid w:val="00B537C7"/>
    <w:rsid w:val="00B53D30"/>
    <w:rsid w:val="00B54181"/>
    <w:rsid w:val="00B54C46"/>
    <w:rsid w:val="00B55093"/>
    <w:rsid w:val="00B554B0"/>
    <w:rsid w:val="00B56360"/>
    <w:rsid w:val="00B566BF"/>
    <w:rsid w:val="00B56D27"/>
    <w:rsid w:val="00B57C5B"/>
    <w:rsid w:val="00B57CF4"/>
    <w:rsid w:val="00B60239"/>
    <w:rsid w:val="00B60692"/>
    <w:rsid w:val="00B60757"/>
    <w:rsid w:val="00B60F97"/>
    <w:rsid w:val="00B610DF"/>
    <w:rsid w:val="00B62017"/>
    <w:rsid w:val="00B626C8"/>
    <w:rsid w:val="00B62A29"/>
    <w:rsid w:val="00B631D9"/>
    <w:rsid w:val="00B64A69"/>
    <w:rsid w:val="00B6526E"/>
    <w:rsid w:val="00B6607F"/>
    <w:rsid w:val="00B66D6A"/>
    <w:rsid w:val="00B66EB7"/>
    <w:rsid w:val="00B67B9F"/>
    <w:rsid w:val="00B70423"/>
    <w:rsid w:val="00B705A2"/>
    <w:rsid w:val="00B73E89"/>
    <w:rsid w:val="00B741EC"/>
    <w:rsid w:val="00B74887"/>
    <w:rsid w:val="00B74931"/>
    <w:rsid w:val="00B74F9D"/>
    <w:rsid w:val="00B750CE"/>
    <w:rsid w:val="00B75436"/>
    <w:rsid w:val="00B75446"/>
    <w:rsid w:val="00B75453"/>
    <w:rsid w:val="00B759A8"/>
    <w:rsid w:val="00B75C0B"/>
    <w:rsid w:val="00B766FD"/>
    <w:rsid w:val="00B76EC8"/>
    <w:rsid w:val="00B80062"/>
    <w:rsid w:val="00B80B4C"/>
    <w:rsid w:val="00B81837"/>
    <w:rsid w:val="00B81F90"/>
    <w:rsid w:val="00B822C6"/>
    <w:rsid w:val="00B8239E"/>
    <w:rsid w:val="00B823BA"/>
    <w:rsid w:val="00B826BB"/>
    <w:rsid w:val="00B829F9"/>
    <w:rsid w:val="00B830ED"/>
    <w:rsid w:val="00B83498"/>
    <w:rsid w:val="00B83D1D"/>
    <w:rsid w:val="00B83E00"/>
    <w:rsid w:val="00B84793"/>
    <w:rsid w:val="00B849EE"/>
    <w:rsid w:val="00B85F69"/>
    <w:rsid w:val="00B861D1"/>
    <w:rsid w:val="00B86CA2"/>
    <w:rsid w:val="00B87B96"/>
    <w:rsid w:val="00B87C45"/>
    <w:rsid w:val="00B902A7"/>
    <w:rsid w:val="00B906CC"/>
    <w:rsid w:val="00B9137B"/>
    <w:rsid w:val="00B91639"/>
    <w:rsid w:val="00B91E01"/>
    <w:rsid w:val="00B92065"/>
    <w:rsid w:val="00B9222F"/>
    <w:rsid w:val="00B924A7"/>
    <w:rsid w:val="00B92F7E"/>
    <w:rsid w:val="00B93496"/>
    <w:rsid w:val="00B93E28"/>
    <w:rsid w:val="00B9558B"/>
    <w:rsid w:val="00B955C5"/>
    <w:rsid w:val="00B9710B"/>
    <w:rsid w:val="00B97D99"/>
    <w:rsid w:val="00B97ED1"/>
    <w:rsid w:val="00B97F7D"/>
    <w:rsid w:val="00BA00EA"/>
    <w:rsid w:val="00BA06DC"/>
    <w:rsid w:val="00BA0D7A"/>
    <w:rsid w:val="00BA120D"/>
    <w:rsid w:val="00BA1726"/>
    <w:rsid w:val="00BA3472"/>
    <w:rsid w:val="00BA3530"/>
    <w:rsid w:val="00BA3E7A"/>
    <w:rsid w:val="00BA3F13"/>
    <w:rsid w:val="00BA57DE"/>
    <w:rsid w:val="00BA5B87"/>
    <w:rsid w:val="00BA63F4"/>
    <w:rsid w:val="00BA740A"/>
    <w:rsid w:val="00BA7C6B"/>
    <w:rsid w:val="00BB1207"/>
    <w:rsid w:val="00BB1A40"/>
    <w:rsid w:val="00BB203A"/>
    <w:rsid w:val="00BB22CB"/>
    <w:rsid w:val="00BB22E6"/>
    <w:rsid w:val="00BB3747"/>
    <w:rsid w:val="00BB3AFE"/>
    <w:rsid w:val="00BB3E0A"/>
    <w:rsid w:val="00BB3EF6"/>
    <w:rsid w:val="00BB4A13"/>
    <w:rsid w:val="00BB4CED"/>
    <w:rsid w:val="00BB50FE"/>
    <w:rsid w:val="00BB5D23"/>
    <w:rsid w:val="00BB5E0B"/>
    <w:rsid w:val="00BB6429"/>
    <w:rsid w:val="00BB6A29"/>
    <w:rsid w:val="00BB6B95"/>
    <w:rsid w:val="00BB6F66"/>
    <w:rsid w:val="00BB72A5"/>
    <w:rsid w:val="00BB7D36"/>
    <w:rsid w:val="00BC10F6"/>
    <w:rsid w:val="00BC1259"/>
    <w:rsid w:val="00BC18DF"/>
    <w:rsid w:val="00BC2FAB"/>
    <w:rsid w:val="00BC321D"/>
    <w:rsid w:val="00BC35CB"/>
    <w:rsid w:val="00BC385F"/>
    <w:rsid w:val="00BC3B33"/>
    <w:rsid w:val="00BC3B60"/>
    <w:rsid w:val="00BC3E50"/>
    <w:rsid w:val="00BC5712"/>
    <w:rsid w:val="00BC5BEF"/>
    <w:rsid w:val="00BC642A"/>
    <w:rsid w:val="00BC67C8"/>
    <w:rsid w:val="00BC74FC"/>
    <w:rsid w:val="00BC7D40"/>
    <w:rsid w:val="00BD0693"/>
    <w:rsid w:val="00BD1862"/>
    <w:rsid w:val="00BD1954"/>
    <w:rsid w:val="00BD1A65"/>
    <w:rsid w:val="00BD2185"/>
    <w:rsid w:val="00BD235E"/>
    <w:rsid w:val="00BD2EF8"/>
    <w:rsid w:val="00BD2FB5"/>
    <w:rsid w:val="00BD31EB"/>
    <w:rsid w:val="00BD329F"/>
    <w:rsid w:val="00BD3565"/>
    <w:rsid w:val="00BD359C"/>
    <w:rsid w:val="00BD402C"/>
    <w:rsid w:val="00BD4410"/>
    <w:rsid w:val="00BD6134"/>
    <w:rsid w:val="00BD6618"/>
    <w:rsid w:val="00BD6ED2"/>
    <w:rsid w:val="00BE02F8"/>
    <w:rsid w:val="00BE0D97"/>
    <w:rsid w:val="00BE0E36"/>
    <w:rsid w:val="00BE29E2"/>
    <w:rsid w:val="00BE2E02"/>
    <w:rsid w:val="00BE3185"/>
    <w:rsid w:val="00BE355D"/>
    <w:rsid w:val="00BE39EC"/>
    <w:rsid w:val="00BE45FF"/>
    <w:rsid w:val="00BE46E5"/>
    <w:rsid w:val="00BE4AA8"/>
    <w:rsid w:val="00BE4ED1"/>
    <w:rsid w:val="00BE4F46"/>
    <w:rsid w:val="00BE5686"/>
    <w:rsid w:val="00BE62A3"/>
    <w:rsid w:val="00BE65FF"/>
    <w:rsid w:val="00BE6EDE"/>
    <w:rsid w:val="00BE7467"/>
    <w:rsid w:val="00BE76E8"/>
    <w:rsid w:val="00BE7F5E"/>
    <w:rsid w:val="00BF0436"/>
    <w:rsid w:val="00BF0A43"/>
    <w:rsid w:val="00BF0E60"/>
    <w:rsid w:val="00BF12FB"/>
    <w:rsid w:val="00BF1422"/>
    <w:rsid w:val="00BF2021"/>
    <w:rsid w:val="00BF21A6"/>
    <w:rsid w:val="00BF2264"/>
    <w:rsid w:val="00BF27CF"/>
    <w:rsid w:val="00BF2B95"/>
    <w:rsid w:val="00BF357C"/>
    <w:rsid w:val="00BF3CC1"/>
    <w:rsid w:val="00BF3D5E"/>
    <w:rsid w:val="00BF4471"/>
    <w:rsid w:val="00BF4570"/>
    <w:rsid w:val="00BF4E82"/>
    <w:rsid w:val="00BF56CD"/>
    <w:rsid w:val="00BF61FF"/>
    <w:rsid w:val="00BF6AB0"/>
    <w:rsid w:val="00BF6DEB"/>
    <w:rsid w:val="00C002A8"/>
    <w:rsid w:val="00C00480"/>
    <w:rsid w:val="00C00E76"/>
    <w:rsid w:val="00C013DC"/>
    <w:rsid w:val="00C02114"/>
    <w:rsid w:val="00C02433"/>
    <w:rsid w:val="00C03222"/>
    <w:rsid w:val="00C034DE"/>
    <w:rsid w:val="00C03514"/>
    <w:rsid w:val="00C03FDE"/>
    <w:rsid w:val="00C04FB6"/>
    <w:rsid w:val="00C050BD"/>
    <w:rsid w:val="00C052F5"/>
    <w:rsid w:val="00C05638"/>
    <w:rsid w:val="00C05C8F"/>
    <w:rsid w:val="00C05F0B"/>
    <w:rsid w:val="00C062F5"/>
    <w:rsid w:val="00C07262"/>
    <w:rsid w:val="00C0791E"/>
    <w:rsid w:val="00C1045C"/>
    <w:rsid w:val="00C11F5E"/>
    <w:rsid w:val="00C1290E"/>
    <w:rsid w:val="00C134A2"/>
    <w:rsid w:val="00C13A14"/>
    <w:rsid w:val="00C14A51"/>
    <w:rsid w:val="00C14B0A"/>
    <w:rsid w:val="00C14FFC"/>
    <w:rsid w:val="00C15BE8"/>
    <w:rsid w:val="00C15ED1"/>
    <w:rsid w:val="00C160A8"/>
    <w:rsid w:val="00C16178"/>
    <w:rsid w:val="00C1641B"/>
    <w:rsid w:val="00C16AF7"/>
    <w:rsid w:val="00C16D02"/>
    <w:rsid w:val="00C17A02"/>
    <w:rsid w:val="00C17ACC"/>
    <w:rsid w:val="00C20E16"/>
    <w:rsid w:val="00C20EA3"/>
    <w:rsid w:val="00C20F13"/>
    <w:rsid w:val="00C21BCE"/>
    <w:rsid w:val="00C21F36"/>
    <w:rsid w:val="00C22B86"/>
    <w:rsid w:val="00C230BD"/>
    <w:rsid w:val="00C2346A"/>
    <w:rsid w:val="00C235E0"/>
    <w:rsid w:val="00C238AD"/>
    <w:rsid w:val="00C24FF4"/>
    <w:rsid w:val="00C25644"/>
    <w:rsid w:val="00C2632A"/>
    <w:rsid w:val="00C26E82"/>
    <w:rsid w:val="00C26ED8"/>
    <w:rsid w:val="00C27B9A"/>
    <w:rsid w:val="00C30DD6"/>
    <w:rsid w:val="00C31339"/>
    <w:rsid w:val="00C31948"/>
    <w:rsid w:val="00C31B07"/>
    <w:rsid w:val="00C321F3"/>
    <w:rsid w:val="00C3299B"/>
    <w:rsid w:val="00C33062"/>
    <w:rsid w:val="00C33917"/>
    <w:rsid w:val="00C3438A"/>
    <w:rsid w:val="00C34DC1"/>
    <w:rsid w:val="00C35BDD"/>
    <w:rsid w:val="00C35CBD"/>
    <w:rsid w:val="00C36CF5"/>
    <w:rsid w:val="00C37588"/>
    <w:rsid w:val="00C377B0"/>
    <w:rsid w:val="00C37E12"/>
    <w:rsid w:val="00C422B5"/>
    <w:rsid w:val="00C435B2"/>
    <w:rsid w:val="00C43802"/>
    <w:rsid w:val="00C44C52"/>
    <w:rsid w:val="00C44E63"/>
    <w:rsid w:val="00C44F1C"/>
    <w:rsid w:val="00C45059"/>
    <w:rsid w:val="00C45BB3"/>
    <w:rsid w:val="00C46355"/>
    <w:rsid w:val="00C479FA"/>
    <w:rsid w:val="00C47BA1"/>
    <w:rsid w:val="00C50C32"/>
    <w:rsid w:val="00C51A8B"/>
    <w:rsid w:val="00C51AFE"/>
    <w:rsid w:val="00C51E73"/>
    <w:rsid w:val="00C52A4B"/>
    <w:rsid w:val="00C52C62"/>
    <w:rsid w:val="00C530E3"/>
    <w:rsid w:val="00C54011"/>
    <w:rsid w:val="00C5404C"/>
    <w:rsid w:val="00C54F02"/>
    <w:rsid w:val="00C55023"/>
    <w:rsid w:val="00C55944"/>
    <w:rsid w:val="00C5629D"/>
    <w:rsid w:val="00C56417"/>
    <w:rsid w:val="00C56946"/>
    <w:rsid w:val="00C57804"/>
    <w:rsid w:val="00C57EE0"/>
    <w:rsid w:val="00C600A9"/>
    <w:rsid w:val="00C600D6"/>
    <w:rsid w:val="00C606A2"/>
    <w:rsid w:val="00C60811"/>
    <w:rsid w:val="00C60B11"/>
    <w:rsid w:val="00C60D5D"/>
    <w:rsid w:val="00C6112A"/>
    <w:rsid w:val="00C6115F"/>
    <w:rsid w:val="00C61214"/>
    <w:rsid w:val="00C614C3"/>
    <w:rsid w:val="00C61DEB"/>
    <w:rsid w:val="00C62B0A"/>
    <w:rsid w:val="00C63241"/>
    <w:rsid w:val="00C6331F"/>
    <w:rsid w:val="00C635F1"/>
    <w:rsid w:val="00C6365B"/>
    <w:rsid w:val="00C6451B"/>
    <w:rsid w:val="00C64CD9"/>
    <w:rsid w:val="00C6506B"/>
    <w:rsid w:val="00C65CD5"/>
    <w:rsid w:val="00C66CB2"/>
    <w:rsid w:val="00C67472"/>
    <w:rsid w:val="00C6750E"/>
    <w:rsid w:val="00C6765D"/>
    <w:rsid w:val="00C70181"/>
    <w:rsid w:val="00C70573"/>
    <w:rsid w:val="00C7074D"/>
    <w:rsid w:val="00C70D50"/>
    <w:rsid w:val="00C718C6"/>
    <w:rsid w:val="00C722BD"/>
    <w:rsid w:val="00C72527"/>
    <w:rsid w:val="00C7306D"/>
    <w:rsid w:val="00C73229"/>
    <w:rsid w:val="00C73AE6"/>
    <w:rsid w:val="00C73B58"/>
    <w:rsid w:val="00C74CAA"/>
    <w:rsid w:val="00C74DD8"/>
    <w:rsid w:val="00C75016"/>
    <w:rsid w:val="00C7505D"/>
    <w:rsid w:val="00C7506A"/>
    <w:rsid w:val="00C7581B"/>
    <w:rsid w:val="00C75A81"/>
    <w:rsid w:val="00C76F2C"/>
    <w:rsid w:val="00C77404"/>
    <w:rsid w:val="00C803DD"/>
    <w:rsid w:val="00C805E2"/>
    <w:rsid w:val="00C80CD4"/>
    <w:rsid w:val="00C81096"/>
    <w:rsid w:val="00C81A5A"/>
    <w:rsid w:val="00C81E5E"/>
    <w:rsid w:val="00C82EBE"/>
    <w:rsid w:val="00C83010"/>
    <w:rsid w:val="00C847A4"/>
    <w:rsid w:val="00C857BE"/>
    <w:rsid w:val="00C85812"/>
    <w:rsid w:val="00C85A9B"/>
    <w:rsid w:val="00C85DAA"/>
    <w:rsid w:val="00C85E8D"/>
    <w:rsid w:val="00C86D45"/>
    <w:rsid w:val="00C87803"/>
    <w:rsid w:val="00C910DF"/>
    <w:rsid w:val="00C917F8"/>
    <w:rsid w:val="00C91968"/>
    <w:rsid w:val="00C91B6A"/>
    <w:rsid w:val="00C91D47"/>
    <w:rsid w:val="00C92FCE"/>
    <w:rsid w:val="00C9320C"/>
    <w:rsid w:val="00C932DC"/>
    <w:rsid w:val="00C9395A"/>
    <w:rsid w:val="00C93B55"/>
    <w:rsid w:val="00C9521E"/>
    <w:rsid w:val="00C9532E"/>
    <w:rsid w:val="00C95F8F"/>
    <w:rsid w:val="00C9621A"/>
    <w:rsid w:val="00C96238"/>
    <w:rsid w:val="00C969C6"/>
    <w:rsid w:val="00C96FF1"/>
    <w:rsid w:val="00C97570"/>
    <w:rsid w:val="00C97626"/>
    <w:rsid w:val="00C97E52"/>
    <w:rsid w:val="00CA0002"/>
    <w:rsid w:val="00CA15A2"/>
    <w:rsid w:val="00CA1889"/>
    <w:rsid w:val="00CA2091"/>
    <w:rsid w:val="00CA25AC"/>
    <w:rsid w:val="00CA38C8"/>
    <w:rsid w:val="00CA42C1"/>
    <w:rsid w:val="00CA44C9"/>
    <w:rsid w:val="00CA4D81"/>
    <w:rsid w:val="00CA582A"/>
    <w:rsid w:val="00CA5859"/>
    <w:rsid w:val="00CA6B09"/>
    <w:rsid w:val="00CA6B3C"/>
    <w:rsid w:val="00CA7036"/>
    <w:rsid w:val="00CA71CD"/>
    <w:rsid w:val="00CA71CF"/>
    <w:rsid w:val="00CB0383"/>
    <w:rsid w:val="00CB1064"/>
    <w:rsid w:val="00CB11C5"/>
    <w:rsid w:val="00CB17E9"/>
    <w:rsid w:val="00CB1DD0"/>
    <w:rsid w:val="00CB21ED"/>
    <w:rsid w:val="00CB2769"/>
    <w:rsid w:val="00CB29AA"/>
    <w:rsid w:val="00CB32B6"/>
    <w:rsid w:val="00CB3306"/>
    <w:rsid w:val="00CB34DB"/>
    <w:rsid w:val="00CB48BE"/>
    <w:rsid w:val="00CB4F53"/>
    <w:rsid w:val="00CB54E9"/>
    <w:rsid w:val="00CB566D"/>
    <w:rsid w:val="00CB6295"/>
    <w:rsid w:val="00CB6724"/>
    <w:rsid w:val="00CB6E0E"/>
    <w:rsid w:val="00CB71E1"/>
    <w:rsid w:val="00CC092A"/>
    <w:rsid w:val="00CC0D92"/>
    <w:rsid w:val="00CC12A8"/>
    <w:rsid w:val="00CC12DE"/>
    <w:rsid w:val="00CC1300"/>
    <w:rsid w:val="00CC191E"/>
    <w:rsid w:val="00CC1AD0"/>
    <w:rsid w:val="00CC1E4E"/>
    <w:rsid w:val="00CC2B6C"/>
    <w:rsid w:val="00CC2C81"/>
    <w:rsid w:val="00CC2EDA"/>
    <w:rsid w:val="00CC343F"/>
    <w:rsid w:val="00CC38A9"/>
    <w:rsid w:val="00CC3993"/>
    <w:rsid w:val="00CC4104"/>
    <w:rsid w:val="00CC4575"/>
    <w:rsid w:val="00CC46B1"/>
    <w:rsid w:val="00CC5365"/>
    <w:rsid w:val="00CC612A"/>
    <w:rsid w:val="00CC6878"/>
    <w:rsid w:val="00CC69CE"/>
    <w:rsid w:val="00CC7200"/>
    <w:rsid w:val="00CC7584"/>
    <w:rsid w:val="00CC78B8"/>
    <w:rsid w:val="00CC7CA7"/>
    <w:rsid w:val="00CD0B8A"/>
    <w:rsid w:val="00CD1538"/>
    <w:rsid w:val="00CD1948"/>
    <w:rsid w:val="00CD1D0A"/>
    <w:rsid w:val="00CD295F"/>
    <w:rsid w:val="00CD2BFB"/>
    <w:rsid w:val="00CD2C39"/>
    <w:rsid w:val="00CD3631"/>
    <w:rsid w:val="00CD3B10"/>
    <w:rsid w:val="00CD3B36"/>
    <w:rsid w:val="00CD3BDC"/>
    <w:rsid w:val="00CD3DB9"/>
    <w:rsid w:val="00CD3FA8"/>
    <w:rsid w:val="00CD42C8"/>
    <w:rsid w:val="00CD485C"/>
    <w:rsid w:val="00CD566B"/>
    <w:rsid w:val="00CD5E61"/>
    <w:rsid w:val="00CD6BFC"/>
    <w:rsid w:val="00CD6BFE"/>
    <w:rsid w:val="00CD7066"/>
    <w:rsid w:val="00CD7685"/>
    <w:rsid w:val="00CE0890"/>
    <w:rsid w:val="00CE08AA"/>
    <w:rsid w:val="00CE08BE"/>
    <w:rsid w:val="00CE13E1"/>
    <w:rsid w:val="00CE168D"/>
    <w:rsid w:val="00CE1F29"/>
    <w:rsid w:val="00CE2ABF"/>
    <w:rsid w:val="00CE2DA9"/>
    <w:rsid w:val="00CE2F64"/>
    <w:rsid w:val="00CE2FBD"/>
    <w:rsid w:val="00CE3650"/>
    <w:rsid w:val="00CE3A1B"/>
    <w:rsid w:val="00CE4B71"/>
    <w:rsid w:val="00CE50D9"/>
    <w:rsid w:val="00CE538B"/>
    <w:rsid w:val="00CE6979"/>
    <w:rsid w:val="00CE6B7D"/>
    <w:rsid w:val="00CE7365"/>
    <w:rsid w:val="00CE73A7"/>
    <w:rsid w:val="00CF0270"/>
    <w:rsid w:val="00CF0904"/>
    <w:rsid w:val="00CF1262"/>
    <w:rsid w:val="00CF2332"/>
    <w:rsid w:val="00CF2499"/>
    <w:rsid w:val="00CF33A2"/>
    <w:rsid w:val="00CF65AA"/>
    <w:rsid w:val="00CF736F"/>
    <w:rsid w:val="00D008FA"/>
    <w:rsid w:val="00D026FE"/>
    <w:rsid w:val="00D02CCB"/>
    <w:rsid w:val="00D03F92"/>
    <w:rsid w:val="00D04741"/>
    <w:rsid w:val="00D04CEE"/>
    <w:rsid w:val="00D0571B"/>
    <w:rsid w:val="00D06D3A"/>
    <w:rsid w:val="00D07248"/>
    <w:rsid w:val="00D10103"/>
    <w:rsid w:val="00D101A4"/>
    <w:rsid w:val="00D10210"/>
    <w:rsid w:val="00D10334"/>
    <w:rsid w:val="00D1086C"/>
    <w:rsid w:val="00D10FB9"/>
    <w:rsid w:val="00D11547"/>
    <w:rsid w:val="00D11E6A"/>
    <w:rsid w:val="00D12029"/>
    <w:rsid w:val="00D1235E"/>
    <w:rsid w:val="00D124BA"/>
    <w:rsid w:val="00D12734"/>
    <w:rsid w:val="00D12BD2"/>
    <w:rsid w:val="00D13246"/>
    <w:rsid w:val="00D14D06"/>
    <w:rsid w:val="00D14FF0"/>
    <w:rsid w:val="00D154E3"/>
    <w:rsid w:val="00D16472"/>
    <w:rsid w:val="00D16D5E"/>
    <w:rsid w:val="00D176AC"/>
    <w:rsid w:val="00D17C3F"/>
    <w:rsid w:val="00D20F23"/>
    <w:rsid w:val="00D21173"/>
    <w:rsid w:val="00D21943"/>
    <w:rsid w:val="00D21A5C"/>
    <w:rsid w:val="00D22669"/>
    <w:rsid w:val="00D22977"/>
    <w:rsid w:val="00D22CE5"/>
    <w:rsid w:val="00D23057"/>
    <w:rsid w:val="00D2331B"/>
    <w:rsid w:val="00D24AC9"/>
    <w:rsid w:val="00D250BF"/>
    <w:rsid w:val="00D25492"/>
    <w:rsid w:val="00D257E8"/>
    <w:rsid w:val="00D259E6"/>
    <w:rsid w:val="00D267F9"/>
    <w:rsid w:val="00D26A52"/>
    <w:rsid w:val="00D26BF7"/>
    <w:rsid w:val="00D27085"/>
    <w:rsid w:val="00D27299"/>
    <w:rsid w:val="00D273DA"/>
    <w:rsid w:val="00D27635"/>
    <w:rsid w:val="00D27A6B"/>
    <w:rsid w:val="00D27B30"/>
    <w:rsid w:val="00D30359"/>
    <w:rsid w:val="00D312FF"/>
    <w:rsid w:val="00D314F9"/>
    <w:rsid w:val="00D3178A"/>
    <w:rsid w:val="00D31B00"/>
    <w:rsid w:val="00D3221E"/>
    <w:rsid w:val="00D32289"/>
    <w:rsid w:val="00D32298"/>
    <w:rsid w:val="00D32418"/>
    <w:rsid w:val="00D324C4"/>
    <w:rsid w:val="00D33A60"/>
    <w:rsid w:val="00D33F0D"/>
    <w:rsid w:val="00D34293"/>
    <w:rsid w:val="00D3434E"/>
    <w:rsid w:val="00D35123"/>
    <w:rsid w:val="00D35321"/>
    <w:rsid w:val="00D35648"/>
    <w:rsid w:val="00D35F43"/>
    <w:rsid w:val="00D35F9A"/>
    <w:rsid w:val="00D362C1"/>
    <w:rsid w:val="00D369F5"/>
    <w:rsid w:val="00D36DED"/>
    <w:rsid w:val="00D371FF"/>
    <w:rsid w:val="00D417B8"/>
    <w:rsid w:val="00D4224F"/>
    <w:rsid w:val="00D42701"/>
    <w:rsid w:val="00D4279B"/>
    <w:rsid w:val="00D42E2C"/>
    <w:rsid w:val="00D42FEB"/>
    <w:rsid w:val="00D4305D"/>
    <w:rsid w:val="00D436B0"/>
    <w:rsid w:val="00D444A6"/>
    <w:rsid w:val="00D464C4"/>
    <w:rsid w:val="00D46820"/>
    <w:rsid w:val="00D46FF9"/>
    <w:rsid w:val="00D50608"/>
    <w:rsid w:val="00D518A3"/>
    <w:rsid w:val="00D51D10"/>
    <w:rsid w:val="00D51F0C"/>
    <w:rsid w:val="00D52E09"/>
    <w:rsid w:val="00D539EC"/>
    <w:rsid w:val="00D542E9"/>
    <w:rsid w:val="00D54363"/>
    <w:rsid w:val="00D556A2"/>
    <w:rsid w:val="00D5599E"/>
    <w:rsid w:val="00D55EC6"/>
    <w:rsid w:val="00D563E7"/>
    <w:rsid w:val="00D56FC0"/>
    <w:rsid w:val="00D57100"/>
    <w:rsid w:val="00D57BED"/>
    <w:rsid w:val="00D57C92"/>
    <w:rsid w:val="00D60934"/>
    <w:rsid w:val="00D61082"/>
    <w:rsid w:val="00D61720"/>
    <w:rsid w:val="00D61F67"/>
    <w:rsid w:val="00D626DD"/>
    <w:rsid w:val="00D629E1"/>
    <w:rsid w:val="00D65132"/>
    <w:rsid w:val="00D6551E"/>
    <w:rsid w:val="00D6568A"/>
    <w:rsid w:val="00D66FF4"/>
    <w:rsid w:val="00D67183"/>
    <w:rsid w:val="00D6734A"/>
    <w:rsid w:val="00D702BC"/>
    <w:rsid w:val="00D70410"/>
    <w:rsid w:val="00D70539"/>
    <w:rsid w:val="00D7084A"/>
    <w:rsid w:val="00D71206"/>
    <w:rsid w:val="00D71216"/>
    <w:rsid w:val="00D71867"/>
    <w:rsid w:val="00D71A84"/>
    <w:rsid w:val="00D71BC7"/>
    <w:rsid w:val="00D720A4"/>
    <w:rsid w:val="00D72BA5"/>
    <w:rsid w:val="00D72CEB"/>
    <w:rsid w:val="00D73ACA"/>
    <w:rsid w:val="00D745BA"/>
    <w:rsid w:val="00D751F6"/>
    <w:rsid w:val="00D755C4"/>
    <w:rsid w:val="00D75A10"/>
    <w:rsid w:val="00D75BC9"/>
    <w:rsid w:val="00D75CCF"/>
    <w:rsid w:val="00D76956"/>
    <w:rsid w:val="00D7744E"/>
    <w:rsid w:val="00D7749A"/>
    <w:rsid w:val="00D802CA"/>
    <w:rsid w:val="00D803C3"/>
    <w:rsid w:val="00D82253"/>
    <w:rsid w:val="00D822AA"/>
    <w:rsid w:val="00D8238D"/>
    <w:rsid w:val="00D826ED"/>
    <w:rsid w:val="00D84268"/>
    <w:rsid w:val="00D84980"/>
    <w:rsid w:val="00D84CDE"/>
    <w:rsid w:val="00D84DC8"/>
    <w:rsid w:val="00D84E97"/>
    <w:rsid w:val="00D85456"/>
    <w:rsid w:val="00D857E0"/>
    <w:rsid w:val="00D858EF"/>
    <w:rsid w:val="00D85E0C"/>
    <w:rsid w:val="00D85F3A"/>
    <w:rsid w:val="00D862BE"/>
    <w:rsid w:val="00D86344"/>
    <w:rsid w:val="00D86380"/>
    <w:rsid w:val="00D870A0"/>
    <w:rsid w:val="00D87522"/>
    <w:rsid w:val="00D87661"/>
    <w:rsid w:val="00D87973"/>
    <w:rsid w:val="00D900A3"/>
    <w:rsid w:val="00D90694"/>
    <w:rsid w:val="00D90EE1"/>
    <w:rsid w:val="00D90F65"/>
    <w:rsid w:val="00D918F7"/>
    <w:rsid w:val="00D91A5A"/>
    <w:rsid w:val="00D920D9"/>
    <w:rsid w:val="00D92F25"/>
    <w:rsid w:val="00D93066"/>
    <w:rsid w:val="00D93068"/>
    <w:rsid w:val="00D935AA"/>
    <w:rsid w:val="00D9378F"/>
    <w:rsid w:val="00D93BAF"/>
    <w:rsid w:val="00D940E5"/>
    <w:rsid w:val="00D941F1"/>
    <w:rsid w:val="00D9426B"/>
    <w:rsid w:val="00D9442E"/>
    <w:rsid w:val="00D95054"/>
    <w:rsid w:val="00D957A6"/>
    <w:rsid w:val="00D96E62"/>
    <w:rsid w:val="00D97355"/>
    <w:rsid w:val="00D9736C"/>
    <w:rsid w:val="00D97AAB"/>
    <w:rsid w:val="00DA0235"/>
    <w:rsid w:val="00DA1C5D"/>
    <w:rsid w:val="00DA1D4E"/>
    <w:rsid w:val="00DA1F0B"/>
    <w:rsid w:val="00DA263A"/>
    <w:rsid w:val="00DA2A97"/>
    <w:rsid w:val="00DA324D"/>
    <w:rsid w:val="00DA3306"/>
    <w:rsid w:val="00DA36AF"/>
    <w:rsid w:val="00DA3AB7"/>
    <w:rsid w:val="00DA3BCF"/>
    <w:rsid w:val="00DA4023"/>
    <w:rsid w:val="00DA5552"/>
    <w:rsid w:val="00DA5E6F"/>
    <w:rsid w:val="00DA6143"/>
    <w:rsid w:val="00DA6B5C"/>
    <w:rsid w:val="00DA6BA6"/>
    <w:rsid w:val="00DA6CAE"/>
    <w:rsid w:val="00DA6F9F"/>
    <w:rsid w:val="00DA6FD7"/>
    <w:rsid w:val="00DA7357"/>
    <w:rsid w:val="00DA746F"/>
    <w:rsid w:val="00DA7B7B"/>
    <w:rsid w:val="00DB033A"/>
    <w:rsid w:val="00DB11E0"/>
    <w:rsid w:val="00DB14D5"/>
    <w:rsid w:val="00DB1A4A"/>
    <w:rsid w:val="00DB35AE"/>
    <w:rsid w:val="00DB3940"/>
    <w:rsid w:val="00DB3A54"/>
    <w:rsid w:val="00DB4563"/>
    <w:rsid w:val="00DB56B5"/>
    <w:rsid w:val="00DB6D1D"/>
    <w:rsid w:val="00DB7E6D"/>
    <w:rsid w:val="00DC013B"/>
    <w:rsid w:val="00DC2142"/>
    <w:rsid w:val="00DC2896"/>
    <w:rsid w:val="00DC2C6A"/>
    <w:rsid w:val="00DC3287"/>
    <w:rsid w:val="00DC38FE"/>
    <w:rsid w:val="00DC3D6D"/>
    <w:rsid w:val="00DC4B05"/>
    <w:rsid w:val="00DC4D4D"/>
    <w:rsid w:val="00DC4F27"/>
    <w:rsid w:val="00DC5135"/>
    <w:rsid w:val="00DC5502"/>
    <w:rsid w:val="00DC74DE"/>
    <w:rsid w:val="00DC76A3"/>
    <w:rsid w:val="00DD02AE"/>
    <w:rsid w:val="00DD05EC"/>
    <w:rsid w:val="00DD065A"/>
    <w:rsid w:val="00DD0E6B"/>
    <w:rsid w:val="00DD1722"/>
    <w:rsid w:val="00DD1F78"/>
    <w:rsid w:val="00DD2243"/>
    <w:rsid w:val="00DD297E"/>
    <w:rsid w:val="00DD2DC8"/>
    <w:rsid w:val="00DD2FDF"/>
    <w:rsid w:val="00DD3112"/>
    <w:rsid w:val="00DD33C5"/>
    <w:rsid w:val="00DD372D"/>
    <w:rsid w:val="00DD3ABE"/>
    <w:rsid w:val="00DD4FAE"/>
    <w:rsid w:val="00DD521A"/>
    <w:rsid w:val="00DD5A49"/>
    <w:rsid w:val="00DD6191"/>
    <w:rsid w:val="00DD6BCF"/>
    <w:rsid w:val="00DD6F26"/>
    <w:rsid w:val="00DD7D1D"/>
    <w:rsid w:val="00DE0BE8"/>
    <w:rsid w:val="00DE12FF"/>
    <w:rsid w:val="00DE1394"/>
    <w:rsid w:val="00DE1F07"/>
    <w:rsid w:val="00DE24E3"/>
    <w:rsid w:val="00DE253D"/>
    <w:rsid w:val="00DE25F8"/>
    <w:rsid w:val="00DE2A74"/>
    <w:rsid w:val="00DE3886"/>
    <w:rsid w:val="00DE3B5E"/>
    <w:rsid w:val="00DE4577"/>
    <w:rsid w:val="00DE45A9"/>
    <w:rsid w:val="00DE4A8A"/>
    <w:rsid w:val="00DE4CC2"/>
    <w:rsid w:val="00DE54B9"/>
    <w:rsid w:val="00DE54F4"/>
    <w:rsid w:val="00DE559E"/>
    <w:rsid w:val="00DE5823"/>
    <w:rsid w:val="00DE6989"/>
    <w:rsid w:val="00DE71CA"/>
    <w:rsid w:val="00DE7243"/>
    <w:rsid w:val="00DE7324"/>
    <w:rsid w:val="00DE795A"/>
    <w:rsid w:val="00DF0826"/>
    <w:rsid w:val="00DF1DD5"/>
    <w:rsid w:val="00DF1F24"/>
    <w:rsid w:val="00DF2DCC"/>
    <w:rsid w:val="00DF54B8"/>
    <w:rsid w:val="00DF5D3A"/>
    <w:rsid w:val="00DF5F4A"/>
    <w:rsid w:val="00DF6402"/>
    <w:rsid w:val="00DF6448"/>
    <w:rsid w:val="00DF68EB"/>
    <w:rsid w:val="00DF69A2"/>
    <w:rsid w:val="00DF717D"/>
    <w:rsid w:val="00DF7404"/>
    <w:rsid w:val="00DF7DAB"/>
    <w:rsid w:val="00DF7E0D"/>
    <w:rsid w:val="00DF7FF1"/>
    <w:rsid w:val="00E0084E"/>
    <w:rsid w:val="00E00A48"/>
    <w:rsid w:val="00E01608"/>
    <w:rsid w:val="00E0182B"/>
    <w:rsid w:val="00E01D5C"/>
    <w:rsid w:val="00E0230C"/>
    <w:rsid w:val="00E02EBA"/>
    <w:rsid w:val="00E0373B"/>
    <w:rsid w:val="00E037F6"/>
    <w:rsid w:val="00E03925"/>
    <w:rsid w:val="00E0460C"/>
    <w:rsid w:val="00E046EB"/>
    <w:rsid w:val="00E04DF4"/>
    <w:rsid w:val="00E051AA"/>
    <w:rsid w:val="00E05657"/>
    <w:rsid w:val="00E05D59"/>
    <w:rsid w:val="00E06814"/>
    <w:rsid w:val="00E0689F"/>
    <w:rsid w:val="00E06BF8"/>
    <w:rsid w:val="00E07024"/>
    <w:rsid w:val="00E077F8"/>
    <w:rsid w:val="00E0791F"/>
    <w:rsid w:val="00E07CD5"/>
    <w:rsid w:val="00E07D32"/>
    <w:rsid w:val="00E10632"/>
    <w:rsid w:val="00E10D4C"/>
    <w:rsid w:val="00E114A8"/>
    <w:rsid w:val="00E11C24"/>
    <w:rsid w:val="00E11DA1"/>
    <w:rsid w:val="00E1220E"/>
    <w:rsid w:val="00E122EE"/>
    <w:rsid w:val="00E12B10"/>
    <w:rsid w:val="00E12F32"/>
    <w:rsid w:val="00E14637"/>
    <w:rsid w:val="00E15436"/>
    <w:rsid w:val="00E15C1F"/>
    <w:rsid w:val="00E15C79"/>
    <w:rsid w:val="00E162E0"/>
    <w:rsid w:val="00E166FE"/>
    <w:rsid w:val="00E168CC"/>
    <w:rsid w:val="00E16B38"/>
    <w:rsid w:val="00E16BE1"/>
    <w:rsid w:val="00E173DC"/>
    <w:rsid w:val="00E17C98"/>
    <w:rsid w:val="00E20648"/>
    <w:rsid w:val="00E2072C"/>
    <w:rsid w:val="00E210A1"/>
    <w:rsid w:val="00E2139E"/>
    <w:rsid w:val="00E219AB"/>
    <w:rsid w:val="00E22A13"/>
    <w:rsid w:val="00E230B4"/>
    <w:rsid w:val="00E23189"/>
    <w:rsid w:val="00E245BB"/>
    <w:rsid w:val="00E25357"/>
    <w:rsid w:val="00E2641B"/>
    <w:rsid w:val="00E2695F"/>
    <w:rsid w:val="00E27124"/>
    <w:rsid w:val="00E2776C"/>
    <w:rsid w:val="00E27DE5"/>
    <w:rsid w:val="00E30431"/>
    <w:rsid w:val="00E30582"/>
    <w:rsid w:val="00E30A22"/>
    <w:rsid w:val="00E310BA"/>
    <w:rsid w:val="00E31157"/>
    <w:rsid w:val="00E32C9A"/>
    <w:rsid w:val="00E32CF3"/>
    <w:rsid w:val="00E32D87"/>
    <w:rsid w:val="00E332ED"/>
    <w:rsid w:val="00E3387F"/>
    <w:rsid w:val="00E33D7B"/>
    <w:rsid w:val="00E33F0D"/>
    <w:rsid w:val="00E34071"/>
    <w:rsid w:val="00E34215"/>
    <w:rsid w:val="00E34304"/>
    <w:rsid w:val="00E347F5"/>
    <w:rsid w:val="00E34C3A"/>
    <w:rsid w:val="00E36119"/>
    <w:rsid w:val="00E362FB"/>
    <w:rsid w:val="00E367A3"/>
    <w:rsid w:val="00E37323"/>
    <w:rsid w:val="00E3750F"/>
    <w:rsid w:val="00E40342"/>
    <w:rsid w:val="00E40E8C"/>
    <w:rsid w:val="00E410CC"/>
    <w:rsid w:val="00E41AB4"/>
    <w:rsid w:val="00E420D1"/>
    <w:rsid w:val="00E42283"/>
    <w:rsid w:val="00E43DA1"/>
    <w:rsid w:val="00E43DE6"/>
    <w:rsid w:val="00E43F3B"/>
    <w:rsid w:val="00E457E0"/>
    <w:rsid w:val="00E46435"/>
    <w:rsid w:val="00E468E8"/>
    <w:rsid w:val="00E46A0D"/>
    <w:rsid w:val="00E46A2F"/>
    <w:rsid w:val="00E47115"/>
    <w:rsid w:val="00E4750B"/>
    <w:rsid w:val="00E47BA1"/>
    <w:rsid w:val="00E502AF"/>
    <w:rsid w:val="00E50F97"/>
    <w:rsid w:val="00E511CD"/>
    <w:rsid w:val="00E517A2"/>
    <w:rsid w:val="00E528E2"/>
    <w:rsid w:val="00E52AD4"/>
    <w:rsid w:val="00E52FCC"/>
    <w:rsid w:val="00E53804"/>
    <w:rsid w:val="00E53B83"/>
    <w:rsid w:val="00E54175"/>
    <w:rsid w:val="00E55171"/>
    <w:rsid w:val="00E5566C"/>
    <w:rsid w:val="00E55883"/>
    <w:rsid w:val="00E55C40"/>
    <w:rsid w:val="00E56C54"/>
    <w:rsid w:val="00E602CE"/>
    <w:rsid w:val="00E612E7"/>
    <w:rsid w:val="00E615C1"/>
    <w:rsid w:val="00E61E72"/>
    <w:rsid w:val="00E62C1E"/>
    <w:rsid w:val="00E62EBB"/>
    <w:rsid w:val="00E638EA"/>
    <w:rsid w:val="00E64689"/>
    <w:rsid w:val="00E65101"/>
    <w:rsid w:val="00E6549C"/>
    <w:rsid w:val="00E65503"/>
    <w:rsid w:val="00E655E1"/>
    <w:rsid w:val="00E658CA"/>
    <w:rsid w:val="00E662F7"/>
    <w:rsid w:val="00E668B3"/>
    <w:rsid w:val="00E669B2"/>
    <w:rsid w:val="00E67370"/>
    <w:rsid w:val="00E676A2"/>
    <w:rsid w:val="00E67847"/>
    <w:rsid w:val="00E67AEE"/>
    <w:rsid w:val="00E67B35"/>
    <w:rsid w:val="00E67F62"/>
    <w:rsid w:val="00E700D8"/>
    <w:rsid w:val="00E70374"/>
    <w:rsid w:val="00E70767"/>
    <w:rsid w:val="00E7144A"/>
    <w:rsid w:val="00E71CCC"/>
    <w:rsid w:val="00E731D0"/>
    <w:rsid w:val="00E73BEC"/>
    <w:rsid w:val="00E7484A"/>
    <w:rsid w:val="00E74A40"/>
    <w:rsid w:val="00E74AB5"/>
    <w:rsid w:val="00E752B8"/>
    <w:rsid w:val="00E75317"/>
    <w:rsid w:val="00E75545"/>
    <w:rsid w:val="00E7574E"/>
    <w:rsid w:val="00E757C4"/>
    <w:rsid w:val="00E765B6"/>
    <w:rsid w:val="00E769BD"/>
    <w:rsid w:val="00E769D6"/>
    <w:rsid w:val="00E77117"/>
    <w:rsid w:val="00E77301"/>
    <w:rsid w:val="00E773B7"/>
    <w:rsid w:val="00E80789"/>
    <w:rsid w:val="00E80BF1"/>
    <w:rsid w:val="00E80C64"/>
    <w:rsid w:val="00E80CCF"/>
    <w:rsid w:val="00E8159B"/>
    <w:rsid w:val="00E82099"/>
    <w:rsid w:val="00E834DB"/>
    <w:rsid w:val="00E8375A"/>
    <w:rsid w:val="00E83E8D"/>
    <w:rsid w:val="00E850A3"/>
    <w:rsid w:val="00E866BD"/>
    <w:rsid w:val="00E86EF1"/>
    <w:rsid w:val="00E86F28"/>
    <w:rsid w:val="00E915BF"/>
    <w:rsid w:val="00E9224D"/>
    <w:rsid w:val="00E92976"/>
    <w:rsid w:val="00E92FDE"/>
    <w:rsid w:val="00E930BE"/>
    <w:rsid w:val="00E93344"/>
    <w:rsid w:val="00E93BE3"/>
    <w:rsid w:val="00E94052"/>
    <w:rsid w:val="00E94A49"/>
    <w:rsid w:val="00E94B10"/>
    <w:rsid w:val="00E94C1A"/>
    <w:rsid w:val="00E9549B"/>
    <w:rsid w:val="00E956F3"/>
    <w:rsid w:val="00E95743"/>
    <w:rsid w:val="00E97B92"/>
    <w:rsid w:val="00E97F33"/>
    <w:rsid w:val="00EA04FB"/>
    <w:rsid w:val="00EA15F3"/>
    <w:rsid w:val="00EA17B4"/>
    <w:rsid w:val="00EA18D7"/>
    <w:rsid w:val="00EA197C"/>
    <w:rsid w:val="00EA1C04"/>
    <w:rsid w:val="00EA1CF4"/>
    <w:rsid w:val="00EA2142"/>
    <w:rsid w:val="00EA250B"/>
    <w:rsid w:val="00EA31D4"/>
    <w:rsid w:val="00EA338F"/>
    <w:rsid w:val="00EA3718"/>
    <w:rsid w:val="00EA3F43"/>
    <w:rsid w:val="00EA40DF"/>
    <w:rsid w:val="00EA48DE"/>
    <w:rsid w:val="00EA55A2"/>
    <w:rsid w:val="00EA5A77"/>
    <w:rsid w:val="00EA5CC7"/>
    <w:rsid w:val="00EA5F1A"/>
    <w:rsid w:val="00EA65E0"/>
    <w:rsid w:val="00EA70CB"/>
    <w:rsid w:val="00EA720E"/>
    <w:rsid w:val="00EA72B9"/>
    <w:rsid w:val="00EB0501"/>
    <w:rsid w:val="00EB0601"/>
    <w:rsid w:val="00EB0CF2"/>
    <w:rsid w:val="00EB1638"/>
    <w:rsid w:val="00EB1E4A"/>
    <w:rsid w:val="00EB2104"/>
    <w:rsid w:val="00EB2ED4"/>
    <w:rsid w:val="00EB3D87"/>
    <w:rsid w:val="00EB3F75"/>
    <w:rsid w:val="00EB434E"/>
    <w:rsid w:val="00EB5064"/>
    <w:rsid w:val="00EB5730"/>
    <w:rsid w:val="00EB65B1"/>
    <w:rsid w:val="00EB6C3A"/>
    <w:rsid w:val="00EC1251"/>
    <w:rsid w:val="00EC1C74"/>
    <w:rsid w:val="00EC1CE3"/>
    <w:rsid w:val="00EC26D9"/>
    <w:rsid w:val="00EC3129"/>
    <w:rsid w:val="00EC31A5"/>
    <w:rsid w:val="00EC3649"/>
    <w:rsid w:val="00EC4930"/>
    <w:rsid w:val="00EC4F2B"/>
    <w:rsid w:val="00EC546E"/>
    <w:rsid w:val="00EC62BF"/>
    <w:rsid w:val="00EC6A21"/>
    <w:rsid w:val="00EC6B2C"/>
    <w:rsid w:val="00EC7303"/>
    <w:rsid w:val="00EC74C1"/>
    <w:rsid w:val="00EC7B0A"/>
    <w:rsid w:val="00EC7F54"/>
    <w:rsid w:val="00ED0038"/>
    <w:rsid w:val="00ED03B6"/>
    <w:rsid w:val="00ED0694"/>
    <w:rsid w:val="00ED079D"/>
    <w:rsid w:val="00ED0B1E"/>
    <w:rsid w:val="00ED11D3"/>
    <w:rsid w:val="00ED133D"/>
    <w:rsid w:val="00ED1629"/>
    <w:rsid w:val="00ED19A7"/>
    <w:rsid w:val="00ED1B06"/>
    <w:rsid w:val="00ED1D52"/>
    <w:rsid w:val="00ED20E8"/>
    <w:rsid w:val="00ED234D"/>
    <w:rsid w:val="00ED3D86"/>
    <w:rsid w:val="00ED4011"/>
    <w:rsid w:val="00ED4945"/>
    <w:rsid w:val="00ED4A43"/>
    <w:rsid w:val="00ED4B3C"/>
    <w:rsid w:val="00ED4DAF"/>
    <w:rsid w:val="00ED4F9C"/>
    <w:rsid w:val="00ED50AC"/>
    <w:rsid w:val="00ED531B"/>
    <w:rsid w:val="00ED6322"/>
    <w:rsid w:val="00ED6A7B"/>
    <w:rsid w:val="00ED739E"/>
    <w:rsid w:val="00ED73C5"/>
    <w:rsid w:val="00ED7719"/>
    <w:rsid w:val="00EE0F47"/>
    <w:rsid w:val="00EE1D1B"/>
    <w:rsid w:val="00EE2137"/>
    <w:rsid w:val="00EE2596"/>
    <w:rsid w:val="00EE3EB6"/>
    <w:rsid w:val="00EE41F3"/>
    <w:rsid w:val="00EE4441"/>
    <w:rsid w:val="00EE4567"/>
    <w:rsid w:val="00EE5119"/>
    <w:rsid w:val="00EE57B2"/>
    <w:rsid w:val="00EE62A1"/>
    <w:rsid w:val="00EE782F"/>
    <w:rsid w:val="00EE7AA8"/>
    <w:rsid w:val="00EF0500"/>
    <w:rsid w:val="00EF08A3"/>
    <w:rsid w:val="00EF0956"/>
    <w:rsid w:val="00EF1B20"/>
    <w:rsid w:val="00EF2655"/>
    <w:rsid w:val="00EF4130"/>
    <w:rsid w:val="00EF4862"/>
    <w:rsid w:val="00EF490C"/>
    <w:rsid w:val="00EF4AA5"/>
    <w:rsid w:val="00EF5437"/>
    <w:rsid w:val="00EF656E"/>
    <w:rsid w:val="00EF658B"/>
    <w:rsid w:val="00EF6827"/>
    <w:rsid w:val="00EF71AC"/>
    <w:rsid w:val="00F00040"/>
    <w:rsid w:val="00F00048"/>
    <w:rsid w:val="00F01BDD"/>
    <w:rsid w:val="00F02493"/>
    <w:rsid w:val="00F027B7"/>
    <w:rsid w:val="00F0295F"/>
    <w:rsid w:val="00F02D43"/>
    <w:rsid w:val="00F03E53"/>
    <w:rsid w:val="00F04199"/>
    <w:rsid w:val="00F04B6F"/>
    <w:rsid w:val="00F04F10"/>
    <w:rsid w:val="00F050CF"/>
    <w:rsid w:val="00F05DFF"/>
    <w:rsid w:val="00F05F74"/>
    <w:rsid w:val="00F0628D"/>
    <w:rsid w:val="00F07C9B"/>
    <w:rsid w:val="00F100FD"/>
    <w:rsid w:val="00F10C7C"/>
    <w:rsid w:val="00F11788"/>
    <w:rsid w:val="00F11B23"/>
    <w:rsid w:val="00F12559"/>
    <w:rsid w:val="00F127DA"/>
    <w:rsid w:val="00F1380E"/>
    <w:rsid w:val="00F143A9"/>
    <w:rsid w:val="00F143BD"/>
    <w:rsid w:val="00F14770"/>
    <w:rsid w:val="00F14E6E"/>
    <w:rsid w:val="00F15631"/>
    <w:rsid w:val="00F1633B"/>
    <w:rsid w:val="00F17652"/>
    <w:rsid w:val="00F200C1"/>
    <w:rsid w:val="00F20626"/>
    <w:rsid w:val="00F20B3D"/>
    <w:rsid w:val="00F220F0"/>
    <w:rsid w:val="00F2225B"/>
    <w:rsid w:val="00F22475"/>
    <w:rsid w:val="00F22818"/>
    <w:rsid w:val="00F22C74"/>
    <w:rsid w:val="00F22D08"/>
    <w:rsid w:val="00F22F7C"/>
    <w:rsid w:val="00F230C6"/>
    <w:rsid w:val="00F23424"/>
    <w:rsid w:val="00F235FD"/>
    <w:rsid w:val="00F24260"/>
    <w:rsid w:val="00F25172"/>
    <w:rsid w:val="00F258B1"/>
    <w:rsid w:val="00F25AAC"/>
    <w:rsid w:val="00F25ADC"/>
    <w:rsid w:val="00F261D3"/>
    <w:rsid w:val="00F2680B"/>
    <w:rsid w:val="00F273CD"/>
    <w:rsid w:val="00F27941"/>
    <w:rsid w:val="00F303C6"/>
    <w:rsid w:val="00F304C1"/>
    <w:rsid w:val="00F3077A"/>
    <w:rsid w:val="00F30784"/>
    <w:rsid w:val="00F30BF3"/>
    <w:rsid w:val="00F30DF0"/>
    <w:rsid w:val="00F31B3B"/>
    <w:rsid w:val="00F32914"/>
    <w:rsid w:val="00F32B4D"/>
    <w:rsid w:val="00F338F8"/>
    <w:rsid w:val="00F33A0F"/>
    <w:rsid w:val="00F33E6B"/>
    <w:rsid w:val="00F340E0"/>
    <w:rsid w:val="00F35153"/>
    <w:rsid w:val="00F359A3"/>
    <w:rsid w:val="00F36818"/>
    <w:rsid w:val="00F36B57"/>
    <w:rsid w:val="00F37220"/>
    <w:rsid w:val="00F3741B"/>
    <w:rsid w:val="00F37AB7"/>
    <w:rsid w:val="00F37EF8"/>
    <w:rsid w:val="00F405B0"/>
    <w:rsid w:val="00F405D5"/>
    <w:rsid w:val="00F4074A"/>
    <w:rsid w:val="00F40B7E"/>
    <w:rsid w:val="00F417D6"/>
    <w:rsid w:val="00F41A7D"/>
    <w:rsid w:val="00F42AC8"/>
    <w:rsid w:val="00F4396C"/>
    <w:rsid w:val="00F43CA7"/>
    <w:rsid w:val="00F4472C"/>
    <w:rsid w:val="00F4487A"/>
    <w:rsid w:val="00F44BA9"/>
    <w:rsid w:val="00F5015F"/>
    <w:rsid w:val="00F50278"/>
    <w:rsid w:val="00F50704"/>
    <w:rsid w:val="00F50D85"/>
    <w:rsid w:val="00F51167"/>
    <w:rsid w:val="00F51D65"/>
    <w:rsid w:val="00F526F7"/>
    <w:rsid w:val="00F52A6F"/>
    <w:rsid w:val="00F52CD2"/>
    <w:rsid w:val="00F53411"/>
    <w:rsid w:val="00F55C2E"/>
    <w:rsid w:val="00F56388"/>
    <w:rsid w:val="00F56524"/>
    <w:rsid w:val="00F56BF6"/>
    <w:rsid w:val="00F56DEB"/>
    <w:rsid w:val="00F56DF9"/>
    <w:rsid w:val="00F57DD3"/>
    <w:rsid w:val="00F601C5"/>
    <w:rsid w:val="00F60243"/>
    <w:rsid w:val="00F60AA1"/>
    <w:rsid w:val="00F60D35"/>
    <w:rsid w:val="00F60FF1"/>
    <w:rsid w:val="00F61C8A"/>
    <w:rsid w:val="00F632B1"/>
    <w:rsid w:val="00F63414"/>
    <w:rsid w:val="00F63AD0"/>
    <w:rsid w:val="00F642E8"/>
    <w:rsid w:val="00F64DC2"/>
    <w:rsid w:val="00F65236"/>
    <w:rsid w:val="00F655C6"/>
    <w:rsid w:val="00F6596B"/>
    <w:rsid w:val="00F65C90"/>
    <w:rsid w:val="00F65D7E"/>
    <w:rsid w:val="00F65E64"/>
    <w:rsid w:val="00F662C5"/>
    <w:rsid w:val="00F675A7"/>
    <w:rsid w:val="00F70C8C"/>
    <w:rsid w:val="00F70F06"/>
    <w:rsid w:val="00F718A5"/>
    <w:rsid w:val="00F7206D"/>
    <w:rsid w:val="00F721F0"/>
    <w:rsid w:val="00F726EE"/>
    <w:rsid w:val="00F72B9B"/>
    <w:rsid w:val="00F72C01"/>
    <w:rsid w:val="00F72F95"/>
    <w:rsid w:val="00F734BD"/>
    <w:rsid w:val="00F7360C"/>
    <w:rsid w:val="00F73FB8"/>
    <w:rsid w:val="00F74160"/>
    <w:rsid w:val="00F7422F"/>
    <w:rsid w:val="00F74747"/>
    <w:rsid w:val="00F75706"/>
    <w:rsid w:val="00F75BAA"/>
    <w:rsid w:val="00F76629"/>
    <w:rsid w:val="00F77E52"/>
    <w:rsid w:val="00F80048"/>
    <w:rsid w:val="00F8059E"/>
    <w:rsid w:val="00F81B86"/>
    <w:rsid w:val="00F82697"/>
    <w:rsid w:val="00F82CD3"/>
    <w:rsid w:val="00F8368E"/>
    <w:rsid w:val="00F83838"/>
    <w:rsid w:val="00F8388F"/>
    <w:rsid w:val="00F8412E"/>
    <w:rsid w:val="00F84C5E"/>
    <w:rsid w:val="00F865C2"/>
    <w:rsid w:val="00F86BB6"/>
    <w:rsid w:val="00F87122"/>
    <w:rsid w:val="00F87F6B"/>
    <w:rsid w:val="00F90028"/>
    <w:rsid w:val="00F918D1"/>
    <w:rsid w:val="00F92CE0"/>
    <w:rsid w:val="00F92D8B"/>
    <w:rsid w:val="00F9415B"/>
    <w:rsid w:val="00F944CA"/>
    <w:rsid w:val="00F94846"/>
    <w:rsid w:val="00F94DB1"/>
    <w:rsid w:val="00F95EC0"/>
    <w:rsid w:val="00F95FCB"/>
    <w:rsid w:val="00F961E9"/>
    <w:rsid w:val="00F964D4"/>
    <w:rsid w:val="00FA0407"/>
    <w:rsid w:val="00FA055B"/>
    <w:rsid w:val="00FA0A01"/>
    <w:rsid w:val="00FA122C"/>
    <w:rsid w:val="00FA19CA"/>
    <w:rsid w:val="00FA1B77"/>
    <w:rsid w:val="00FA2FC9"/>
    <w:rsid w:val="00FA39A6"/>
    <w:rsid w:val="00FA3A5B"/>
    <w:rsid w:val="00FA3B88"/>
    <w:rsid w:val="00FA4FA7"/>
    <w:rsid w:val="00FA52EC"/>
    <w:rsid w:val="00FA58AF"/>
    <w:rsid w:val="00FA5D51"/>
    <w:rsid w:val="00FA70B4"/>
    <w:rsid w:val="00FA7AEB"/>
    <w:rsid w:val="00FB0AC7"/>
    <w:rsid w:val="00FB0BB0"/>
    <w:rsid w:val="00FB0E62"/>
    <w:rsid w:val="00FB15A0"/>
    <w:rsid w:val="00FB184F"/>
    <w:rsid w:val="00FB1925"/>
    <w:rsid w:val="00FB2FDC"/>
    <w:rsid w:val="00FB3C02"/>
    <w:rsid w:val="00FB3C70"/>
    <w:rsid w:val="00FB434C"/>
    <w:rsid w:val="00FB4B47"/>
    <w:rsid w:val="00FB4C46"/>
    <w:rsid w:val="00FB5FA6"/>
    <w:rsid w:val="00FB6773"/>
    <w:rsid w:val="00FB70F8"/>
    <w:rsid w:val="00FC003F"/>
    <w:rsid w:val="00FC0D21"/>
    <w:rsid w:val="00FC14D7"/>
    <w:rsid w:val="00FC1778"/>
    <w:rsid w:val="00FC17FB"/>
    <w:rsid w:val="00FC1D23"/>
    <w:rsid w:val="00FC20EE"/>
    <w:rsid w:val="00FC2180"/>
    <w:rsid w:val="00FC2477"/>
    <w:rsid w:val="00FC2848"/>
    <w:rsid w:val="00FC2A82"/>
    <w:rsid w:val="00FC3046"/>
    <w:rsid w:val="00FC319B"/>
    <w:rsid w:val="00FC34E9"/>
    <w:rsid w:val="00FC3563"/>
    <w:rsid w:val="00FC3CA2"/>
    <w:rsid w:val="00FC3DE5"/>
    <w:rsid w:val="00FC4068"/>
    <w:rsid w:val="00FC4CA1"/>
    <w:rsid w:val="00FC5239"/>
    <w:rsid w:val="00FC541B"/>
    <w:rsid w:val="00FC5B57"/>
    <w:rsid w:val="00FC618C"/>
    <w:rsid w:val="00FC63A2"/>
    <w:rsid w:val="00FC6560"/>
    <w:rsid w:val="00FC7186"/>
    <w:rsid w:val="00FC7360"/>
    <w:rsid w:val="00FC7B31"/>
    <w:rsid w:val="00FD08C4"/>
    <w:rsid w:val="00FD0AD1"/>
    <w:rsid w:val="00FD108C"/>
    <w:rsid w:val="00FD15FE"/>
    <w:rsid w:val="00FD16DF"/>
    <w:rsid w:val="00FD2071"/>
    <w:rsid w:val="00FD235B"/>
    <w:rsid w:val="00FD2BEC"/>
    <w:rsid w:val="00FD2CC2"/>
    <w:rsid w:val="00FD2D3B"/>
    <w:rsid w:val="00FD2E61"/>
    <w:rsid w:val="00FD2FFF"/>
    <w:rsid w:val="00FD3B8E"/>
    <w:rsid w:val="00FD3CA6"/>
    <w:rsid w:val="00FD4981"/>
    <w:rsid w:val="00FD52CC"/>
    <w:rsid w:val="00FD6459"/>
    <w:rsid w:val="00FE0054"/>
    <w:rsid w:val="00FE0173"/>
    <w:rsid w:val="00FE07F0"/>
    <w:rsid w:val="00FE170E"/>
    <w:rsid w:val="00FE195D"/>
    <w:rsid w:val="00FE196C"/>
    <w:rsid w:val="00FE19EF"/>
    <w:rsid w:val="00FE2413"/>
    <w:rsid w:val="00FE2C1F"/>
    <w:rsid w:val="00FE2F5F"/>
    <w:rsid w:val="00FE31A8"/>
    <w:rsid w:val="00FE32D3"/>
    <w:rsid w:val="00FE3390"/>
    <w:rsid w:val="00FE36A8"/>
    <w:rsid w:val="00FE36F4"/>
    <w:rsid w:val="00FE3C1B"/>
    <w:rsid w:val="00FE3E47"/>
    <w:rsid w:val="00FE4998"/>
    <w:rsid w:val="00FE49C0"/>
    <w:rsid w:val="00FE4B3A"/>
    <w:rsid w:val="00FE64F0"/>
    <w:rsid w:val="00FE665D"/>
    <w:rsid w:val="00FE6A34"/>
    <w:rsid w:val="00FE6AA9"/>
    <w:rsid w:val="00FE6C2D"/>
    <w:rsid w:val="00FE7005"/>
    <w:rsid w:val="00FE7008"/>
    <w:rsid w:val="00FF0786"/>
    <w:rsid w:val="00FF0877"/>
    <w:rsid w:val="00FF0B0C"/>
    <w:rsid w:val="00FF0B6B"/>
    <w:rsid w:val="00FF18F4"/>
    <w:rsid w:val="00FF1E65"/>
    <w:rsid w:val="00FF3AD0"/>
    <w:rsid w:val="00FF3E9C"/>
    <w:rsid w:val="00FF4754"/>
    <w:rsid w:val="00FF48A3"/>
    <w:rsid w:val="00FF48CE"/>
    <w:rsid w:val="00FF5029"/>
    <w:rsid w:val="00FF5366"/>
    <w:rsid w:val="00FF5472"/>
    <w:rsid w:val="00FF5A72"/>
    <w:rsid w:val="00FF671C"/>
    <w:rsid w:val="00FF68FA"/>
    <w:rsid w:val="00FF6A16"/>
    <w:rsid w:val="00FF6D64"/>
    <w:rsid w:val="00FF6DA9"/>
    <w:rsid w:val="00FF6E51"/>
    <w:rsid w:val="00FF7426"/>
    <w:rsid w:val="00FF74ED"/>
    <w:rsid w:val="00FF7980"/>
    <w:rsid w:val="00FF7CF7"/>
    <w:rsid w:val="00FF7D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7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12"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8"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67E"/>
    <w:pPr>
      <w:spacing w:before="120" w:after="120" w:line="288" w:lineRule="auto"/>
    </w:pPr>
    <w:rPr>
      <w:rFonts w:ascii="Trebuchet MS" w:hAnsi="Trebuchet MS"/>
      <w:color w:val="404040" w:themeColor="text1" w:themeTint="BF"/>
    </w:rPr>
  </w:style>
  <w:style w:type="paragraph" w:styleId="Heading1">
    <w:name w:val="heading 1"/>
    <w:basedOn w:val="Title"/>
    <w:next w:val="Normal"/>
    <w:link w:val="Heading1Char"/>
    <w:uiPriority w:val="9"/>
    <w:qFormat/>
    <w:rsid w:val="00B11115"/>
    <w:pPr>
      <w:numPr>
        <w:numId w:val="14"/>
      </w:numPr>
      <w:tabs>
        <w:tab w:val="left" w:pos="0"/>
      </w:tabs>
      <w:spacing w:before="240" w:after="180"/>
      <w:contextualSpacing w:val="0"/>
      <w:outlineLvl w:val="0"/>
    </w:pPr>
    <w:rPr>
      <w:rFonts w:cs="Times New Roman (Headings CS)"/>
      <w:b/>
      <w:bCs/>
      <w:color w:val="18424E"/>
      <w:spacing w:val="0"/>
      <w:sz w:val="26"/>
      <w:szCs w:val="26"/>
    </w:rPr>
  </w:style>
  <w:style w:type="paragraph" w:styleId="Heading2">
    <w:name w:val="heading 2"/>
    <w:basedOn w:val="Heading1"/>
    <w:next w:val="Normal"/>
    <w:link w:val="Heading2Char"/>
    <w:uiPriority w:val="9"/>
    <w:qFormat/>
    <w:rsid w:val="00ED1629"/>
    <w:pPr>
      <w:keepNext/>
      <w:numPr>
        <w:numId w:val="0"/>
      </w:numPr>
      <w:spacing w:before="180" w:after="120"/>
      <w:outlineLvl w:val="1"/>
    </w:pPr>
    <w:rPr>
      <w:bCs w:val="0"/>
      <w:sz w:val="24"/>
    </w:rPr>
  </w:style>
  <w:style w:type="paragraph" w:styleId="Heading3">
    <w:name w:val="heading 3"/>
    <w:basedOn w:val="Heading2"/>
    <w:next w:val="Normal"/>
    <w:link w:val="Heading3Char"/>
    <w:uiPriority w:val="7"/>
    <w:qFormat/>
    <w:rsid w:val="00F55C2E"/>
    <w:pPr>
      <w:spacing w:before="120"/>
      <w:outlineLvl w:val="2"/>
    </w:pPr>
    <w:rPr>
      <w:bCs/>
      <w:sz w:val="22"/>
      <w:szCs w:val="22"/>
    </w:rPr>
  </w:style>
  <w:style w:type="paragraph" w:styleId="Heading4">
    <w:name w:val="heading 4"/>
    <w:basedOn w:val="Heading3"/>
    <w:next w:val="Normal"/>
    <w:link w:val="Heading4Char"/>
    <w:uiPriority w:val="7"/>
    <w:qFormat/>
    <w:rsid w:val="00BE4F46"/>
    <w:pPr>
      <w:outlineLvl w:val="3"/>
    </w:pPr>
    <w:rPr>
      <w:rFonts w:asciiTheme="minorHAnsi" w:hAnsiTheme="minorHAnsi" w:cstheme="minorHAnsi"/>
      <w:b w:val="0"/>
      <w:iCs/>
      <w:color w:val="000000" w:themeColor="text1"/>
      <w:sz w:val="20"/>
      <w:szCs w:val="20"/>
      <w:u w:val="single"/>
    </w:rPr>
  </w:style>
  <w:style w:type="paragraph" w:styleId="Heading5">
    <w:name w:val="heading 5"/>
    <w:basedOn w:val="Heading4"/>
    <w:next w:val="Normal"/>
    <w:link w:val="Heading5Char"/>
    <w:uiPriority w:val="7"/>
    <w:qFormat/>
    <w:rsid w:val="00BF3CC1"/>
    <w:pPr>
      <w:outlineLvl w:val="4"/>
    </w:pPr>
    <w:rPr>
      <w:bCs w:val="0"/>
      <w:sz w:val="28"/>
    </w:rPr>
  </w:style>
  <w:style w:type="paragraph" w:styleId="Heading6">
    <w:name w:val="heading 6"/>
    <w:basedOn w:val="Heading5"/>
    <w:next w:val="Normal"/>
    <w:link w:val="Heading6Char"/>
    <w:uiPriority w:val="7"/>
    <w:qFormat/>
    <w:rsid w:val="00BF3CC1"/>
    <w:pPr>
      <w:outlineLvl w:val="5"/>
    </w:pPr>
    <w:rPr>
      <w:bCs/>
      <w:iCs w:val="0"/>
      <w:sz w:val="24"/>
    </w:rPr>
  </w:style>
  <w:style w:type="paragraph" w:styleId="Heading7">
    <w:name w:val="heading 7"/>
    <w:basedOn w:val="Heading6"/>
    <w:next w:val="Normal"/>
    <w:link w:val="Heading7Char"/>
    <w:uiPriority w:val="9"/>
    <w:semiHidden/>
    <w:unhideWhenUsed/>
    <w:rsid w:val="00BF3CC1"/>
    <w:pPr>
      <w:outlineLvl w:val="6"/>
    </w:pPr>
    <w:rPr>
      <w:iCs/>
      <w:sz w:val="22"/>
    </w:rPr>
  </w:style>
  <w:style w:type="paragraph" w:styleId="Heading8">
    <w:name w:val="heading 8"/>
    <w:basedOn w:val="Heading7"/>
    <w:next w:val="Normal"/>
    <w:link w:val="Heading8Char"/>
    <w:uiPriority w:val="9"/>
    <w:semiHidden/>
    <w:unhideWhenUsed/>
    <w:rsid w:val="00676AB8"/>
    <w:pPr>
      <w:outlineLvl w:val="7"/>
    </w:pPr>
    <w:rPr>
      <w:sz w:val="20"/>
    </w:rPr>
  </w:style>
  <w:style w:type="paragraph" w:styleId="Heading9">
    <w:name w:val="heading 9"/>
    <w:basedOn w:val="Heading8"/>
    <w:next w:val="Normal"/>
    <w:link w:val="Heading9Char"/>
    <w:uiPriority w:val="9"/>
    <w:semiHidden/>
    <w:unhideWhenUsed/>
    <w:rsid w:val="00BF3CC1"/>
    <w:pPr>
      <w:outlineLvl w:val="8"/>
    </w:pPr>
    <w:rPr>
      <w:iCs w:val="0"/>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115"/>
    <w:rPr>
      <w:rFonts w:asciiTheme="majorHAnsi" w:eastAsiaTheme="majorEastAsia" w:hAnsiTheme="majorHAnsi" w:cs="Times New Roman (Headings CS)"/>
      <w:b/>
      <w:bCs/>
      <w:color w:val="18424E"/>
      <w:sz w:val="26"/>
      <w:szCs w:val="26"/>
    </w:rPr>
  </w:style>
  <w:style w:type="character" w:customStyle="1" w:styleId="Heading2Char">
    <w:name w:val="Heading 2 Char"/>
    <w:basedOn w:val="DefaultParagraphFont"/>
    <w:link w:val="Heading2"/>
    <w:uiPriority w:val="9"/>
    <w:rsid w:val="00ED1629"/>
    <w:rPr>
      <w:rFonts w:asciiTheme="majorHAnsi" w:eastAsiaTheme="majorEastAsia" w:hAnsiTheme="majorHAnsi" w:cs="Times New Roman (Headings CS)"/>
      <w:b/>
      <w:color w:val="18424E"/>
      <w:sz w:val="24"/>
      <w:szCs w:val="26"/>
    </w:rPr>
  </w:style>
  <w:style w:type="character" w:customStyle="1" w:styleId="Heading3Char">
    <w:name w:val="Heading 3 Char"/>
    <w:basedOn w:val="DefaultParagraphFont"/>
    <w:link w:val="Heading3"/>
    <w:uiPriority w:val="7"/>
    <w:rsid w:val="00F55C2E"/>
    <w:rPr>
      <w:rFonts w:asciiTheme="majorHAnsi" w:eastAsiaTheme="majorEastAsia" w:hAnsiTheme="majorHAnsi" w:cs="Times New Roman (Headings CS)"/>
      <w:b/>
      <w:bCs/>
      <w:color w:val="18424E"/>
      <w:sz w:val="22"/>
      <w:szCs w:val="22"/>
    </w:rPr>
  </w:style>
  <w:style w:type="character" w:customStyle="1" w:styleId="Heading4Char">
    <w:name w:val="Heading 4 Char"/>
    <w:basedOn w:val="DefaultParagraphFont"/>
    <w:link w:val="Heading4"/>
    <w:uiPriority w:val="7"/>
    <w:rsid w:val="00BE4F46"/>
    <w:rPr>
      <w:rFonts w:asciiTheme="minorHAnsi" w:eastAsiaTheme="majorEastAsia" w:hAnsiTheme="minorHAnsi" w:cstheme="minorHAnsi"/>
      <w:bCs/>
      <w:iCs/>
      <w:color w:val="000000" w:themeColor="text1"/>
      <w:u w:val="single"/>
    </w:rPr>
  </w:style>
  <w:style w:type="character" w:customStyle="1" w:styleId="Heading5Char">
    <w:name w:val="Heading 5 Char"/>
    <w:basedOn w:val="DefaultParagraphFont"/>
    <w:link w:val="Heading5"/>
    <w:uiPriority w:val="7"/>
    <w:rsid w:val="00BF3CC1"/>
    <w:rPr>
      <w:rFonts w:asciiTheme="majorHAnsi" w:eastAsiaTheme="majorEastAsia" w:hAnsiTheme="majorHAnsi" w:cstheme="majorBidi"/>
      <w:bCs/>
      <w:iCs/>
      <w:sz w:val="28"/>
      <w:szCs w:val="26"/>
    </w:rPr>
  </w:style>
  <w:style w:type="character" w:customStyle="1" w:styleId="Heading6Char">
    <w:name w:val="Heading 6 Char"/>
    <w:basedOn w:val="DefaultParagraphFont"/>
    <w:link w:val="Heading6"/>
    <w:uiPriority w:val="7"/>
    <w:rsid w:val="00BF3CC1"/>
    <w:rPr>
      <w:rFonts w:asciiTheme="majorHAnsi" w:eastAsiaTheme="majorEastAsia" w:hAnsiTheme="majorHAnsi" w:cstheme="majorBidi"/>
      <w:sz w:val="24"/>
      <w:szCs w:val="26"/>
    </w:rPr>
  </w:style>
  <w:style w:type="character" w:customStyle="1" w:styleId="Heading7Char">
    <w:name w:val="Heading 7 Char"/>
    <w:basedOn w:val="DefaultParagraphFont"/>
    <w:link w:val="Heading7"/>
    <w:uiPriority w:val="9"/>
    <w:semiHidden/>
    <w:rsid w:val="00BF3CC1"/>
    <w:rPr>
      <w:rFonts w:asciiTheme="majorHAnsi" w:eastAsiaTheme="majorEastAsia" w:hAnsiTheme="majorHAnsi" w:cstheme="majorBidi"/>
      <w:iCs/>
      <w:sz w:val="22"/>
      <w:szCs w:val="26"/>
    </w:rPr>
  </w:style>
  <w:style w:type="character" w:customStyle="1" w:styleId="Heading8Char">
    <w:name w:val="Heading 8 Char"/>
    <w:basedOn w:val="DefaultParagraphFont"/>
    <w:link w:val="Heading8"/>
    <w:uiPriority w:val="9"/>
    <w:semiHidden/>
    <w:rsid w:val="00676AB8"/>
    <w:rPr>
      <w:rFonts w:asciiTheme="majorHAnsi" w:eastAsiaTheme="majorEastAsia" w:hAnsiTheme="majorHAnsi" w:cstheme="majorBidi"/>
      <w:iCs/>
    </w:rPr>
  </w:style>
  <w:style w:type="character" w:customStyle="1" w:styleId="Heading9Char">
    <w:name w:val="Heading 9 Char"/>
    <w:basedOn w:val="DefaultParagraphFont"/>
    <w:link w:val="Heading9"/>
    <w:uiPriority w:val="9"/>
    <w:semiHidden/>
    <w:rsid w:val="00BF3CC1"/>
    <w:rPr>
      <w:rFonts w:asciiTheme="majorHAnsi" w:eastAsiaTheme="majorEastAsia" w:hAnsiTheme="majorHAnsi" w:cstheme="majorBidi"/>
      <w:spacing w:val="5"/>
      <w:sz w:val="18"/>
    </w:rPr>
  </w:style>
  <w:style w:type="paragraph" w:styleId="Title">
    <w:name w:val="Title"/>
    <w:next w:val="Normal"/>
    <w:link w:val="TitleChar"/>
    <w:uiPriority w:val="1"/>
    <w:qFormat/>
    <w:rsid w:val="0020568B"/>
    <w:pPr>
      <w:spacing w:before="1000"/>
      <w:contextualSpacing/>
    </w:pPr>
    <w:rPr>
      <w:rFonts w:asciiTheme="majorHAnsi" w:eastAsiaTheme="majorEastAsia" w:hAnsiTheme="majorHAnsi" w:cstheme="majorBidi"/>
      <w:spacing w:val="13"/>
      <w:sz w:val="36"/>
      <w:szCs w:val="52"/>
    </w:rPr>
  </w:style>
  <w:style w:type="character" w:customStyle="1" w:styleId="TitleChar">
    <w:name w:val="Title Char"/>
    <w:basedOn w:val="DefaultParagraphFont"/>
    <w:link w:val="Title"/>
    <w:uiPriority w:val="1"/>
    <w:rsid w:val="0020568B"/>
    <w:rPr>
      <w:rFonts w:asciiTheme="majorHAnsi" w:eastAsiaTheme="majorEastAsia" w:hAnsiTheme="majorHAnsi" w:cstheme="majorBidi"/>
      <w:spacing w:val="13"/>
      <w:sz w:val="36"/>
      <w:szCs w:val="52"/>
    </w:rPr>
  </w:style>
  <w:style w:type="paragraph" w:styleId="Subtitle">
    <w:name w:val="Subtitle"/>
    <w:basedOn w:val="Normal"/>
    <w:next w:val="Normal"/>
    <w:link w:val="SubtitleChar"/>
    <w:uiPriority w:val="5"/>
    <w:qFormat/>
    <w:rsid w:val="00187F49"/>
    <w:pPr>
      <w:spacing w:line="240" w:lineRule="auto"/>
      <w:ind w:left="4320"/>
    </w:pPr>
    <w:rPr>
      <w:rFonts w:eastAsiaTheme="majorEastAsia" w:cs="Calibri (Body)"/>
      <w:iCs/>
    </w:rPr>
  </w:style>
  <w:style w:type="character" w:customStyle="1" w:styleId="SubtitleChar">
    <w:name w:val="Subtitle Char"/>
    <w:basedOn w:val="DefaultParagraphFont"/>
    <w:link w:val="Subtitle"/>
    <w:uiPriority w:val="5"/>
    <w:rsid w:val="004021A7"/>
    <w:rPr>
      <w:rFonts w:ascii="Trebuchet MS" w:eastAsiaTheme="majorEastAsia" w:hAnsi="Trebuchet MS" w:cs="Calibri (Body)"/>
      <w:iCs/>
      <w:color w:val="404040" w:themeColor="text1" w:themeTint="BF"/>
    </w:rPr>
  </w:style>
  <w:style w:type="character" w:styleId="Strong">
    <w:name w:val="Strong"/>
    <w:uiPriority w:val="22"/>
    <w:qFormat/>
    <w:rsid w:val="00543449"/>
    <w:rPr>
      <w:rFonts w:asciiTheme="minorHAnsi" w:hAnsiTheme="minorHAnsi" w:cstheme="minorHAnsi"/>
      <w:bCs/>
      <w:color w:val="000000" w:themeColor="text1"/>
      <w:sz w:val="20"/>
      <w:szCs w:val="20"/>
    </w:rPr>
  </w:style>
  <w:style w:type="character" w:styleId="Emphasis">
    <w:name w:val="Emphasis"/>
    <w:uiPriority w:val="3"/>
    <w:qFormat/>
    <w:rsid w:val="0095788E"/>
    <w:rPr>
      <w:b w:val="0"/>
      <w:bCs/>
      <w:i/>
      <w:iCs/>
      <w:color w:val="EF4727"/>
      <w:spacing w:val="6"/>
      <w:bdr w:val="none" w:sz="0" w:space="0" w:color="auto"/>
      <w:shd w:val="clear" w:color="auto" w:fill="auto"/>
    </w:rPr>
  </w:style>
  <w:style w:type="paragraph" w:styleId="NoSpacing">
    <w:name w:val="No Spacing"/>
    <w:basedOn w:val="Normal"/>
    <w:link w:val="NoSpacingChar"/>
    <w:uiPriority w:val="2"/>
    <w:qFormat/>
    <w:rsid w:val="002476FD"/>
    <w:pPr>
      <w:spacing w:before="0" w:after="0" w:line="240" w:lineRule="auto"/>
    </w:pPr>
    <w:rPr>
      <w:rFonts w:eastAsia="Times New Roman"/>
    </w:rPr>
  </w:style>
  <w:style w:type="character" w:customStyle="1" w:styleId="NoSpacingChar">
    <w:name w:val="No Spacing Char"/>
    <w:basedOn w:val="DefaultParagraphFont"/>
    <w:link w:val="NoSpacing"/>
    <w:uiPriority w:val="2"/>
    <w:rsid w:val="002476FD"/>
    <w:rPr>
      <w:rFonts w:ascii="Trebuchet MS" w:eastAsia="Times New Roman" w:hAnsi="Trebuchet MS"/>
      <w:color w:val="404040" w:themeColor="text1" w:themeTint="BF"/>
    </w:rPr>
  </w:style>
  <w:style w:type="paragraph" w:styleId="ListParagraph">
    <w:name w:val="List Paragraph"/>
    <w:basedOn w:val="Normal"/>
    <w:link w:val="ListParagraphChar"/>
    <w:uiPriority w:val="34"/>
    <w:qFormat/>
    <w:rsid w:val="007A029C"/>
    <w:pPr>
      <w:ind w:left="720"/>
    </w:pPr>
    <w:rPr>
      <w:rFonts w:eastAsia="Times New Roman"/>
    </w:rPr>
  </w:style>
  <w:style w:type="character" w:customStyle="1" w:styleId="ListParagraphChar">
    <w:name w:val="List Paragraph Char"/>
    <w:basedOn w:val="DefaultParagraphFont"/>
    <w:link w:val="ListParagraph"/>
    <w:uiPriority w:val="2"/>
    <w:rsid w:val="00B830ED"/>
    <w:rPr>
      <w:rFonts w:asciiTheme="minorHAnsi" w:eastAsia="Times New Roman" w:hAnsiTheme="minorHAnsi"/>
      <w:color w:val="404040" w:themeColor="text1" w:themeTint="BF"/>
      <w:sz w:val="22"/>
    </w:rPr>
  </w:style>
  <w:style w:type="paragraph" w:styleId="Quote">
    <w:name w:val="Quote"/>
    <w:aliases w:val="Block Quote"/>
    <w:basedOn w:val="Normal"/>
    <w:next w:val="Normal"/>
    <w:link w:val="QuoteChar"/>
    <w:uiPriority w:val="8"/>
    <w:qFormat/>
    <w:rsid w:val="00F76629"/>
    <w:pPr>
      <w:pBdr>
        <w:left w:val="single" w:sz="48" w:space="4" w:color="D9D9D9" w:themeColor="background1" w:themeShade="D9"/>
      </w:pBdr>
      <w:spacing w:before="60" w:after="60" w:line="264" w:lineRule="auto"/>
      <w:ind w:left="720" w:right="720"/>
    </w:pPr>
    <w:rPr>
      <w:rFonts w:asciiTheme="majorHAnsi" w:hAnsiTheme="majorHAnsi"/>
      <w:i/>
      <w:iCs/>
      <w:color w:val="984806" w:themeColor="accent6" w:themeShade="80"/>
    </w:rPr>
  </w:style>
  <w:style w:type="character" w:customStyle="1" w:styleId="QuoteChar">
    <w:name w:val="Quote Char"/>
    <w:aliases w:val="Block Quote Char"/>
    <w:basedOn w:val="DefaultParagraphFont"/>
    <w:link w:val="Quote"/>
    <w:uiPriority w:val="8"/>
    <w:rsid w:val="00F76629"/>
    <w:rPr>
      <w:rFonts w:asciiTheme="majorHAnsi" w:hAnsiTheme="majorHAnsi"/>
      <w:i/>
      <w:iCs/>
      <w:color w:val="984806" w:themeColor="accent6" w:themeShade="80"/>
    </w:rPr>
  </w:style>
  <w:style w:type="paragraph" w:styleId="BalloonText">
    <w:name w:val="Balloon Text"/>
    <w:basedOn w:val="Normal"/>
    <w:link w:val="BalloonTextChar"/>
    <w:uiPriority w:val="99"/>
    <w:semiHidden/>
    <w:unhideWhenUsed/>
    <w:rsid w:val="005A06C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6C1"/>
    <w:rPr>
      <w:rFonts w:ascii="Tahoma" w:hAnsi="Tahoma" w:cs="Tahoma"/>
      <w:color w:val="404040" w:themeColor="text1" w:themeTint="BF"/>
      <w:sz w:val="16"/>
      <w:szCs w:val="16"/>
    </w:rPr>
  </w:style>
  <w:style w:type="character" w:customStyle="1" w:styleId="TableText">
    <w:name w:val="Table Text"/>
    <w:basedOn w:val="NoSpacingChar"/>
    <w:uiPriority w:val="12"/>
    <w:qFormat/>
    <w:rsid w:val="00801CE9"/>
    <w:rPr>
      <w:rFonts w:asciiTheme="minorHAnsi" w:eastAsia="Times New Roman" w:hAnsiTheme="minorHAnsi"/>
      <w:color w:val="404040" w:themeColor="text1" w:themeTint="BF"/>
      <w:sz w:val="18"/>
    </w:rPr>
  </w:style>
  <w:style w:type="paragraph" w:styleId="Bibliography">
    <w:name w:val="Bibliography"/>
    <w:basedOn w:val="Normal"/>
    <w:next w:val="Normal"/>
    <w:uiPriority w:val="8"/>
    <w:qFormat/>
    <w:rsid w:val="00E502AF"/>
    <w:pPr>
      <w:ind w:left="360" w:hanging="360"/>
    </w:pPr>
  </w:style>
  <w:style w:type="character" w:styleId="BookTitle">
    <w:name w:val="Book Title"/>
    <w:uiPriority w:val="33"/>
    <w:semiHidden/>
    <w:rsid w:val="00090BD0"/>
    <w:rPr>
      <w:i/>
      <w:iCs/>
      <w:smallCaps/>
      <w:spacing w:val="5"/>
    </w:rPr>
  </w:style>
  <w:style w:type="paragraph" w:styleId="TOCHeading">
    <w:name w:val="TOC Heading"/>
    <w:basedOn w:val="Heading1"/>
    <w:next w:val="Normal"/>
    <w:uiPriority w:val="39"/>
    <w:qFormat/>
    <w:rsid w:val="00FC7186"/>
    <w:pPr>
      <w:numPr>
        <w:numId w:val="0"/>
      </w:numPr>
      <w:spacing w:before="480" w:after="240"/>
      <w:ind w:left="-720"/>
      <w:outlineLvl w:val="9"/>
    </w:pPr>
    <w:rPr>
      <w:lang w:bidi="en-US"/>
    </w:rPr>
  </w:style>
  <w:style w:type="paragraph" w:styleId="ListNumber">
    <w:name w:val="List Number"/>
    <w:basedOn w:val="Normal"/>
    <w:uiPriority w:val="2"/>
    <w:qFormat/>
    <w:rsid w:val="00266A96"/>
    <w:pPr>
      <w:numPr>
        <w:numId w:val="6"/>
      </w:numPr>
      <w:ind w:left="720"/>
    </w:pPr>
  </w:style>
  <w:style w:type="paragraph" w:styleId="ListBullet">
    <w:name w:val="List Bullet"/>
    <w:basedOn w:val="Normal"/>
    <w:uiPriority w:val="2"/>
    <w:qFormat/>
    <w:rsid w:val="00043A24"/>
    <w:pPr>
      <w:numPr>
        <w:numId w:val="2"/>
      </w:numPr>
      <w:spacing w:before="60" w:after="60"/>
      <w:ind w:left="720"/>
    </w:pPr>
  </w:style>
  <w:style w:type="paragraph" w:styleId="ListNumber2">
    <w:name w:val="List Number 2"/>
    <w:basedOn w:val="ListNumber"/>
    <w:uiPriority w:val="2"/>
    <w:qFormat/>
    <w:rsid w:val="00575C44"/>
    <w:pPr>
      <w:numPr>
        <w:numId w:val="4"/>
      </w:numPr>
      <w:contextualSpacing/>
    </w:pPr>
  </w:style>
  <w:style w:type="character" w:customStyle="1" w:styleId="De-emphasis">
    <w:name w:val="De-emphasis"/>
    <w:basedOn w:val="DefaultParagraphFont"/>
    <w:uiPriority w:val="3"/>
    <w:qFormat/>
    <w:rsid w:val="00EC26D9"/>
    <w:rPr>
      <w:color w:val="808080" w:themeColor="background1" w:themeShade="80"/>
    </w:rPr>
  </w:style>
  <w:style w:type="paragraph" w:customStyle="1" w:styleId="FigureNote">
    <w:name w:val="Figure Note"/>
    <w:basedOn w:val="Normal"/>
    <w:link w:val="FigureNoteChar"/>
    <w:uiPriority w:val="6"/>
    <w:qFormat/>
    <w:rsid w:val="009B7BB4"/>
    <w:pPr>
      <w:spacing w:line="240" w:lineRule="auto"/>
      <w:contextualSpacing/>
    </w:pPr>
    <w:rPr>
      <w:rFonts w:eastAsia="Times New Roman"/>
      <w:i/>
      <w:color w:val="7F7F7F" w:themeColor="text1" w:themeTint="80"/>
    </w:rPr>
  </w:style>
  <w:style w:type="character" w:customStyle="1" w:styleId="FigureNoteChar">
    <w:name w:val="Figure Note Char"/>
    <w:basedOn w:val="DefaultParagraphFont"/>
    <w:link w:val="FigureNote"/>
    <w:uiPriority w:val="6"/>
    <w:rsid w:val="009B7BB4"/>
    <w:rPr>
      <w:rFonts w:ascii="Trebuchet MS" w:eastAsia="Times New Roman" w:hAnsi="Trebuchet MS"/>
      <w:i/>
      <w:color w:val="7F7F7F" w:themeColor="text1" w:themeTint="80"/>
    </w:rPr>
  </w:style>
  <w:style w:type="paragraph" w:styleId="FootnoteText">
    <w:name w:val="footnote text"/>
    <w:basedOn w:val="Normal"/>
    <w:link w:val="FootnoteTextChar"/>
    <w:uiPriority w:val="99"/>
    <w:qFormat/>
    <w:rsid w:val="002C5826"/>
    <w:pPr>
      <w:spacing w:before="20" w:after="20" w:line="240" w:lineRule="auto"/>
    </w:pPr>
    <w:rPr>
      <w:rFonts w:ascii="Optima" w:hAnsi="Optima"/>
      <w:color w:val="000000" w:themeColor="text1"/>
      <w:sz w:val="18"/>
    </w:rPr>
  </w:style>
  <w:style w:type="character" w:customStyle="1" w:styleId="FootnoteTextChar">
    <w:name w:val="Footnote Text Char"/>
    <w:basedOn w:val="DefaultParagraphFont"/>
    <w:link w:val="FootnoteText"/>
    <w:uiPriority w:val="99"/>
    <w:rsid w:val="002C5826"/>
    <w:rPr>
      <w:rFonts w:ascii="Optima" w:hAnsi="Optima"/>
      <w:color w:val="000000" w:themeColor="text1"/>
      <w:sz w:val="18"/>
    </w:rPr>
  </w:style>
  <w:style w:type="paragraph" w:styleId="TOC1">
    <w:name w:val="toc 1"/>
    <w:basedOn w:val="Normal"/>
    <w:next w:val="Normal"/>
    <w:uiPriority w:val="39"/>
    <w:qFormat/>
    <w:rsid w:val="004A1A20"/>
    <w:pPr>
      <w:tabs>
        <w:tab w:val="left" w:pos="600"/>
        <w:tab w:val="right" w:leader="dot" w:pos="9062"/>
      </w:tabs>
      <w:spacing w:after="60" w:line="240" w:lineRule="auto"/>
      <w:ind w:left="540" w:right="846" w:hanging="540"/>
    </w:pPr>
    <w:rPr>
      <w:rFonts w:asciiTheme="minorHAnsi" w:hAnsiTheme="minorHAnsi"/>
      <w:b/>
      <w:bCs/>
      <w:caps/>
      <w:noProof/>
      <w:sz w:val="24"/>
      <w:szCs w:val="24"/>
    </w:rPr>
  </w:style>
  <w:style w:type="paragraph" w:styleId="TOC2">
    <w:name w:val="toc 2"/>
    <w:basedOn w:val="Normal"/>
    <w:next w:val="Normal"/>
    <w:uiPriority w:val="39"/>
    <w:qFormat/>
    <w:rsid w:val="00634408"/>
    <w:pPr>
      <w:tabs>
        <w:tab w:val="right" w:leader="dot" w:pos="9062"/>
      </w:tabs>
      <w:spacing w:before="0" w:after="0"/>
      <w:ind w:left="810" w:right="846" w:hanging="270"/>
    </w:pPr>
    <w:rPr>
      <w:rFonts w:asciiTheme="minorHAnsi" w:hAnsiTheme="minorHAnsi"/>
      <w:smallCaps/>
      <w:noProof/>
      <w:sz w:val="21"/>
    </w:rPr>
  </w:style>
  <w:style w:type="paragraph" w:styleId="TOC3">
    <w:name w:val="toc 3"/>
    <w:basedOn w:val="Normal"/>
    <w:next w:val="Normal"/>
    <w:uiPriority w:val="39"/>
    <w:qFormat/>
    <w:rsid w:val="000F158B"/>
    <w:pPr>
      <w:tabs>
        <w:tab w:val="right" w:leader="dot" w:pos="9062"/>
      </w:tabs>
      <w:spacing w:before="0" w:after="0"/>
      <w:ind w:left="720"/>
    </w:pPr>
    <w:rPr>
      <w:rFonts w:asciiTheme="minorHAnsi" w:hAnsiTheme="minorHAnsi"/>
      <w:i/>
      <w:iCs/>
      <w:noProof/>
    </w:rPr>
  </w:style>
  <w:style w:type="paragraph" w:styleId="Caption">
    <w:name w:val="caption"/>
    <w:basedOn w:val="Normal"/>
    <w:next w:val="Normal"/>
    <w:uiPriority w:val="6"/>
    <w:qFormat/>
    <w:rsid w:val="00537E1A"/>
    <w:pPr>
      <w:spacing w:after="0"/>
    </w:pPr>
    <w:rPr>
      <w:b/>
      <w:bCs/>
      <w:color w:val="595959" w:themeColor="text1" w:themeTint="A6"/>
      <w:szCs w:val="18"/>
    </w:rPr>
  </w:style>
  <w:style w:type="character" w:styleId="Hyperlink">
    <w:name w:val="Hyperlink"/>
    <w:basedOn w:val="DefaultParagraphFont"/>
    <w:uiPriority w:val="99"/>
    <w:unhideWhenUsed/>
    <w:rsid w:val="00FC20EE"/>
    <w:rPr>
      <w:color w:val="000000" w:themeColor="text1"/>
      <w:u w:val="single"/>
    </w:rPr>
  </w:style>
  <w:style w:type="character" w:styleId="FootnoteReference">
    <w:name w:val="footnote reference"/>
    <w:basedOn w:val="DefaultParagraphFont"/>
    <w:uiPriority w:val="99"/>
    <w:unhideWhenUsed/>
    <w:rsid w:val="00F07C9B"/>
    <w:rPr>
      <w:vertAlign w:val="superscript"/>
    </w:rPr>
  </w:style>
  <w:style w:type="table" w:customStyle="1" w:styleId="EconSysTable">
    <w:name w:val="EconSys Table"/>
    <w:basedOn w:val="TableNormal"/>
    <w:uiPriority w:val="99"/>
    <w:rsid w:val="00A14C98"/>
    <w:pPr>
      <w:contextualSpacing/>
    </w:pPr>
    <w:rPr>
      <w:rFonts w:asciiTheme="minorHAnsi" w:hAnsiTheme="minorHAnsi"/>
      <w:sz w:val="18"/>
    </w:rPr>
    <w:tblPr>
      <w:tblStyleRow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pPr>
        <w:jc w:val="left"/>
      </w:pPr>
      <w:tblPr/>
      <w:tcPr>
        <w:tcBorders>
          <w:bottom w:val="single" w:sz="4" w:space="0" w:color="D9D9D9" w:themeColor="background1" w:themeShade="D9"/>
        </w:tcBorders>
        <w:vAlign w:val="center"/>
      </w:tcPr>
    </w:tblStylePr>
    <w:tblStylePr w:type="band2Horz">
      <w:pPr>
        <w:jc w:val="left"/>
      </w:pPr>
      <w:tblPr/>
      <w:tcPr>
        <w:tcBorders>
          <w:bottom w:val="single" w:sz="4" w:space="0" w:color="D9D9D9" w:themeColor="background1" w:themeShade="D9"/>
        </w:tcBorders>
        <w:vAlign w:val="center"/>
      </w:tcPr>
    </w:tblStylePr>
  </w:style>
  <w:style w:type="table" w:customStyle="1" w:styleId="EconSysBandedTable">
    <w:name w:val="EconSys Banded Table"/>
    <w:basedOn w:val="TableNormal"/>
    <w:uiPriority w:val="99"/>
    <w:rsid w:val="00A14C98"/>
    <w:pPr>
      <w:contextualSpacing/>
    </w:pPr>
    <w:rPr>
      <w:rFonts w:asciiTheme="minorHAnsi" w:hAnsiTheme="minorHAnsi"/>
      <w:sz w:val="18"/>
    </w:rPr>
    <w:tblPr>
      <w:tblStyleRowBandSize w:val="1"/>
      <w:tblStyleCol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tblPr/>
      <w:tcPr>
        <w:shd w:val="clear" w:color="auto" w:fill="FAE6DA"/>
      </w:tcPr>
    </w:tblStylePr>
    <w:tblStylePr w:type="band2Horz">
      <w:tblPr/>
      <w:tcPr>
        <w:tcBorders>
          <w:bottom w:val="single" w:sz="4" w:space="0" w:color="D9D9D9" w:themeColor="background1" w:themeShade="D9"/>
        </w:tcBorders>
      </w:tcPr>
    </w:tblStylePr>
  </w:style>
  <w:style w:type="paragraph" w:styleId="Header">
    <w:name w:val="header"/>
    <w:basedOn w:val="Normal"/>
    <w:link w:val="HeaderChar"/>
    <w:uiPriority w:val="99"/>
    <w:rsid w:val="004E5FE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73DE"/>
    <w:rPr>
      <w:rFonts w:asciiTheme="minorHAnsi" w:hAnsiTheme="minorHAnsi"/>
      <w:color w:val="404040" w:themeColor="text1" w:themeTint="BF"/>
      <w:sz w:val="22"/>
    </w:rPr>
  </w:style>
  <w:style w:type="paragraph" w:styleId="Footer">
    <w:name w:val="footer"/>
    <w:basedOn w:val="Normal"/>
    <w:link w:val="FooterChar"/>
    <w:uiPriority w:val="99"/>
    <w:rsid w:val="004E5FE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73DE"/>
    <w:rPr>
      <w:rFonts w:asciiTheme="minorHAnsi" w:hAnsiTheme="minorHAnsi"/>
      <w:color w:val="404040" w:themeColor="text1" w:themeTint="BF"/>
      <w:sz w:val="22"/>
    </w:rPr>
  </w:style>
  <w:style w:type="paragraph" w:styleId="ListBullet2">
    <w:name w:val="List Bullet 2"/>
    <w:basedOn w:val="Normal"/>
    <w:uiPriority w:val="99"/>
    <w:unhideWhenUsed/>
    <w:rsid w:val="00CC1E4E"/>
    <w:pPr>
      <w:numPr>
        <w:numId w:val="3"/>
      </w:numPr>
      <w:contextualSpacing/>
    </w:pPr>
  </w:style>
  <w:style w:type="paragraph" w:styleId="ListNumber3">
    <w:name w:val="List Number 3"/>
    <w:basedOn w:val="ListNumber2"/>
    <w:uiPriority w:val="2"/>
    <w:qFormat/>
    <w:rsid w:val="00CC1E4E"/>
    <w:pPr>
      <w:numPr>
        <w:numId w:val="5"/>
      </w:numPr>
    </w:pPr>
  </w:style>
  <w:style w:type="paragraph" w:customStyle="1" w:styleId="HorizontalRule">
    <w:name w:val="Horizontal Rule"/>
    <w:next w:val="Normal"/>
    <w:link w:val="HorizontalRuleChar"/>
    <w:uiPriority w:val="10"/>
    <w:qFormat/>
    <w:rsid w:val="00BB6429"/>
    <w:pPr>
      <w:pBdr>
        <w:bottom w:val="single" w:sz="8" w:space="1" w:color="D9D9D9" w:themeColor="background1" w:themeShade="D9"/>
      </w:pBdr>
      <w:spacing w:after="240"/>
    </w:pPr>
    <w:rPr>
      <w:rFonts w:asciiTheme="minorHAnsi" w:hAnsiTheme="minorHAnsi"/>
      <w:color w:val="FFFFFF" w:themeColor="background1"/>
      <w:sz w:val="2"/>
    </w:rPr>
  </w:style>
  <w:style w:type="character" w:customStyle="1" w:styleId="HorizontalRuleChar">
    <w:name w:val="Horizontal Rule Char"/>
    <w:basedOn w:val="DefaultParagraphFont"/>
    <w:link w:val="HorizontalRule"/>
    <w:uiPriority w:val="10"/>
    <w:rsid w:val="00B830ED"/>
    <w:rPr>
      <w:rFonts w:asciiTheme="minorHAnsi" w:hAnsiTheme="minorHAnsi"/>
      <w:color w:val="FFFFFF" w:themeColor="background1"/>
      <w:sz w:val="2"/>
    </w:rPr>
  </w:style>
  <w:style w:type="paragraph" w:styleId="EndnoteText">
    <w:name w:val="endnote text"/>
    <w:basedOn w:val="Normal"/>
    <w:link w:val="EndnoteTextChar"/>
    <w:uiPriority w:val="12"/>
    <w:qFormat/>
    <w:rsid w:val="00D42701"/>
    <w:pPr>
      <w:spacing w:before="20" w:after="20" w:line="240" w:lineRule="auto"/>
    </w:pPr>
    <w:rPr>
      <w:rFonts w:ascii="Optima" w:hAnsi="Optima"/>
      <w:i/>
      <w:iCs/>
      <w:color w:val="0D0D0D" w:themeColor="text1" w:themeTint="F2"/>
      <w:sz w:val="16"/>
    </w:rPr>
  </w:style>
  <w:style w:type="character" w:customStyle="1" w:styleId="EndnoteTextChar">
    <w:name w:val="Endnote Text Char"/>
    <w:basedOn w:val="DefaultParagraphFont"/>
    <w:link w:val="EndnoteText"/>
    <w:uiPriority w:val="12"/>
    <w:rsid w:val="00D42701"/>
    <w:rPr>
      <w:rFonts w:ascii="Optima" w:hAnsi="Optima"/>
      <w:i/>
      <w:iCs/>
      <w:color w:val="0D0D0D" w:themeColor="text1" w:themeTint="F2"/>
      <w:sz w:val="16"/>
    </w:rPr>
  </w:style>
  <w:style w:type="paragraph" w:customStyle="1" w:styleId="Lead">
    <w:name w:val="Lead"/>
    <w:basedOn w:val="Normal"/>
    <w:next w:val="Normal"/>
    <w:uiPriority w:val="1"/>
    <w:qFormat/>
    <w:rsid w:val="00B830ED"/>
    <w:rPr>
      <w:color w:val="auto"/>
      <w:sz w:val="28"/>
    </w:rPr>
  </w:style>
  <w:style w:type="paragraph" w:styleId="BodyText">
    <w:name w:val="Body Text"/>
    <w:basedOn w:val="Normal"/>
    <w:link w:val="BodyTextChar1"/>
    <w:unhideWhenUsed/>
    <w:rsid w:val="001373F4"/>
    <w:pPr>
      <w:spacing w:before="0"/>
    </w:pPr>
    <w:rPr>
      <w:rFonts w:ascii="Calibri" w:eastAsia="Times New Roman" w:hAnsi="Calibri"/>
      <w:spacing w:val="-5"/>
      <w:szCs w:val="26"/>
    </w:rPr>
  </w:style>
  <w:style w:type="character" w:customStyle="1" w:styleId="BodyTextChar">
    <w:name w:val="Body Text Char"/>
    <w:basedOn w:val="DefaultParagraphFont"/>
    <w:uiPriority w:val="99"/>
    <w:semiHidden/>
    <w:rsid w:val="001373F4"/>
    <w:rPr>
      <w:rFonts w:asciiTheme="minorHAnsi" w:hAnsiTheme="minorHAnsi"/>
      <w:color w:val="404040" w:themeColor="text1" w:themeTint="BF"/>
      <w:sz w:val="22"/>
    </w:rPr>
  </w:style>
  <w:style w:type="character" w:customStyle="1" w:styleId="BodyTextChar1">
    <w:name w:val="Body Text Char1"/>
    <w:link w:val="BodyText"/>
    <w:rsid w:val="001373F4"/>
    <w:rPr>
      <w:rFonts w:ascii="Calibri" w:eastAsia="Times New Roman" w:hAnsi="Calibri"/>
      <w:color w:val="404040" w:themeColor="text1" w:themeTint="BF"/>
      <w:spacing w:val="-5"/>
      <w:sz w:val="22"/>
      <w:szCs w:val="26"/>
    </w:rPr>
  </w:style>
  <w:style w:type="paragraph" w:styleId="TOC4">
    <w:name w:val="toc 4"/>
    <w:basedOn w:val="Normal"/>
    <w:next w:val="Normal"/>
    <w:uiPriority w:val="39"/>
    <w:unhideWhenUsed/>
    <w:rsid w:val="008303E2"/>
    <w:pPr>
      <w:spacing w:before="0" w:after="0"/>
      <w:ind w:left="600"/>
    </w:pPr>
    <w:rPr>
      <w:rFonts w:asciiTheme="minorHAnsi" w:hAnsiTheme="minorHAnsi"/>
      <w:sz w:val="18"/>
      <w:szCs w:val="18"/>
    </w:rPr>
  </w:style>
  <w:style w:type="character" w:styleId="CommentReference">
    <w:name w:val="annotation reference"/>
    <w:basedOn w:val="DefaultParagraphFont"/>
    <w:uiPriority w:val="99"/>
    <w:semiHidden/>
    <w:unhideWhenUsed/>
    <w:rsid w:val="003A5888"/>
    <w:rPr>
      <w:sz w:val="16"/>
      <w:szCs w:val="16"/>
    </w:rPr>
  </w:style>
  <w:style w:type="paragraph" w:styleId="CommentText">
    <w:name w:val="annotation text"/>
    <w:basedOn w:val="Normal"/>
    <w:link w:val="CommentTextChar"/>
    <w:uiPriority w:val="99"/>
    <w:unhideWhenUsed/>
    <w:rsid w:val="003A5888"/>
    <w:pPr>
      <w:spacing w:line="240" w:lineRule="auto"/>
    </w:pPr>
  </w:style>
  <w:style w:type="character" w:customStyle="1" w:styleId="CommentTextChar">
    <w:name w:val="Comment Text Char"/>
    <w:basedOn w:val="DefaultParagraphFont"/>
    <w:link w:val="CommentText"/>
    <w:uiPriority w:val="99"/>
    <w:rsid w:val="003A5888"/>
    <w:rPr>
      <w:rFonts w:ascii="Trebuchet MS" w:hAnsi="Trebuchet MS"/>
      <w:color w:val="404040" w:themeColor="text1" w:themeTint="BF"/>
    </w:rPr>
  </w:style>
  <w:style w:type="paragraph" w:styleId="CommentSubject">
    <w:name w:val="annotation subject"/>
    <w:basedOn w:val="CommentText"/>
    <w:next w:val="CommentText"/>
    <w:link w:val="CommentSubjectChar"/>
    <w:uiPriority w:val="99"/>
    <w:semiHidden/>
    <w:unhideWhenUsed/>
    <w:rsid w:val="003A5888"/>
    <w:rPr>
      <w:b/>
      <w:bCs/>
    </w:rPr>
  </w:style>
  <w:style w:type="character" w:customStyle="1" w:styleId="CommentSubjectChar">
    <w:name w:val="Comment Subject Char"/>
    <w:basedOn w:val="CommentTextChar"/>
    <w:link w:val="CommentSubject"/>
    <w:uiPriority w:val="99"/>
    <w:semiHidden/>
    <w:rsid w:val="003A5888"/>
    <w:rPr>
      <w:rFonts w:asciiTheme="minorHAnsi" w:hAnsiTheme="minorHAnsi"/>
      <w:b/>
      <w:bCs/>
      <w:color w:val="404040" w:themeColor="text1" w:themeTint="BF"/>
    </w:rPr>
  </w:style>
  <w:style w:type="table" w:styleId="TableGrid">
    <w:name w:val="Table Grid"/>
    <w:basedOn w:val="TableNormal"/>
    <w:uiPriority w:val="39"/>
    <w:rsid w:val="007574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4A2A"/>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4D4C63"/>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UnresolvedMention1">
    <w:name w:val="Unresolved Mention1"/>
    <w:basedOn w:val="DefaultParagraphFont"/>
    <w:uiPriority w:val="99"/>
    <w:semiHidden/>
    <w:unhideWhenUsed/>
    <w:rsid w:val="004D4C63"/>
    <w:rPr>
      <w:color w:val="605E5C"/>
      <w:shd w:val="clear" w:color="auto" w:fill="E1DFDD"/>
    </w:rPr>
  </w:style>
  <w:style w:type="paragraph" w:styleId="Revision">
    <w:name w:val="Revision"/>
    <w:hidden/>
    <w:uiPriority w:val="99"/>
    <w:semiHidden/>
    <w:rsid w:val="00F7360C"/>
    <w:rPr>
      <w:rFonts w:asciiTheme="minorHAnsi" w:hAnsiTheme="minorHAnsi"/>
      <w:color w:val="404040" w:themeColor="text1" w:themeTint="BF"/>
      <w:sz w:val="22"/>
    </w:rPr>
  </w:style>
  <w:style w:type="character" w:styleId="FollowedHyperlink">
    <w:name w:val="FollowedHyperlink"/>
    <w:basedOn w:val="DefaultParagraphFont"/>
    <w:uiPriority w:val="99"/>
    <w:semiHidden/>
    <w:unhideWhenUsed/>
    <w:rsid w:val="00322C8D"/>
    <w:rPr>
      <w:color w:val="800080" w:themeColor="followedHyperlink"/>
      <w:u w:val="single"/>
    </w:rPr>
  </w:style>
  <w:style w:type="table" w:customStyle="1" w:styleId="TableGrid1">
    <w:name w:val="Table Grid1"/>
    <w:basedOn w:val="TableNormal"/>
    <w:next w:val="TableGrid"/>
    <w:uiPriority w:val="39"/>
    <w:rsid w:val="00DF717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7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ercentages">
    <w:name w:val="Table Percentages"/>
    <w:basedOn w:val="Normal"/>
    <w:qFormat/>
    <w:rsid w:val="007F10B7"/>
    <w:pPr>
      <w:spacing w:before="20" w:after="20" w:line="240" w:lineRule="auto"/>
      <w:jc w:val="right"/>
    </w:pPr>
    <w:rPr>
      <w:rFonts w:ascii="Optima" w:hAnsi="Optima" w:cstheme="minorBidi"/>
      <w:color w:val="000000" w:themeColor="text1"/>
      <w:sz w:val="18"/>
      <w:szCs w:val="18"/>
    </w:rPr>
  </w:style>
  <w:style w:type="paragraph" w:styleId="TOC5">
    <w:name w:val="toc 5"/>
    <w:basedOn w:val="Normal"/>
    <w:next w:val="Normal"/>
    <w:autoRedefine/>
    <w:uiPriority w:val="39"/>
    <w:unhideWhenUsed/>
    <w:rsid w:val="00C26E82"/>
    <w:pPr>
      <w:spacing w:before="0" w:after="0"/>
      <w:ind w:left="800"/>
    </w:pPr>
    <w:rPr>
      <w:rFonts w:asciiTheme="minorHAnsi" w:hAnsiTheme="minorHAnsi"/>
      <w:sz w:val="18"/>
      <w:szCs w:val="18"/>
    </w:rPr>
  </w:style>
  <w:style w:type="paragraph" w:styleId="TOC6">
    <w:name w:val="toc 6"/>
    <w:basedOn w:val="Normal"/>
    <w:next w:val="Normal"/>
    <w:autoRedefine/>
    <w:uiPriority w:val="39"/>
    <w:semiHidden/>
    <w:unhideWhenUsed/>
    <w:rsid w:val="007D7886"/>
    <w:pPr>
      <w:spacing w:before="0" w:after="0"/>
      <w:ind w:left="1000"/>
    </w:pPr>
    <w:rPr>
      <w:rFonts w:asciiTheme="minorHAnsi" w:hAnsiTheme="minorHAnsi"/>
      <w:sz w:val="18"/>
      <w:szCs w:val="18"/>
    </w:rPr>
  </w:style>
  <w:style w:type="paragraph" w:styleId="TOC7">
    <w:name w:val="toc 7"/>
    <w:basedOn w:val="Normal"/>
    <w:next w:val="Normal"/>
    <w:autoRedefine/>
    <w:uiPriority w:val="39"/>
    <w:semiHidden/>
    <w:unhideWhenUsed/>
    <w:rsid w:val="007D7886"/>
    <w:pPr>
      <w:spacing w:before="0" w:after="0"/>
      <w:ind w:left="1200"/>
    </w:pPr>
    <w:rPr>
      <w:rFonts w:asciiTheme="minorHAnsi" w:hAnsiTheme="minorHAnsi"/>
      <w:sz w:val="18"/>
      <w:szCs w:val="18"/>
    </w:rPr>
  </w:style>
  <w:style w:type="paragraph" w:styleId="TOC8">
    <w:name w:val="toc 8"/>
    <w:basedOn w:val="Normal"/>
    <w:next w:val="Normal"/>
    <w:autoRedefine/>
    <w:uiPriority w:val="39"/>
    <w:semiHidden/>
    <w:unhideWhenUsed/>
    <w:rsid w:val="007D7886"/>
    <w:pPr>
      <w:spacing w:before="0" w:after="0"/>
      <w:ind w:left="1400"/>
    </w:pPr>
    <w:rPr>
      <w:rFonts w:asciiTheme="minorHAnsi" w:hAnsiTheme="minorHAnsi"/>
      <w:sz w:val="18"/>
      <w:szCs w:val="18"/>
    </w:rPr>
  </w:style>
  <w:style w:type="paragraph" w:styleId="TOC9">
    <w:name w:val="toc 9"/>
    <w:basedOn w:val="Normal"/>
    <w:next w:val="Normal"/>
    <w:autoRedefine/>
    <w:uiPriority w:val="39"/>
    <w:semiHidden/>
    <w:unhideWhenUsed/>
    <w:rsid w:val="007D7886"/>
    <w:pPr>
      <w:spacing w:before="0" w:after="0"/>
      <w:ind w:left="1600"/>
    </w:pPr>
    <w:rPr>
      <w:rFonts w:asciiTheme="minorHAnsi" w:hAnsiTheme="minorHAnsi"/>
      <w:sz w:val="18"/>
      <w:szCs w:val="18"/>
    </w:rPr>
  </w:style>
  <w:style w:type="paragraph" w:customStyle="1" w:styleId="TableLeftColumn">
    <w:name w:val="Table Left Column"/>
    <w:basedOn w:val="TablePercentages"/>
    <w:qFormat/>
    <w:rsid w:val="007F10B7"/>
    <w:pPr>
      <w:jc w:val="left"/>
    </w:pPr>
  </w:style>
  <w:style w:type="table" w:customStyle="1" w:styleId="PlainTable21">
    <w:name w:val="Plain Table 21"/>
    <w:basedOn w:val="TableNormal"/>
    <w:uiPriority w:val="99"/>
    <w:rsid w:val="00B75C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99"/>
    <w:rsid w:val="00B75C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B75C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99"/>
    <w:rsid w:val="00B75C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uiPriority w:val="99"/>
    <w:rsid w:val="00B75C0B"/>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Table1Light1">
    <w:name w:val="List Table 1 Light1"/>
    <w:basedOn w:val="TableNormal"/>
    <w:uiPriority w:val="46"/>
    <w:rsid w:val="00B75C0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99"/>
    <w:rsid w:val="00B75C0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B75C0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1">
    <w:name w:val="List Table 6 Colorful1"/>
    <w:basedOn w:val="TableNormal"/>
    <w:uiPriority w:val="51"/>
    <w:rsid w:val="00B75C0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99"/>
    <w:rsid w:val="00B75C0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itations">
    <w:name w:val="Citations"/>
    <w:basedOn w:val="FootnoteText"/>
    <w:next w:val="Normal"/>
    <w:autoRedefine/>
    <w:qFormat/>
    <w:rsid w:val="00F05DFF"/>
    <w:pPr>
      <w:spacing w:before="40" w:after="40"/>
      <w:ind w:left="360" w:right="180"/>
      <w:jc w:val="center"/>
    </w:pPr>
    <w:rPr>
      <w:rFonts w:eastAsiaTheme="minorEastAsia" w:cs="Times New Roman (Body CS)"/>
      <w:bCs/>
      <w:i/>
      <w:iCs/>
      <w:sz w:val="16"/>
      <w:szCs w:val="16"/>
    </w:rPr>
  </w:style>
  <w:style w:type="paragraph" w:styleId="DocumentMap">
    <w:name w:val="Document Map"/>
    <w:basedOn w:val="Normal"/>
    <w:link w:val="DocumentMapChar"/>
    <w:uiPriority w:val="99"/>
    <w:semiHidden/>
    <w:unhideWhenUsed/>
    <w:rsid w:val="00D273DA"/>
    <w:pPr>
      <w:spacing w:before="0"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D273DA"/>
    <w:rPr>
      <w:rFonts w:ascii="Lucida Grande" w:hAnsi="Lucida Grande"/>
      <w:color w:val="404040" w:themeColor="text1" w:themeTint="BF"/>
      <w:sz w:val="24"/>
      <w:szCs w:val="24"/>
    </w:rPr>
  </w:style>
  <w:style w:type="character" w:styleId="PageNumber">
    <w:name w:val="page number"/>
    <w:basedOn w:val="DefaultParagraphFont"/>
    <w:uiPriority w:val="99"/>
    <w:semiHidden/>
    <w:unhideWhenUsed/>
    <w:rsid w:val="00243102"/>
  </w:style>
  <w:style w:type="character" w:customStyle="1" w:styleId="UnresolvedMention2">
    <w:name w:val="Unresolved Mention2"/>
    <w:basedOn w:val="DefaultParagraphFont"/>
    <w:uiPriority w:val="99"/>
    <w:semiHidden/>
    <w:unhideWhenUsed/>
    <w:rsid w:val="004C76CF"/>
    <w:rPr>
      <w:color w:val="605E5C"/>
      <w:shd w:val="clear" w:color="auto" w:fill="E1DFDD"/>
    </w:rPr>
  </w:style>
  <w:style w:type="character" w:styleId="UnresolvedMention">
    <w:name w:val="Unresolved Mention"/>
    <w:basedOn w:val="DefaultParagraphFont"/>
    <w:uiPriority w:val="99"/>
    <w:semiHidden/>
    <w:unhideWhenUsed/>
    <w:rsid w:val="007202B3"/>
    <w:rPr>
      <w:color w:val="605E5C"/>
      <w:shd w:val="clear" w:color="auto" w:fill="E1DFDD"/>
    </w:rPr>
  </w:style>
  <w:style w:type="table" w:styleId="GridTable4-Accent5">
    <w:name w:val="Grid Table 4 Accent 5"/>
    <w:basedOn w:val="TableNormal"/>
    <w:uiPriority w:val="49"/>
    <w:rsid w:val="00C7506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89383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customStyle="1" w:styleId="Heading1-Nonumbering">
    <w:name w:val="Heading 1-No numbering"/>
    <w:basedOn w:val="Heading1"/>
    <w:qFormat/>
    <w:rsid w:val="000E7A7D"/>
    <w:pPr>
      <w:numPr>
        <w:numId w:val="0"/>
      </w:numPr>
      <w:tabs>
        <w:tab w:val="right" w:leader="dot" w:pos="8640"/>
      </w:tabs>
    </w:pPr>
  </w:style>
  <w:style w:type="paragraph" w:customStyle="1" w:styleId="Text">
    <w:name w:val="Text"/>
    <w:basedOn w:val="Normal"/>
    <w:uiPriority w:val="5"/>
    <w:qFormat/>
    <w:rsid w:val="00512A95"/>
    <w:pPr>
      <w:spacing w:before="0" w:after="0" w:line="240" w:lineRule="auto"/>
    </w:pPr>
    <w:rPr>
      <w:rFonts w:asciiTheme="minorHAnsi" w:hAnsiTheme="minorHAnsi" w:cstheme="minorBidi"/>
      <w:i/>
      <w:color w:val="000000" w:themeColor="text1"/>
      <w:sz w:val="28"/>
      <w:szCs w:val="24"/>
    </w:rPr>
  </w:style>
  <w:style w:type="paragraph" w:customStyle="1" w:styleId="1Spine">
    <w:name w:val="1&quot; Spine"/>
    <w:basedOn w:val="Normal"/>
    <w:qFormat/>
    <w:rsid w:val="00AF7085"/>
    <w:pPr>
      <w:spacing w:before="0" w:after="0" w:line="240" w:lineRule="auto"/>
      <w:jc w:val="center"/>
    </w:pPr>
    <w:rPr>
      <w:rFonts w:asciiTheme="minorHAnsi" w:hAnsiTheme="minorHAnsi" w:cstheme="minorBidi"/>
      <w:b/>
      <w:color w:val="1F497D" w:themeColor="text2"/>
      <w:sz w:val="44"/>
      <w:szCs w:val="44"/>
      <w:lang w:bidi="hi-IN"/>
    </w:rPr>
  </w:style>
  <w:style w:type="paragraph" w:customStyle="1" w:styleId="TabName">
    <w:name w:val="Tab Name"/>
    <w:basedOn w:val="Normal"/>
    <w:rsid w:val="00AF7085"/>
    <w:pPr>
      <w:spacing w:before="0" w:after="200" w:line="276" w:lineRule="auto"/>
      <w:jc w:val="center"/>
    </w:pPr>
    <w:rPr>
      <w:rFonts w:asciiTheme="minorHAnsi" w:hAnsiTheme="minorHAnsi" w:cstheme="minorBidi"/>
      <w:color w:val="4F81BD" w:themeColor="accent1"/>
      <w:sz w:val="32"/>
      <w:szCs w:val="22"/>
    </w:rPr>
  </w:style>
  <w:style w:type="paragraph" w:customStyle="1" w:styleId="Subtitle2">
    <w:name w:val="Subtitle 2"/>
    <w:link w:val="Subtitle2Char"/>
    <w:qFormat/>
    <w:rsid w:val="008767A7"/>
    <w:pPr>
      <w:spacing w:after="200"/>
      <w:jc w:val="center"/>
    </w:pPr>
    <w:rPr>
      <w:rFonts w:ascii="Microsoft Office Preview Font" w:eastAsiaTheme="majorEastAsia" w:hAnsi="Microsoft Office Preview Font" w:cstheme="minorBidi"/>
      <w:b/>
      <w:color w:val="000000" w:themeColor="text1"/>
      <w:sz w:val="40"/>
      <w:szCs w:val="32"/>
      <w:u w:val="single"/>
    </w:rPr>
  </w:style>
  <w:style w:type="character" w:customStyle="1" w:styleId="Subtitle2Char">
    <w:name w:val="Subtitle 2 Char"/>
    <w:basedOn w:val="Heading4Char"/>
    <w:link w:val="Subtitle2"/>
    <w:rsid w:val="008767A7"/>
    <w:rPr>
      <w:rFonts w:ascii="Microsoft Office Preview Font" w:eastAsiaTheme="majorEastAsia" w:hAnsi="Microsoft Office Preview Font" w:cstheme="minorBidi"/>
      <w:b/>
      <w:bCs w:val="0"/>
      <w:iCs w:val="0"/>
      <w:color w:val="000000" w:themeColor="text1"/>
      <w:sz w:val="40"/>
      <w:szCs w:val="32"/>
      <w:u w:val="single"/>
    </w:rPr>
  </w:style>
  <w:style w:type="paragraph" w:customStyle="1" w:styleId="Name">
    <w:name w:val="Name"/>
    <w:basedOn w:val="Normal"/>
    <w:qFormat/>
    <w:rsid w:val="008767A7"/>
    <w:pPr>
      <w:spacing w:before="0" w:after="200" w:line="276" w:lineRule="auto"/>
      <w:jc w:val="center"/>
    </w:pPr>
    <w:rPr>
      <w:rFonts w:asciiTheme="majorHAnsi" w:hAnsiTheme="majorHAnsi" w:cstheme="minorBidi"/>
      <w:color w:val="1F497D" w:themeColor="text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5448">
      <w:bodyDiv w:val="1"/>
      <w:marLeft w:val="0"/>
      <w:marRight w:val="0"/>
      <w:marTop w:val="0"/>
      <w:marBottom w:val="0"/>
      <w:divBdr>
        <w:top w:val="none" w:sz="0" w:space="0" w:color="auto"/>
        <w:left w:val="none" w:sz="0" w:space="0" w:color="auto"/>
        <w:bottom w:val="none" w:sz="0" w:space="0" w:color="auto"/>
        <w:right w:val="none" w:sz="0" w:space="0" w:color="auto"/>
      </w:divBdr>
    </w:div>
    <w:div w:id="149447652">
      <w:bodyDiv w:val="1"/>
      <w:marLeft w:val="0"/>
      <w:marRight w:val="0"/>
      <w:marTop w:val="0"/>
      <w:marBottom w:val="0"/>
      <w:divBdr>
        <w:top w:val="none" w:sz="0" w:space="0" w:color="auto"/>
        <w:left w:val="none" w:sz="0" w:space="0" w:color="auto"/>
        <w:bottom w:val="none" w:sz="0" w:space="0" w:color="auto"/>
        <w:right w:val="none" w:sz="0" w:space="0" w:color="auto"/>
      </w:divBdr>
    </w:div>
    <w:div w:id="149951029">
      <w:bodyDiv w:val="1"/>
      <w:marLeft w:val="0"/>
      <w:marRight w:val="0"/>
      <w:marTop w:val="0"/>
      <w:marBottom w:val="0"/>
      <w:divBdr>
        <w:top w:val="none" w:sz="0" w:space="0" w:color="auto"/>
        <w:left w:val="none" w:sz="0" w:space="0" w:color="auto"/>
        <w:bottom w:val="none" w:sz="0" w:space="0" w:color="auto"/>
        <w:right w:val="none" w:sz="0" w:space="0" w:color="auto"/>
      </w:divBdr>
    </w:div>
    <w:div w:id="262881772">
      <w:bodyDiv w:val="1"/>
      <w:marLeft w:val="0"/>
      <w:marRight w:val="0"/>
      <w:marTop w:val="0"/>
      <w:marBottom w:val="0"/>
      <w:divBdr>
        <w:top w:val="none" w:sz="0" w:space="0" w:color="auto"/>
        <w:left w:val="none" w:sz="0" w:space="0" w:color="auto"/>
        <w:bottom w:val="none" w:sz="0" w:space="0" w:color="auto"/>
        <w:right w:val="none" w:sz="0" w:space="0" w:color="auto"/>
      </w:divBdr>
    </w:div>
    <w:div w:id="267740567">
      <w:bodyDiv w:val="1"/>
      <w:marLeft w:val="0"/>
      <w:marRight w:val="0"/>
      <w:marTop w:val="0"/>
      <w:marBottom w:val="0"/>
      <w:divBdr>
        <w:top w:val="none" w:sz="0" w:space="0" w:color="auto"/>
        <w:left w:val="none" w:sz="0" w:space="0" w:color="auto"/>
        <w:bottom w:val="none" w:sz="0" w:space="0" w:color="auto"/>
        <w:right w:val="none" w:sz="0" w:space="0" w:color="auto"/>
      </w:divBdr>
      <w:divsChild>
        <w:div w:id="912852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325891">
              <w:marLeft w:val="0"/>
              <w:marRight w:val="0"/>
              <w:marTop w:val="0"/>
              <w:marBottom w:val="0"/>
              <w:divBdr>
                <w:top w:val="none" w:sz="0" w:space="0" w:color="auto"/>
                <w:left w:val="none" w:sz="0" w:space="0" w:color="auto"/>
                <w:bottom w:val="none" w:sz="0" w:space="0" w:color="auto"/>
                <w:right w:val="none" w:sz="0" w:space="0" w:color="auto"/>
              </w:divBdr>
              <w:divsChild>
                <w:div w:id="1837959566">
                  <w:marLeft w:val="0"/>
                  <w:marRight w:val="0"/>
                  <w:marTop w:val="0"/>
                  <w:marBottom w:val="0"/>
                  <w:divBdr>
                    <w:top w:val="none" w:sz="0" w:space="0" w:color="auto"/>
                    <w:left w:val="none" w:sz="0" w:space="0" w:color="auto"/>
                    <w:bottom w:val="none" w:sz="0" w:space="0" w:color="auto"/>
                    <w:right w:val="none" w:sz="0" w:space="0" w:color="auto"/>
                  </w:divBdr>
                  <w:divsChild>
                    <w:div w:id="6359104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97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97739">
      <w:bodyDiv w:val="1"/>
      <w:marLeft w:val="0"/>
      <w:marRight w:val="0"/>
      <w:marTop w:val="0"/>
      <w:marBottom w:val="0"/>
      <w:divBdr>
        <w:top w:val="none" w:sz="0" w:space="0" w:color="auto"/>
        <w:left w:val="none" w:sz="0" w:space="0" w:color="auto"/>
        <w:bottom w:val="none" w:sz="0" w:space="0" w:color="auto"/>
        <w:right w:val="none" w:sz="0" w:space="0" w:color="auto"/>
      </w:divBdr>
    </w:div>
    <w:div w:id="579220717">
      <w:bodyDiv w:val="1"/>
      <w:marLeft w:val="0"/>
      <w:marRight w:val="0"/>
      <w:marTop w:val="0"/>
      <w:marBottom w:val="0"/>
      <w:divBdr>
        <w:top w:val="none" w:sz="0" w:space="0" w:color="auto"/>
        <w:left w:val="none" w:sz="0" w:space="0" w:color="auto"/>
        <w:bottom w:val="none" w:sz="0" w:space="0" w:color="auto"/>
        <w:right w:val="none" w:sz="0" w:space="0" w:color="auto"/>
      </w:divBdr>
    </w:div>
    <w:div w:id="762650148">
      <w:bodyDiv w:val="1"/>
      <w:marLeft w:val="0"/>
      <w:marRight w:val="0"/>
      <w:marTop w:val="0"/>
      <w:marBottom w:val="0"/>
      <w:divBdr>
        <w:top w:val="none" w:sz="0" w:space="0" w:color="auto"/>
        <w:left w:val="none" w:sz="0" w:space="0" w:color="auto"/>
        <w:bottom w:val="none" w:sz="0" w:space="0" w:color="auto"/>
        <w:right w:val="none" w:sz="0" w:space="0" w:color="auto"/>
      </w:divBdr>
    </w:div>
    <w:div w:id="920680682">
      <w:bodyDiv w:val="1"/>
      <w:marLeft w:val="0"/>
      <w:marRight w:val="0"/>
      <w:marTop w:val="0"/>
      <w:marBottom w:val="0"/>
      <w:divBdr>
        <w:top w:val="none" w:sz="0" w:space="0" w:color="auto"/>
        <w:left w:val="none" w:sz="0" w:space="0" w:color="auto"/>
        <w:bottom w:val="none" w:sz="0" w:space="0" w:color="auto"/>
        <w:right w:val="none" w:sz="0" w:space="0" w:color="auto"/>
      </w:divBdr>
    </w:div>
    <w:div w:id="1024553351">
      <w:bodyDiv w:val="1"/>
      <w:marLeft w:val="0"/>
      <w:marRight w:val="0"/>
      <w:marTop w:val="0"/>
      <w:marBottom w:val="0"/>
      <w:divBdr>
        <w:top w:val="none" w:sz="0" w:space="0" w:color="auto"/>
        <w:left w:val="none" w:sz="0" w:space="0" w:color="auto"/>
        <w:bottom w:val="none" w:sz="0" w:space="0" w:color="auto"/>
        <w:right w:val="none" w:sz="0" w:space="0" w:color="auto"/>
      </w:divBdr>
    </w:div>
    <w:div w:id="1034160361">
      <w:bodyDiv w:val="1"/>
      <w:marLeft w:val="0"/>
      <w:marRight w:val="0"/>
      <w:marTop w:val="0"/>
      <w:marBottom w:val="0"/>
      <w:divBdr>
        <w:top w:val="none" w:sz="0" w:space="0" w:color="auto"/>
        <w:left w:val="none" w:sz="0" w:space="0" w:color="auto"/>
        <w:bottom w:val="none" w:sz="0" w:space="0" w:color="auto"/>
        <w:right w:val="none" w:sz="0" w:space="0" w:color="auto"/>
      </w:divBdr>
    </w:div>
    <w:div w:id="1224101144">
      <w:bodyDiv w:val="1"/>
      <w:marLeft w:val="0"/>
      <w:marRight w:val="0"/>
      <w:marTop w:val="0"/>
      <w:marBottom w:val="0"/>
      <w:divBdr>
        <w:top w:val="none" w:sz="0" w:space="0" w:color="auto"/>
        <w:left w:val="none" w:sz="0" w:space="0" w:color="auto"/>
        <w:bottom w:val="none" w:sz="0" w:space="0" w:color="auto"/>
        <w:right w:val="none" w:sz="0" w:space="0" w:color="auto"/>
      </w:divBdr>
    </w:div>
    <w:div w:id="1265305499">
      <w:bodyDiv w:val="1"/>
      <w:marLeft w:val="0"/>
      <w:marRight w:val="0"/>
      <w:marTop w:val="0"/>
      <w:marBottom w:val="0"/>
      <w:divBdr>
        <w:top w:val="none" w:sz="0" w:space="0" w:color="auto"/>
        <w:left w:val="none" w:sz="0" w:space="0" w:color="auto"/>
        <w:bottom w:val="none" w:sz="0" w:space="0" w:color="auto"/>
        <w:right w:val="none" w:sz="0" w:space="0" w:color="auto"/>
      </w:divBdr>
    </w:div>
    <w:div w:id="1307278287">
      <w:bodyDiv w:val="1"/>
      <w:marLeft w:val="0"/>
      <w:marRight w:val="0"/>
      <w:marTop w:val="0"/>
      <w:marBottom w:val="0"/>
      <w:divBdr>
        <w:top w:val="none" w:sz="0" w:space="0" w:color="auto"/>
        <w:left w:val="none" w:sz="0" w:space="0" w:color="auto"/>
        <w:bottom w:val="none" w:sz="0" w:space="0" w:color="auto"/>
        <w:right w:val="none" w:sz="0" w:space="0" w:color="auto"/>
      </w:divBdr>
    </w:div>
    <w:div w:id="1416635597">
      <w:bodyDiv w:val="1"/>
      <w:marLeft w:val="0"/>
      <w:marRight w:val="0"/>
      <w:marTop w:val="0"/>
      <w:marBottom w:val="0"/>
      <w:divBdr>
        <w:top w:val="none" w:sz="0" w:space="0" w:color="auto"/>
        <w:left w:val="none" w:sz="0" w:space="0" w:color="auto"/>
        <w:bottom w:val="none" w:sz="0" w:space="0" w:color="auto"/>
        <w:right w:val="none" w:sz="0" w:space="0" w:color="auto"/>
      </w:divBdr>
    </w:div>
    <w:div w:id="1512066501">
      <w:bodyDiv w:val="1"/>
      <w:marLeft w:val="0"/>
      <w:marRight w:val="0"/>
      <w:marTop w:val="0"/>
      <w:marBottom w:val="0"/>
      <w:divBdr>
        <w:top w:val="none" w:sz="0" w:space="0" w:color="auto"/>
        <w:left w:val="none" w:sz="0" w:space="0" w:color="auto"/>
        <w:bottom w:val="none" w:sz="0" w:space="0" w:color="auto"/>
        <w:right w:val="none" w:sz="0" w:space="0" w:color="auto"/>
      </w:divBdr>
    </w:div>
    <w:div w:id="1531650617">
      <w:bodyDiv w:val="1"/>
      <w:marLeft w:val="0"/>
      <w:marRight w:val="0"/>
      <w:marTop w:val="0"/>
      <w:marBottom w:val="0"/>
      <w:divBdr>
        <w:top w:val="none" w:sz="0" w:space="0" w:color="auto"/>
        <w:left w:val="none" w:sz="0" w:space="0" w:color="auto"/>
        <w:bottom w:val="none" w:sz="0" w:space="0" w:color="auto"/>
        <w:right w:val="none" w:sz="0" w:space="0" w:color="auto"/>
      </w:divBdr>
    </w:div>
    <w:div w:id="1558006436">
      <w:bodyDiv w:val="1"/>
      <w:marLeft w:val="0"/>
      <w:marRight w:val="0"/>
      <w:marTop w:val="0"/>
      <w:marBottom w:val="0"/>
      <w:divBdr>
        <w:top w:val="none" w:sz="0" w:space="0" w:color="auto"/>
        <w:left w:val="none" w:sz="0" w:space="0" w:color="auto"/>
        <w:bottom w:val="none" w:sz="0" w:space="0" w:color="auto"/>
        <w:right w:val="none" w:sz="0" w:space="0" w:color="auto"/>
      </w:divBdr>
    </w:div>
    <w:div w:id="1626352122">
      <w:bodyDiv w:val="1"/>
      <w:marLeft w:val="0"/>
      <w:marRight w:val="0"/>
      <w:marTop w:val="0"/>
      <w:marBottom w:val="0"/>
      <w:divBdr>
        <w:top w:val="none" w:sz="0" w:space="0" w:color="auto"/>
        <w:left w:val="none" w:sz="0" w:space="0" w:color="auto"/>
        <w:bottom w:val="none" w:sz="0" w:space="0" w:color="auto"/>
        <w:right w:val="none" w:sz="0" w:space="0" w:color="auto"/>
      </w:divBdr>
    </w:div>
    <w:div w:id="1658416291">
      <w:bodyDiv w:val="1"/>
      <w:marLeft w:val="0"/>
      <w:marRight w:val="0"/>
      <w:marTop w:val="0"/>
      <w:marBottom w:val="0"/>
      <w:divBdr>
        <w:top w:val="none" w:sz="0" w:space="0" w:color="auto"/>
        <w:left w:val="none" w:sz="0" w:space="0" w:color="auto"/>
        <w:bottom w:val="none" w:sz="0" w:space="0" w:color="auto"/>
        <w:right w:val="none" w:sz="0" w:space="0" w:color="auto"/>
      </w:divBdr>
    </w:div>
    <w:div w:id="1803423649">
      <w:bodyDiv w:val="1"/>
      <w:marLeft w:val="0"/>
      <w:marRight w:val="0"/>
      <w:marTop w:val="0"/>
      <w:marBottom w:val="0"/>
      <w:divBdr>
        <w:top w:val="none" w:sz="0" w:space="0" w:color="auto"/>
        <w:left w:val="none" w:sz="0" w:space="0" w:color="auto"/>
        <w:bottom w:val="none" w:sz="0" w:space="0" w:color="auto"/>
        <w:right w:val="none" w:sz="0" w:space="0" w:color="auto"/>
      </w:divBdr>
    </w:div>
    <w:div w:id="197960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fontTable" Target="fontTable.xml"/><Relationship Id="rId21" Type="http://schemas.openxmlformats.org/officeDocument/2006/relationships/diagramLayout" Target="diagrams/layout2.xml"/><Relationship Id="rId34" Type="http://schemas.openxmlformats.org/officeDocument/2006/relationships/diagramQuickStyle" Target="diagrams/quickStyle4.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hyperlink" Target="https://www2.ed.gov/about/offices/list/osers/rsa/wioa/state-plans/index.html"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diagramData" Target="diagrams/data4.xml"/><Relationship Id="rId37" Type="http://schemas.openxmlformats.org/officeDocument/2006/relationships/image" Target="media/image2.gi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microsoft.com/office/2007/relationships/diagramDrawing" Target="diagrams/drawing4.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chart" Target="charts/chart1.xml"/><Relationship Id="rId35" Type="http://schemas.openxmlformats.org/officeDocument/2006/relationships/diagramColors" Target="diagrams/colors4.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file:///C:/Users/Lisa/Documents/5a%20EconSys/Rate-Reimbursement%20Guide/State%20Specific%20Info/Iowa/Iowa%20Habilitation%20Services%20Provider%20Manual.pdf" TargetMode="External"/><Relationship Id="rId13" Type="http://schemas.openxmlformats.org/officeDocument/2006/relationships/hyperlink" Target="https://www.oregon.gov/DHS/EMPLOYMENT/VR/CooperativeAgreements/ODDS-VR-MOU.pdf" TargetMode="External"/><Relationship Id="rId18" Type="http://schemas.openxmlformats.org/officeDocument/2006/relationships/hyperlink" Target="http://www.ddnetworkinc.org/uploads/3/4/1/9/34192144/17-01-20_building_on_the_dane_county_difference.pdf" TargetMode="External"/><Relationship Id="rId26" Type="http://schemas.openxmlformats.org/officeDocument/2006/relationships/hyperlink" Target="http://www.askearn.org" TargetMode="External"/><Relationship Id="rId3" Type="http://schemas.openxmlformats.org/officeDocument/2006/relationships/hyperlink" Target="https://www.americanprogress.org/issues/healthcare/reports/2019/04/10/468290/state-options-making-wise-investments-direct-care-workforce/" TargetMode="External"/><Relationship Id="rId21" Type="http://schemas.openxmlformats.org/officeDocument/2006/relationships/hyperlink" Target="https://gvs.georgia.gov/dbhddgvra-supported-employment-collaboration-individuals-intellectual-developmental-disabilities" TargetMode="External"/><Relationship Id="rId7" Type="http://schemas.openxmlformats.org/officeDocument/2006/relationships/hyperlink" Target="https://arcareereducation.org/docs/default-source/arkansas-rehabilitation-services/2019-ar-field-policy-manual---final.pdf?sfvrsn=72014116_2" TargetMode="External"/><Relationship Id="rId12" Type="http://schemas.openxmlformats.org/officeDocument/2006/relationships/hyperlink" Target="https://www.tn.gov/content/dam/tn/tenncare/documents/VocationalRehabilitationMOU.pdf" TargetMode="External"/><Relationship Id="rId17" Type="http://schemas.openxmlformats.org/officeDocument/2006/relationships/hyperlink" Target="https://www.nationalcoreindicators.org/upload/core-indicators/NCIEmployment_Update3_DataBrief.pdf" TargetMode="External"/><Relationship Id="rId25" Type="http://schemas.openxmlformats.org/officeDocument/2006/relationships/hyperlink" Target="https://static1.squarespace.com/static/57fa78cd6a496306c83a2ca7/t/5830f9bee4fcb5e251c81780/1479604673136/The+Seven+Phase+Sequence+for+Balancing+Naturalness+and+Individual+Needs.pdf" TargetMode="External"/><Relationship Id="rId2" Type="http://schemas.openxmlformats.org/officeDocument/2006/relationships/hyperlink" Target="https://www.medicaid.gov/medicaid/hcbs/guidance/hcbs-final-regulation/index.html" TargetMode="External"/><Relationship Id="rId16" Type="http://schemas.openxmlformats.org/officeDocument/2006/relationships/hyperlink" Target="https://www.oregon.gov/DHS/EMPLOYMENT/VR/CooperativeAgreements/ODDS-VR-MOU.pdf" TargetMode="External"/><Relationship Id="rId20" Type="http://schemas.openxmlformats.org/officeDocument/2006/relationships/hyperlink" Target="https://dhss.delaware.gov/dsaapd/files/pathways_amendment.pdf" TargetMode="External"/><Relationship Id="rId29" Type="http://schemas.openxmlformats.org/officeDocument/2006/relationships/hyperlink" Target="https://ocfs.ny.gov/main/cb/vocrehab_manual/08-37_OnTheJobTraining.htm" TargetMode="External"/><Relationship Id="rId1" Type="http://schemas.openxmlformats.org/officeDocument/2006/relationships/hyperlink" Target="https://www.dol.gov/odep/topics/employmentfirst.htm" TargetMode="External"/><Relationship Id="rId6" Type="http://schemas.openxmlformats.org/officeDocument/2006/relationships/hyperlink" Target="http://wintac-s3.s3-us-west-2.amazonaws.com/topic-areas/ta_511/Cimera-2012-Do_sheltered_workshops_enhance_employment.pdf" TargetMode="External"/><Relationship Id="rId11" Type="http://schemas.openxmlformats.org/officeDocument/2006/relationships/hyperlink" Target="http://drivedisabilityemployment.org/sites/default/files/MOU%20Summary.pdf" TargetMode="External"/><Relationship Id="rId24" Type="http://schemas.openxmlformats.org/officeDocument/2006/relationships/hyperlink" Target="https://acl.gov/sites/default/files/programs/2018-02/2017%20PCPID%20Full%20Report_0.PDF" TargetMode="External"/><Relationship Id="rId32" Type="http://schemas.openxmlformats.org/officeDocument/2006/relationships/hyperlink" Target="http://www.tennesseeworks.org/so-what-services-are-available-with-employment-and-community-first-choices-part-3/" TargetMode="External"/><Relationship Id="rId5" Type="http://schemas.openxmlformats.org/officeDocument/2006/relationships/hyperlink" Target="http://thecpsd.org/wp-content/uploads/2017/03/Policy-Brief_Can-Supported-Employment-Flourish-in-a-Medicaid-Fee-for-Service-System.pdf" TargetMode="External"/><Relationship Id="rId15" Type="http://schemas.openxmlformats.org/officeDocument/2006/relationships/hyperlink" Target="https://apps.econsys.com/vrn/50%20States%20VR%20Rates%20and%20Services.xlsx" TargetMode="External"/><Relationship Id="rId23" Type="http://schemas.openxmlformats.org/officeDocument/2006/relationships/hyperlink" Target="https://gvs.georgia.gov/press-releases/2018-05-08/georgias-employment-first-act-becomes-law" TargetMode="External"/><Relationship Id="rId28" Type="http://schemas.openxmlformats.org/officeDocument/2006/relationships/hyperlink" Target="http://www.rehabworks.org/ojt.shtml" TargetMode="External"/><Relationship Id="rId10" Type="http://schemas.openxmlformats.org/officeDocument/2006/relationships/hyperlink" Target="https://ivrs.iowa.gov/sites/default/files/documents/2019/04/responsibilities_for_customized_employment_services.pdf" TargetMode="External"/><Relationship Id="rId19" Type="http://schemas.openxmlformats.org/officeDocument/2006/relationships/hyperlink" Target="https://www.sourceamerica.org/pathways-careers" TargetMode="External"/><Relationship Id="rId31" Type="http://schemas.openxmlformats.org/officeDocument/2006/relationships/hyperlink" Target="https://docs.legis.wisconsin.gov/2017/related/acts/323" TargetMode="External"/><Relationship Id="rId4" Type="http://schemas.openxmlformats.org/officeDocument/2006/relationships/hyperlink" Target="https://cdn.americanprogress.org/wp-content/uploads/2012/09/FeeforService-1.pdf" TargetMode="External"/><Relationship Id="rId9" Type="http://schemas.openxmlformats.org/officeDocument/2006/relationships/hyperlink" Target="https://ivrs.iowa.gov/sites/default/files/documents/2019/04/responsibilities_for_discovery_services.pdf" TargetMode="External"/><Relationship Id="rId14" Type="http://schemas.openxmlformats.org/officeDocument/2006/relationships/hyperlink" Target="http://www.marcgold.com/" TargetMode="External"/><Relationship Id="rId22" Type="http://schemas.openxmlformats.org/officeDocument/2006/relationships/hyperlink" Target="https://dbhdd.georgia.gov/sites/dbhdd.georgia.gov/files/related_files/site_page/Guide%20to%20Employment%20Express.pdf" TargetMode="External"/><Relationship Id="rId27" Type="http://schemas.openxmlformats.org/officeDocument/2006/relationships/hyperlink" Target="https://www.tn.gov/content/dam/tn/workforce/documents/On-the-job_training_Margaret_Prater__Kristie_Bennett-min.pdf" TargetMode="External"/><Relationship Id="rId30" Type="http://schemas.openxmlformats.org/officeDocument/2006/relationships/hyperlink" Target="https://downloads.cms.gov/cmsgov/archived-downloads/CMCSBulletins/downloads/CIB-9-16-1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li%20sayer\Downloads\Task%202%20-%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li%20sayer\Downloads\Redone_Chart%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120" normalizeH="0" baseline="0">
                <a:solidFill>
                  <a:schemeClr val="tx1">
                    <a:lumMod val="65000"/>
                    <a:lumOff val="35000"/>
                  </a:schemeClr>
                </a:solidFill>
                <a:latin typeface="+mn-lt"/>
                <a:ea typeface="+mn-ea"/>
                <a:cs typeface="+mn-cs"/>
              </a:defRPr>
            </a:pPr>
            <a:r>
              <a:rPr lang="en-US" sz="1100" cap="none" baseline="0"/>
              <a:t>Employment Service Expenditures, </a:t>
            </a:r>
          </a:p>
          <a:p>
            <a:pPr>
              <a:defRPr sz="1100" cap="none"/>
            </a:pPr>
            <a:r>
              <a:rPr lang="en-US" sz="1100" cap="none" baseline="0"/>
              <a:t>Medicaid &amp; MHDS Regions</a:t>
            </a:r>
          </a:p>
        </c:rich>
      </c:tx>
      <c:overlay val="0"/>
      <c:spPr>
        <a:noFill/>
        <a:ln>
          <a:noFill/>
        </a:ln>
        <a:effectLst/>
      </c:spPr>
      <c:txPr>
        <a:bodyPr rot="0" spcFirstLastPara="1" vertOverflow="ellipsis" vert="horz" wrap="square" anchor="ctr" anchorCtr="1"/>
        <a:lstStyle/>
        <a:p>
          <a:pPr>
            <a:defRPr sz="11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'Pg. 27'!$B$2</c:f>
              <c:strCache>
                <c:ptCount val="1"/>
                <c:pt idx="0">
                  <c:v>Facility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'Pg. 27'!$A$3:$A$6</c:f>
              <c:numCache>
                <c:formatCode>General</c:formatCode>
                <c:ptCount val="4"/>
                <c:pt idx="0">
                  <c:v>2015</c:v>
                </c:pt>
                <c:pt idx="1">
                  <c:v>2016</c:v>
                </c:pt>
                <c:pt idx="2">
                  <c:v>2017</c:v>
                </c:pt>
                <c:pt idx="3">
                  <c:v>2018</c:v>
                </c:pt>
              </c:numCache>
            </c:numRef>
          </c:cat>
          <c:val>
            <c:numRef>
              <c:f>'Pg. 27'!$B$3:$B$6</c:f>
              <c:numCache>
                <c:formatCode>"$"#,##0</c:formatCode>
                <c:ptCount val="4"/>
                <c:pt idx="0">
                  <c:v>22134995</c:v>
                </c:pt>
                <c:pt idx="1">
                  <c:v>22719958</c:v>
                </c:pt>
                <c:pt idx="2">
                  <c:v>10310933</c:v>
                </c:pt>
                <c:pt idx="3">
                  <c:v>12879814</c:v>
                </c:pt>
              </c:numCache>
            </c:numRef>
          </c:val>
          <c:extLst>
            <c:ext xmlns:c16="http://schemas.microsoft.com/office/drawing/2014/chart" uri="{C3380CC4-5D6E-409C-BE32-E72D297353CC}">
              <c16:uniqueId val="{00000000-DFCE-EC41-A994-57712B526C0A}"/>
            </c:ext>
          </c:extLst>
        </c:ser>
        <c:ser>
          <c:idx val="1"/>
          <c:order val="1"/>
          <c:tx>
            <c:strRef>
              <c:f>'Pg. 27'!$C$2</c:f>
              <c:strCache>
                <c:ptCount val="1"/>
                <c:pt idx="0">
                  <c:v>Community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'Pg. 27'!$A$3:$A$6</c:f>
              <c:numCache>
                <c:formatCode>General</c:formatCode>
                <c:ptCount val="4"/>
                <c:pt idx="0">
                  <c:v>2015</c:v>
                </c:pt>
                <c:pt idx="1">
                  <c:v>2016</c:v>
                </c:pt>
                <c:pt idx="2">
                  <c:v>2017</c:v>
                </c:pt>
                <c:pt idx="3">
                  <c:v>2018</c:v>
                </c:pt>
              </c:numCache>
            </c:numRef>
          </c:cat>
          <c:val>
            <c:numRef>
              <c:f>'Pg. 27'!$C$3:$C$6</c:f>
              <c:numCache>
                <c:formatCode>"$"#,##0</c:formatCode>
                <c:ptCount val="4"/>
                <c:pt idx="0">
                  <c:v>9051015</c:v>
                </c:pt>
                <c:pt idx="1">
                  <c:v>10713595</c:v>
                </c:pt>
                <c:pt idx="2">
                  <c:v>11607554</c:v>
                </c:pt>
                <c:pt idx="3">
                  <c:v>19168820</c:v>
                </c:pt>
              </c:numCache>
            </c:numRef>
          </c:val>
          <c:extLst>
            <c:ext xmlns:c16="http://schemas.microsoft.com/office/drawing/2014/chart" uri="{C3380CC4-5D6E-409C-BE32-E72D297353CC}">
              <c16:uniqueId val="{00000001-DFCE-EC41-A994-57712B526C0A}"/>
            </c:ext>
          </c:extLst>
        </c:ser>
        <c:dLbls>
          <c:dLblPos val="ctr"/>
          <c:showLegendKey val="0"/>
          <c:showVal val="1"/>
          <c:showCatName val="0"/>
          <c:showSerName val="0"/>
          <c:showPercent val="0"/>
          <c:showBubbleSize val="0"/>
        </c:dLbls>
        <c:gapWidth val="79"/>
        <c:overlap val="100"/>
        <c:axId val="2145844552"/>
        <c:axId val="2141992936"/>
      </c:barChart>
      <c:catAx>
        <c:axId val="2145844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2141992936"/>
        <c:crosses val="autoZero"/>
        <c:auto val="1"/>
        <c:lblAlgn val="ctr"/>
        <c:lblOffset val="100"/>
        <c:noMultiLvlLbl val="0"/>
      </c:catAx>
      <c:valAx>
        <c:axId val="2141992936"/>
        <c:scaling>
          <c:orientation val="minMax"/>
          <c:max val="35000000"/>
        </c:scaling>
        <c:delete val="1"/>
        <c:axPos val="l"/>
        <c:numFmt formatCode="&quot;$&quot;#,##0" sourceLinked="1"/>
        <c:majorTickMark val="none"/>
        <c:minorTickMark val="none"/>
        <c:tickLblPos val="nextTo"/>
        <c:crossAx val="2145844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120" normalizeH="0" baseline="0">
                <a:solidFill>
                  <a:schemeClr val="tx1">
                    <a:lumMod val="65000"/>
                    <a:lumOff val="35000"/>
                  </a:schemeClr>
                </a:solidFill>
                <a:latin typeface="+mn-lt"/>
                <a:ea typeface="+mn-ea"/>
                <a:cs typeface="+mn-cs"/>
              </a:defRPr>
            </a:pPr>
            <a:r>
              <a:rPr lang="en-US" sz="1100" cap="none" baseline="0"/>
              <a:t>Persons Receiving Community and</a:t>
            </a:r>
            <a:br>
              <a:rPr lang="en-US" sz="1100" cap="none" baseline="0"/>
            </a:br>
            <a:r>
              <a:rPr lang="en-US" sz="1100" cap="none" baseline="0"/>
              <a:t>Facility-Based Employment Services</a:t>
            </a:r>
          </a:p>
        </c:rich>
      </c:tx>
      <c:layout>
        <c:manualLayout>
          <c:xMode val="edge"/>
          <c:yMode val="edge"/>
          <c:x val="0.23252488486109046"/>
          <c:y val="4.408178816357633E-2"/>
        </c:manualLayout>
      </c:layout>
      <c:overlay val="0"/>
      <c:spPr>
        <a:noFill/>
        <a:ln>
          <a:noFill/>
        </a:ln>
        <a:effectLst/>
      </c:spPr>
      <c:txPr>
        <a:bodyPr rot="0" spcFirstLastPara="1" vertOverflow="ellipsis" vert="horz" wrap="square" anchor="ctr" anchorCtr="1"/>
        <a:lstStyle/>
        <a:p>
          <a:pPr>
            <a:defRPr sz="11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'Persons Receiving'!$B$2</c:f>
              <c:strCache>
                <c:ptCount val="1"/>
                <c:pt idx="0">
                  <c:v>Facility</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'Persons Receiving'!$C$1:$F$1</c:f>
              <c:numCache>
                <c:formatCode>General</c:formatCode>
                <c:ptCount val="4"/>
                <c:pt idx="0">
                  <c:v>2015</c:v>
                </c:pt>
                <c:pt idx="1">
                  <c:v>2016</c:v>
                </c:pt>
                <c:pt idx="2">
                  <c:v>2017</c:v>
                </c:pt>
                <c:pt idx="3">
                  <c:v>2018</c:v>
                </c:pt>
              </c:numCache>
            </c:numRef>
          </c:cat>
          <c:val>
            <c:numRef>
              <c:f>'Persons Receiving'!$C$2:$F$2</c:f>
              <c:numCache>
                <c:formatCode>General</c:formatCode>
                <c:ptCount val="4"/>
                <c:pt idx="0" formatCode="#,##0">
                  <c:v>3603</c:v>
                </c:pt>
                <c:pt idx="1">
                  <c:v>3834</c:v>
                </c:pt>
                <c:pt idx="2">
                  <c:v>3564</c:v>
                </c:pt>
                <c:pt idx="3">
                  <c:v>1862</c:v>
                </c:pt>
              </c:numCache>
            </c:numRef>
          </c:val>
          <c:extLst>
            <c:ext xmlns:c16="http://schemas.microsoft.com/office/drawing/2014/chart" uri="{C3380CC4-5D6E-409C-BE32-E72D297353CC}">
              <c16:uniqueId val="{00000000-8859-1743-9239-1517BA13FA43}"/>
            </c:ext>
          </c:extLst>
        </c:ser>
        <c:ser>
          <c:idx val="1"/>
          <c:order val="1"/>
          <c:tx>
            <c:strRef>
              <c:f>'Persons Receiving'!$B$3</c:f>
              <c:strCache>
                <c:ptCount val="1"/>
                <c:pt idx="0">
                  <c:v>Community</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'Persons Receiving'!$C$1:$F$1</c:f>
              <c:numCache>
                <c:formatCode>General</c:formatCode>
                <c:ptCount val="4"/>
                <c:pt idx="0">
                  <c:v>2015</c:v>
                </c:pt>
                <c:pt idx="1">
                  <c:v>2016</c:v>
                </c:pt>
                <c:pt idx="2">
                  <c:v>2017</c:v>
                </c:pt>
                <c:pt idx="3">
                  <c:v>2018</c:v>
                </c:pt>
              </c:numCache>
            </c:numRef>
          </c:cat>
          <c:val>
            <c:numRef>
              <c:f>'Persons Receiving'!$C$3:$F$3</c:f>
              <c:numCache>
                <c:formatCode>General</c:formatCode>
                <c:ptCount val="4"/>
                <c:pt idx="0" formatCode="#,##0">
                  <c:v>2409</c:v>
                </c:pt>
                <c:pt idx="1">
                  <c:v>2883</c:v>
                </c:pt>
                <c:pt idx="2">
                  <c:v>2666</c:v>
                </c:pt>
                <c:pt idx="3">
                  <c:v>4720</c:v>
                </c:pt>
              </c:numCache>
            </c:numRef>
          </c:val>
          <c:extLst>
            <c:ext xmlns:c16="http://schemas.microsoft.com/office/drawing/2014/chart" uri="{C3380CC4-5D6E-409C-BE32-E72D297353CC}">
              <c16:uniqueId val="{00000001-8859-1743-9239-1517BA13FA43}"/>
            </c:ext>
          </c:extLst>
        </c:ser>
        <c:dLbls>
          <c:dLblPos val="ctr"/>
          <c:showLegendKey val="0"/>
          <c:showVal val="1"/>
          <c:showCatName val="0"/>
          <c:showSerName val="0"/>
          <c:showPercent val="0"/>
          <c:showBubbleSize val="0"/>
        </c:dLbls>
        <c:gapWidth val="79"/>
        <c:overlap val="100"/>
        <c:axId val="-2127257496"/>
        <c:axId val="2144345384"/>
      </c:barChart>
      <c:catAx>
        <c:axId val="-2127257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2144345384"/>
        <c:crosses val="autoZero"/>
        <c:auto val="1"/>
        <c:lblAlgn val="ctr"/>
        <c:lblOffset val="100"/>
        <c:noMultiLvlLbl val="0"/>
      </c:catAx>
      <c:valAx>
        <c:axId val="2144345384"/>
        <c:scaling>
          <c:orientation val="minMax"/>
          <c:max val="7000"/>
        </c:scaling>
        <c:delete val="1"/>
        <c:axPos val="l"/>
        <c:numFmt formatCode="#,##0;\-#,##0" sourceLinked="0"/>
        <c:majorTickMark val="none"/>
        <c:minorTickMark val="none"/>
        <c:tickLblPos val="nextTo"/>
        <c:crossAx val="-2127257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96D71-7D37-9349-B944-15F43DDC963A}" type="doc">
      <dgm:prSet loTypeId="urn:microsoft.com/office/officeart/2009/3/layout/DescendingProcess" loCatId="" qsTypeId="urn:microsoft.com/office/officeart/2005/8/quickstyle/simple1" qsCatId="simple" csTypeId="urn:microsoft.com/office/officeart/2005/8/colors/accent1_2" csCatId="accent1" phldr="1"/>
      <dgm:spPr/>
    </dgm:pt>
    <dgm:pt modelId="{D6856CF0-BA8B-B849-8FEA-8AB88D29F01E}">
      <dgm:prSet phldrT="[Text]" custT="1"/>
      <dgm:spPr/>
      <dgm:t>
        <a:bodyPr/>
        <a:lstStyle/>
        <a:p>
          <a:pPr algn="ctr"/>
          <a:r>
            <a:rPr lang="en-US" sz="1000" b="0">
              <a:solidFill>
                <a:srgbClr val="FFC000"/>
              </a:solidFill>
              <a:latin typeface="Optima" panose="02000503060000020004" pitchFamily="2" charset="0"/>
            </a:rPr>
            <a:t>The paradox when paying</a:t>
          </a:r>
          <a:br>
            <a:rPr lang="en-US" sz="1000" b="0">
              <a:solidFill>
                <a:srgbClr val="FFC000"/>
              </a:solidFill>
              <a:latin typeface="Optima" panose="02000503060000020004" pitchFamily="2" charset="0"/>
            </a:rPr>
          </a:br>
          <a:r>
            <a:rPr lang="en-US" sz="1000" b="0">
              <a:solidFill>
                <a:srgbClr val="FFC000"/>
              </a:solidFill>
              <a:latin typeface="Optima" panose="02000503060000020004" pitchFamily="2" charset="0"/>
            </a:rPr>
            <a:t>by hour of service.</a:t>
          </a:r>
        </a:p>
      </dgm:t>
    </dgm:pt>
    <dgm:pt modelId="{37252B1D-A4D8-5948-9127-6C4A577EB9B6}" type="parTrans" cxnId="{FFBF0372-635E-5741-AE32-8B7B2CC8AAED}">
      <dgm:prSet/>
      <dgm:spPr/>
      <dgm:t>
        <a:bodyPr/>
        <a:lstStyle/>
        <a:p>
          <a:pPr algn="ctr"/>
          <a:endParaRPr lang="en-US"/>
        </a:p>
      </dgm:t>
    </dgm:pt>
    <dgm:pt modelId="{C4EF1422-3A9B-F144-B743-C20E82B48888}" type="sibTrans" cxnId="{FFBF0372-635E-5741-AE32-8B7B2CC8AAED}">
      <dgm:prSet/>
      <dgm:spPr/>
      <dgm:t>
        <a:bodyPr/>
        <a:lstStyle/>
        <a:p>
          <a:pPr algn="ctr"/>
          <a:endParaRPr lang="en-US"/>
        </a:p>
      </dgm:t>
    </dgm:pt>
    <dgm:pt modelId="{AED9EB3C-3612-C242-9BFB-AC4BB47EACD5}">
      <dgm:prSet phldrT="[Text]" custT="1"/>
      <dgm:spPr/>
      <dgm:t>
        <a:bodyPr/>
        <a:lstStyle/>
        <a:p>
          <a:pPr algn="ctr"/>
          <a:r>
            <a:rPr lang="en-US" sz="1000">
              <a:solidFill>
                <a:schemeClr val="bg1"/>
              </a:solidFill>
              <a:latin typeface="Optima" panose="02000503060000020004" pitchFamily="2" charset="0"/>
            </a:rPr>
            <a:t>The more capable an organization, the less hours they need to deliver a service.</a:t>
          </a:r>
        </a:p>
      </dgm:t>
    </dgm:pt>
    <dgm:pt modelId="{0EA99B6E-7BB0-7541-8FE1-F0D3608AEA74}" type="parTrans" cxnId="{B81E9ED4-CD71-554E-9376-DC28A108C928}">
      <dgm:prSet/>
      <dgm:spPr/>
      <dgm:t>
        <a:bodyPr/>
        <a:lstStyle/>
        <a:p>
          <a:pPr algn="ctr"/>
          <a:endParaRPr lang="en-US"/>
        </a:p>
      </dgm:t>
    </dgm:pt>
    <dgm:pt modelId="{2204D158-29C7-A74C-BF21-543E9DD301AB}" type="sibTrans" cxnId="{B81E9ED4-CD71-554E-9376-DC28A108C928}">
      <dgm:prSet/>
      <dgm:spPr/>
      <dgm:t>
        <a:bodyPr/>
        <a:lstStyle/>
        <a:p>
          <a:pPr algn="ctr"/>
          <a:endParaRPr lang="en-US"/>
        </a:p>
      </dgm:t>
    </dgm:pt>
    <dgm:pt modelId="{036F3C86-581A-0F48-9139-4999D02C3912}">
      <dgm:prSet phldrT="[Text]" custT="1"/>
      <dgm:spPr/>
      <dgm:t>
        <a:bodyPr/>
        <a:lstStyle/>
        <a:p>
          <a:pPr algn="ctr"/>
          <a:r>
            <a:rPr lang="en-US" sz="1000">
              <a:solidFill>
                <a:schemeClr val="bg1"/>
              </a:solidFill>
              <a:latin typeface="Optima" panose="02000503060000020004" pitchFamily="2" charset="0"/>
            </a:rPr>
            <a:t>The more capable organization receive less funding as a result of being more capable.</a:t>
          </a:r>
        </a:p>
      </dgm:t>
    </dgm:pt>
    <dgm:pt modelId="{078E18C1-54EA-2343-B023-B57803F5B5AC}" type="parTrans" cxnId="{1276F685-2E3F-1645-AE83-98CA67FCE34C}">
      <dgm:prSet/>
      <dgm:spPr/>
      <dgm:t>
        <a:bodyPr/>
        <a:lstStyle/>
        <a:p>
          <a:pPr algn="ctr"/>
          <a:endParaRPr lang="en-US"/>
        </a:p>
      </dgm:t>
    </dgm:pt>
    <dgm:pt modelId="{F2ED2F0F-B178-3F4E-A1EF-D594CD2234ED}" type="sibTrans" cxnId="{1276F685-2E3F-1645-AE83-98CA67FCE34C}">
      <dgm:prSet/>
      <dgm:spPr/>
      <dgm:t>
        <a:bodyPr/>
        <a:lstStyle/>
        <a:p>
          <a:pPr algn="ctr"/>
          <a:endParaRPr lang="en-US"/>
        </a:p>
      </dgm:t>
    </dgm:pt>
    <dgm:pt modelId="{D5293FC2-372E-1942-9FC5-8B5B33A87018}">
      <dgm:prSet phldrT="[Text]" custT="1"/>
      <dgm:spPr/>
      <dgm:t>
        <a:bodyPr/>
        <a:lstStyle/>
        <a:p>
          <a:pPr algn="ctr"/>
          <a:r>
            <a:rPr lang="en-US" sz="1000">
              <a:solidFill>
                <a:schemeClr val="bg1"/>
              </a:solidFill>
              <a:latin typeface="Optima" panose="02000503060000020004" pitchFamily="2" charset="0"/>
            </a:rPr>
            <a:t>The less hours of service delivered, the less billable hours.</a:t>
          </a:r>
        </a:p>
      </dgm:t>
    </dgm:pt>
    <dgm:pt modelId="{2242936C-327E-5643-9130-8AD69097182D}" type="parTrans" cxnId="{BB15E613-1F68-1B46-9A10-CC3A8C40C5C0}">
      <dgm:prSet/>
      <dgm:spPr/>
      <dgm:t>
        <a:bodyPr/>
        <a:lstStyle/>
        <a:p>
          <a:pPr algn="ctr"/>
          <a:endParaRPr lang="en-US"/>
        </a:p>
      </dgm:t>
    </dgm:pt>
    <dgm:pt modelId="{06ECE7BE-ADB0-5A4A-AFDB-607F91D097F8}" type="sibTrans" cxnId="{BB15E613-1F68-1B46-9A10-CC3A8C40C5C0}">
      <dgm:prSet/>
      <dgm:spPr/>
      <dgm:t>
        <a:bodyPr/>
        <a:lstStyle/>
        <a:p>
          <a:pPr algn="ctr"/>
          <a:endParaRPr lang="en-US"/>
        </a:p>
      </dgm:t>
    </dgm:pt>
    <dgm:pt modelId="{FD33380C-BFDF-1946-9940-946D859B56D8}" type="pres">
      <dgm:prSet presAssocID="{02F96D71-7D37-9349-B944-15F43DDC963A}" presName="Name0" presStyleCnt="0">
        <dgm:presLayoutVars>
          <dgm:chMax val="7"/>
          <dgm:chPref val="5"/>
        </dgm:presLayoutVars>
      </dgm:prSet>
      <dgm:spPr/>
    </dgm:pt>
    <dgm:pt modelId="{9D57FFEE-17BD-704E-BC2E-C0A3A1536458}" type="pres">
      <dgm:prSet presAssocID="{02F96D71-7D37-9349-B944-15F43DDC963A}" presName="arrowNode" presStyleLbl="node1" presStyleIdx="0" presStyleCnt="1" custScaleX="69627" custScaleY="78817" custLinFactNeighborX="-489" custLinFactNeighborY="-3130"/>
      <dgm:spPr/>
    </dgm:pt>
    <dgm:pt modelId="{3AF176F8-750D-F54F-9636-6ECD61A2C5BC}" type="pres">
      <dgm:prSet presAssocID="{D6856CF0-BA8B-B849-8FEA-8AB88D29F01E}" presName="txNode1" presStyleLbl="revTx" presStyleIdx="0" presStyleCnt="4" custScaleX="166872" custScaleY="67312" custLinFactNeighborX="-2220" custLinFactNeighborY="18853">
        <dgm:presLayoutVars>
          <dgm:bulletEnabled val="1"/>
        </dgm:presLayoutVars>
      </dgm:prSet>
      <dgm:spPr/>
    </dgm:pt>
    <dgm:pt modelId="{B7C575D0-8865-024F-BE60-D233D4E8EDBA}" type="pres">
      <dgm:prSet presAssocID="{AED9EB3C-3612-C242-9BFB-AC4BB47EACD5}" presName="txNode2" presStyleLbl="revTx" presStyleIdx="1" presStyleCnt="4" custScaleX="125531" custLinFactNeighborX="1327" custLinFactNeighborY="-23222">
        <dgm:presLayoutVars>
          <dgm:bulletEnabled val="1"/>
        </dgm:presLayoutVars>
      </dgm:prSet>
      <dgm:spPr/>
    </dgm:pt>
    <dgm:pt modelId="{44A42DF8-614C-E240-80DC-930A78ACCBA8}" type="pres">
      <dgm:prSet presAssocID="{2204D158-29C7-A74C-BF21-543E9DD301AB}" presName="dotNode2" presStyleCnt="0"/>
      <dgm:spPr/>
    </dgm:pt>
    <dgm:pt modelId="{45100D43-E862-7444-8011-DE97D45E2B35}" type="pres">
      <dgm:prSet presAssocID="{2204D158-29C7-A74C-BF21-543E9DD301AB}" presName="dotRepeatNode" presStyleLbl="fgShp" presStyleIdx="0" presStyleCnt="2" custLinFactNeighborX="11979"/>
      <dgm:spPr/>
    </dgm:pt>
    <dgm:pt modelId="{99474172-78F7-0F4F-8F4F-F347912C446E}" type="pres">
      <dgm:prSet presAssocID="{D5293FC2-372E-1942-9FC5-8B5B33A87018}" presName="txNode3" presStyleLbl="revTx" presStyleIdx="2" presStyleCnt="4" custScaleX="95478" custLinFactNeighborX="605" custLinFactNeighborY="60387">
        <dgm:presLayoutVars>
          <dgm:bulletEnabled val="1"/>
        </dgm:presLayoutVars>
      </dgm:prSet>
      <dgm:spPr/>
    </dgm:pt>
    <dgm:pt modelId="{57C71D55-779D-7744-8CF7-3EBE9AC51731}" type="pres">
      <dgm:prSet presAssocID="{06ECE7BE-ADB0-5A4A-AFDB-607F91D097F8}" presName="dotNode3" presStyleCnt="0"/>
      <dgm:spPr/>
    </dgm:pt>
    <dgm:pt modelId="{6D33E871-525E-E04F-8F82-B705C8F03538}" type="pres">
      <dgm:prSet presAssocID="{06ECE7BE-ADB0-5A4A-AFDB-607F91D097F8}" presName="dotRepeatNode" presStyleLbl="fgShp" presStyleIdx="1" presStyleCnt="2" custLinFactX="-67705" custLinFactNeighborX="-100000" custLinFactNeighborY="35937"/>
      <dgm:spPr/>
    </dgm:pt>
    <dgm:pt modelId="{77D261B1-27B6-9645-B0AA-25C2ADE17EF5}" type="pres">
      <dgm:prSet presAssocID="{036F3C86-581A-0F48-9139-4999D02C3912}" presName="txNode4" presStyleLbl="revTx" presStyleIdx="3" presStyleCnt="4" custScaleX="120179" custLinFactNeighborX="-21112" custLinFactNeighborY="-24277">
        <dgm:presLayoutVars>
          <dgm:bulletEnabled val="1"/>
        </dgm:presLayoutVars>
      </dgm:prSet>
      <dgm:spPr/>
    </dgm:pt>
  </dgm:ptLst>
  <dgm:cxnLst>
    <dgm:cxn modelId="{BB15E613-1F68-1B46-9A10-CC3A8C40C5C0}" srcId="{02F96D71-7D37-9349-B944-15F43DDC963A}" destId="{D5293FC2-372E-1942-9FC5-8B5B33A87018}" srcOrd="2" destOrd="0" parTransId="{2242936C-327E-5643-9130-8AD69097182D}" sibTransId="{06ECE7BE-ADB0-5A4A-AFDB-607F91D097F8}"/>
    <dgm:cxn modelId="{275AEB2E-FEC0-8F45-BA1C-AD6CEFCC8E97}" type="presOf" srcId="{D6856CF0-BA8B-B849-8FEA-8AB88D29F01E}" destId="{3AF176F8-750D-F54F-9636-6ECD61A2C5BC}" srcOrd="0" destOrd="0" presId="urn:microsoft.com/office/officeart/2009/3/layout/DescendingProcess"/>
    <dgm:cxn modelId="{2CB64D4D-92B3-CD47-8454-133363D8A7BA}" type="presOf" srcId="{06ECE7BE-ADB0-5A4A-AFDB-607F91D097F8}" destId="{6D33E871-525E-E04F-8F82-B705C8F03538}" srcOrd="0" destOrd="0" presId="urn:microsoft.com/office/officeart/2009/3/layout/DescendingProcess"/>
    <dgm:cxn modelId="{FFBF0372-635E-5741-AE32-8B7B2CC8AAED}" srcId="{02F96D71-7D37-9349-B944-15F43DDC963A}" destId="{D6856CF0-BA8B-B849-8FEA-8AB88D29F01E}" srcOrd="0" destOrd="0" parTransId="{37252B1D-A4D8-5948-9127-6C4A577EB9B6}" sibTransId="{C4EF1422-3A9B-F144-B743-C20E82B48888}"/>
    <dgm:cxn modelId="{754BB285-03F1-1B4D-BC24-ECE111653770}" type="presOf" srcId="{02F96D71-7D37-9349-B944-15F43DDC963A}" destId="{FD33380C-BFDF-1946-9940-946D859B56D8}" srcOrd="0" destOrd="0" presId="urn:microsoft.com/office/officeart/2009/3/layout/DescendingProcess"/>
    <dgm:cxn modelId="{1276F685-2E3F-1645-AE83-98CA67FCE34C}" srcId="{02F96D71-7D37-9349-B944-15F43DDC963A}" destId="{036F3C86-581A-0F48-9139-4999D02C3912}" srcOrd="3" destOrd="0" parTransId="{078E18C1-54EA-2343-B023-B57803F5B5AC}" sibTransId="{F2ED2F0F-B178-3F4E-A1EF-D594CD2234ED}"/>
    <dgm:cxn modelId="{2CCF8D92-3788-E649-841C-FA337A4D94E7}" type="presOf" srcId="{2204D158-29C7-A74C-BF21-543E9DD301AB}" destId="{45100D43-E862-7444-8011-DE97D45E2B35}" srcOrd="0" destOrd="0" presId="urn:microsoft.com/office/officeart/2009/3/layout/DescendingProcess"/>
    <dgm:cxn modelId="{ADB229D1-6027-B54B-88BA-C47E65586D29}" type="presOf" srcId="{D5293FC2-372E-1942-9FC5-8B5B33A87018}" destId="{99474172-78F7-0F4F-8F4F-F347912C446E}" srcOrd="0" destOrd="0" presId="urn:microsoft.com/office/officeart/2009/3/layout/DescendingProcess"/>
    <dgm:cxn modelId="{B81E9ED4-CD71-554E-9376-DC28A108C928}" srcId="{02F96D71-7D37-9349-B944-15F43DDC963A}" destId="{AED9EB3C-3612-C242-9BFB-AC4BB47EACD5}" srcOrd="1" destOrd="0" parTransId="{0EA99B6E-7BB0-7541-8FE1-F0D3608AEA74}" sibTransId="{2204D158-29C7-A74C-BF21-543E9DD301AB}"/>
    <dgm:cxn modelId="{C147B5D5-CC0B-974C-B4E9-4FF92B27077F}" type="presOf" srcId="{AED9EB3C-3612-C242-9BFB-AC4BB47EACD5}" destId="{B7C575D0-8865-024F-BE60-D233D4E8EDBA}" srcOrd="0" destOrd="0" presId="urn:microsoft.com/office/officeart/2009/3/layout/DescendingProcess"/>
    <dgm:cxn modelId="{956341E9-1E54-7444-B15A-E5B3BED78523}" type="presOf" srcId="{036F3C86-581A-0F48-9139-4999D02C3912}" destId="{77D261B1-27B6-9645-B0AA-25C2ADE17EF5}" srcOrd="0" destOrd="0" presId="urn:microsoft.com/office/officeart/2009/3/layout/DescendingProcess"/>
    <dgm:cxn modelId="{0DC6A818-88C5-B34F-B04B-735F4D0CACAB}" type="presParOf" srcId="{FD33380C-BFDF-1946-9940-946D859B56D8}" destId="{9D57FFEE-17BD-704E-BC2E-C0A3A1536458}" srcOrd="0" destOrd="0" presId="urn:microsoft.com/office/officeart/2009/3/layout/DescendingProcess"/>
    <dgm:cxn modelId="{AB7C0B76-8C8B-A442-8997-9FDECFC6C19E}" type="presParOf" srcId="{FD33380C-BFDF-1946-9940-946D859B56D8}" destId="{3AF176F8-750D-F54F-9636-6ECD61A2C5BC}" srcOrd="1" destOrd="0" presId="urn:microsoft.com/office/officeart/2009/3/layout/DescendingProcess"/>
    <dgm:cxn modelId="{AA420DD1-C0F9-4948-9072-FB21FEEF6CD9}" type="presParOf" srcId="{FD33380C-BFDF-1946-9940-946D859B56D8}" destId="{B7C575D0-8865-024F-BE60-D233D4E8EDBA}" srcOrd="2" destOrd="0" presId="urn:microsoft.com/office/officeart/2009/3/layout/DescendingProcess"/>
    <dgm:cxn modelId="{840789FF-588D-5448-951C-7622DF3CBB0B}" type="presParOf" srcId="{FD33380C-BFDF-1946-9940-946D859B56D8}" destId="{44A42DF8-614C-E240-80DC-930A78ACCBA8}" srcOrd="3" destOrd="0" presId="urn:microsoft.com/office/officeart/2009/3/layout/DescendingProcess"/>
    <dgm:cxn modelId="{C2376C70-421E-BB44-BBFA-98932E53C232}" type="presParOf" srcId="{44A42DF8-614C-E240-80DC-930A78ACCBA8}" destId="{45100D43-E862-7444-8011-DE97D45E2B35}" srcOrd="0" destOrd="0" presId="urn:microsoft.com/office/officeart/2009/3/layout/DescendingProcess"/>
    <dgm:cxn modelId="{72875489-2A51-ED49-8B1B-D7F6135A273B}" type="presParOf" srcId="{FD33380C-BFDF-1946-9940-946D859B56D8}" destId="{99474172-78F7-0F4F-8F4F-F347912C446E}" srcOrd="4" destOrd="0" presId="urn:microsoft.com/office/officeart/2009/3/layout/DescendingProcess"/>
    <dgm:cxn modelId="{FA40324D-CA5D-F84A-B3C8-140F31429CB9}" type="presParOf" srcId="{FD33380C-BFDF-1946-9940-946D859B56D8}" destId="{57C71D55-779D-7744-8CF7-3EBE9AC51731}" srcOrd="5" destOrd="0" presId="urn:microsoft.com/office/officeart/2009/3/layout/DescendingProcess"/>
    <dgm:cxn modelId="{699C42F0-0D94-0D4C-BF46-3A3391C50DC4}" type="presParOf" srcId="{57C71D55-779D-7744-8CF7-3EBE9AC51731}" destId="{6D33E871-525E-E04F-8F82-B705C8F03538}" srcOrd="0" destOrd="0" presId="urn:microsoft.com/office/officeart/2009/3/layout/DescendingProcess"/>
    <dgm:cxn modelId="{582A363F-51FB-6A49-8A60-3927B0A39BF4}" type="presParOf" srcId="{FD33380C-BFDF-1946-9940-946D859B56D8}" destId="{77D261B1-27B6-9645-B0AA-25C2ADE17EF5}" srcOrd="6" destOrd="0" presId="urn:microsoft.com/office/officeart/2009/3/layout/DescendingProcess"/>
  </dgm:cxnLst>
  <dgm:bg>
    <a:solidFill>
      <a:schemeClr val="tx2">
        <a:lumMod val="75000"/>
      </a:schemeClr>
    </a:solid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7CD01F-03EB-4249-81C4-58B4023ECB26}" type="doc">
      <dgm:prSet loTypeId="urn:microsoft.com/office/officeart/2005/8/layout/matrix1" loCatId="" qsTypeId="urn:microsoft.com/office/officeart/2005/8/quickstyle/simple2" qsCatId="simple" csTypeId="urn:microsoft.com/office/officeart/2005/8/colors/accent1_2" csCatId="accent1" phldr="1"/>
      <dgm:spPr/>
      <dgm:t>
        <a:bodyPr/>
        <a:lstStyle/>
        <a:p>
          <a:endParaRPr lang="en-US"/>
        </a:p>
      </dgm:t>
    </dgm:pt>
    <dgm:pt modelId="{4DAED31E-8AAC-BF4B-A35D-CAFEA22A8943}">
      <dgm:prSet phldrT="[Text]" custT="1"/>
      <dgm:spPr>
        <a:solidFill>
          <a:srgbClr val="FFFFFF"/>
        </a:solidFill>
      </dgm:spPr>
      <dgm:t>
        <a:bodyPr/>
        <a:lstStyle/>
        <a:p>
          <a:pPr algn="ctr"/>
          <a:r>
            <a:rPr lang="en-US" sz="1200" b="1"/>
            <a:t>Reimbursement Rate</a:t>
          </a:r>
        </a:p>
      </dgm:t>
      <dgm:extLst>
        <a:ext uri="{E40237B7-FDA0-4F09-8148-C483321AD2D9}">
          <dgm14:cNvPr xmlns:dgm14="http://schemas.microsoft.com/office/drawing/2010/diagram" id="0" name="" descr="Reimbursement Methodology Diagram showing the relationship between reimbursement rate, what is paid for, how it is paid for, when it is paid for, and how much is paid. "/>
        </a:ext>
      </dgm:extLst>
    </dgm:pt>
    <dgm:pt modelId="{B6659059-3BBB-4848-97A9-9074F719B3D1}" type="parTrans" cxnId="{C5544594-24F9-1E40-B480-AA27D196DC7B}">
      <dgm:prSet/>
      <dgm:spPr/>
      <dgm:t>
        <a:bodyPr/>
        <a:lstStyle/>
        <a:p>
          <a:pPr algn="ctr"/>
          <a:endParaRPr lang="en-US" sz="1100"/>
        </a:p>
      </dgm:t>
    </dgm:pt>
    <dgm:pt modelId="{5F70AAC6-D9E8-424D-85DC-6C8725094DE4}" type="sibTrans" cxnId="{C5544594-24F9-1E40-B480-AA27D196DC7B}">
      <dgm:prSet/>
      <dgm:spPr/>
      <dgm:t>
        <a:bodyPr/>
        <a:lstStyle/>
        <a:p>
          <a:pPr algn="ctr"/>
          <a:endParaRPr lang="en-US" sz="1100"/>
        </a:p>
      </dgm:t>
    </dgm:pt>
    <dgm:pt modelId="{F4F22D5E-A208-644F-A813-402F5BDBA28B}">
      <dgm:prSet phldrT="[Text]" custT="1"/>
      <dgm:spPr>
        <a:solidFill>
          <a:srgbClr val="18424E"/>
        </a:solidFill>
      </dgm:spPr>
      <dgm:t>
        <a:bodyPr lIns="0" tIns="91440" rIns="0" bIns="0" anchor="ctr" anchorCtr="0"/>
        <a:lstStyle/>
        <a:p>
          <a:pPr algn="ctr"/>
          <a:r>
            <a:rPr lang="en-US" sz="1100" u="sng" baseline="0"/>
            <a:t>What</a:t>
          </a:r>
          <a:r>
            <a:rPr lang="en-US" sz="1100"/>
            <a:t> is paid for</a:t>
          </a:r>
        </a:p>
      </dgm:t>
    </dgm:pt>
    <dgm:pt modelId="{F291081D-E93E-F642-95D0-64B4391E0FD1}" type="parTrans" cxnId="{0DBAF1FA-9872-CA4F-95D6-D2D0B7F11FDB}">
      <dgm:prSet/>
      <dgm:spPr/>
      <dgm:t>
        <a:bodyPr/>
        <a:lstStyle/>
        <a:p>
          <a:pPr algn="ctr"/>
          <a:endParaRPr lang="en-US" sz="1100"/>
        </a:p>
      </dgm:t>
    </dgm:pt>
    <dgm:pt modelId="{77AB0697-5BDF-2E43-B9EE-EA207E48AD1B}" type="sibTrans" cxnId="{0DBAF1FA-9872-CA4F-95D6-D2D0B7F11FDB}">
      <dgm:prSet/>
      <dgm:spPr/>
      <dgm:t>
        <a:bodyPr/>
        <a:lstStyle/>
        <a:p>
          <a:pPr algn="ctr"/>
          <a:endParaRPr lang="en-US" sz="1100"/>
        </a:p>
      </dgm:t>
    </dgm:pt>
    <dgm:pt modelId="{7010D17C-74B9-C041-9DAF-D685C6AB2D58}">
      <dgm:prSet phldrT="[Text]" custT="1"/>
      <dgm:spPr>
        <a:solidFill>
          <a:srgbClr val="18424E"/>
        </a:solidFill>
      </dgm:spPr>
      <dgm:t>
        <a:bodyPr lIns="0" tIns="91440" rIns="0" bIns="0" anchor="ctr" anchorCtr="0"/>
        <a:lstStyle/>
        <a:p>
          <a:pPr algn="ctr"/>
          <a:r>
            <a:rPr lang="en-US" sz="1100" u="sng" baseline="0"/>
            <a:t>How</a:t>
          </a:r>
          <a:r>
            <a:rPr lang="en-US" sz="1100"/>
            <a:t> it is paid for</a:t>
          </a:r>
        </a:p>
      </dgm:t>
    </dgm:pt>
    <dgm:pt modelId="{DA50780E-88CE-244D-AD32-238DDB3F7897}" type="parTrans" cxnId="{AEF75140-DA09-6946-9FB1-C27DE8AC6461}">
      <dgm:prSet/>
      <dgm:spPr/>
      <dgm:t>
        <a:bodyPr/>
        <a:lstStyle/>
        <a:p>
          <a:pPr algn="ctr"/>
          <a:endParaRPr lang="en-US" sz="1100"/>
        </a:p>
      </dgm:t>
    </dgm:pt>
    <dgm:pt modelId="{D0AD0A43-E2AE-D247-A023-0F1FE7E028EC}" type="sibTrans" cxnId="{AEF75140-DA09-6946-9FB1-C27DE8AC6461}">
      <dgm:prSet/>
      <dgm:spPr/>
      <dgm:t>
        <a:bodyPr/>
        <a:lstStyle/>
        <a:p>
          <a:pPr algn="ctr"/>
          <a:endParaRPr lang="en-US" sz="1100"/>
        </a:p>
      </dgm:t>
    </dgm:pt>
    <dgm:pt modelId="{CA64C47B-326E-F249-A618-D6CA05A00D15}">
      <dgm:prSet phldrT="[Text]" custT="1"/>
      <dgm:spPr>
        <a:solidFill>
          <a:srgbClr val="18424E"/>
        </a:solidFill>
      </dgm:spPr>
      <dgm:t>
        <a:bodyPr lIns="0" tIns="91440" rIns="0" bIns="0" anchor="t" anchorCtr="0"/>
        <a:lstStyle/>
        <a:p>
          <a:pPr algn="ctr"/>
          <a:r>
            <a:rPr lang="en-US" sz="1100" u="sng" baseline="0">
              <a:uFill>
                <a:solidFill>
                  <a:schemeClr val="bg1"/>
                </a:solidFill>
              </a:uFill>
            </a:rPr>
            <a:t>When</a:t>
          </a:r>
          <a:r>
            <a:rPr lang="en-US" sz="1100"/>
            <a:t> it is paid for</a:t>
          </a:r>
        </a:p>
      </dgm:t>
    </dgm:pt>
    <dgm:pt modelId="{2A82C120-4A7C-D146-BB51-2EBF1036EE8A}" type="parTrans" cxnId="{0493D747-57F6-2A4B-B7AB-5A277ADBA80F}">
      <dgm:prSet/>
      <dgm:spPr/>
      <dgm:t>
        <a:bodyPr/>
        <a:lstStyle/>
        <a:p>
          <a:pPr algn="ctr"/>
          <a:endParaRPr lang="en-US" sz="1100"/>
        </a:p>
      </dgm:t>
    </dgm:pt>
    <dgm:pt modelId="{8D754496-C8A2-A141-B247-A22A27839491}" type="sibTrans" cxnId="{0493D747-57F6-2A4B-B7AB-5A277ADBA80F}">
      <dgm:prSet/>
      <dgm:spPr/>
      <dgm:t>
        <a:bodyPr/>
        <a:lstStyle/>
        <a:p>
          <a:pPr algn="ctr"/>
          <a:endParaRPr lang="en-US" sz="1100"/>
        </a:p>
      </dgm:t>
    </dgm:pt>
    <dgm:pt modelId="{7DC19B5C-D12B-4346-89B2-C5A3B23B7F55}">
      <dgm:prSet phldrT="[Text]" custT="1"/>
      <dgm:spPr>
        <a:solidFill>
          <a:srgbClr val="18424E"/>
        </a:solidFill>
      </dgm:spPr>
      <dgm:t>
        <a:bodyPr lIns="0" tIns="91440" rIns="0" bIns="0" anchor="t" anchorCtr="0"/>
        <a:lstStyle/>
        <a:p>
          <a:pPr algn="ctr"/>
          <a:r>
            <a:rPr lang="en-US" sz="1100" u="sng" baseline="0"/>
            <a:t>How</a:t>
          </a:r>
          <a:r>
            <a:rPr lang="en-US" sz="1100"/>
            <a:t> much is paid</a:t>
          </a:r>
        </a:p>
      </dgm:t>
    </dgm:pt>
    <dgm:pt modelId="{293D0CF2-FB9A-6643-BB1E-637B368A0656}" type="parTrans" cxnId="{27D9294D-7D5D-B945-AB7B-81A5C1E03B54}">
      <dgm:prSet/>
      <dgm:spPr/>
      <dgm:t>
        <a:bodyPr/>
        <a:lstStyle/>
        <a:p>
          <a:pPr algn="ctr"/>
          <a:endParaRPr lang="en-US" sz="1100"/>
        </a:p>
      </dgm:t>
    </dgm:pt>
    <dgm:pt modelId="{F7B4A231-DA04-7748-AC02-453A6A318490}" type="sibTrans" cxnId="{27D9294D-7D5D-B945-AB7B-81A5C1E03B54}">
      <dgm:prSet/>
      <dgm:spPr/>
      <dgm:t>
        <a:bodyPr/>
        <a:lstStyle/>
        <a:p>
          <a:pPr algn="ctr"/>
          <a:endParaRPr lang="en-US" sz="1100"/>
        </a:p>
      </dgm:t>
    </dgm:pt>
    <dgm:pt modelId="{411B387F-A0D3-BA4D-AF30-E0BF97FE084A}" type="pres">
      <dgm:prSet presAssocID="{BE7CD01F-03EB-4249-81C4-58B4023ECB26}" presName="diagram" presStyleCnt="0">
        <dgm:presLayoutVars>
          <dgm:chMax val="1"/>
          <dgm:dir/>
          <dgm:animLvl val="ctr"/>
          <dgm:resizeHandles val="exact"/>
        </dgm:presLayoutVars>
      </dgm:prSet>
      <dgm:spPr/>
    </dgm:pt>
    <dgm:pt modelId="{D287EC3B-6594-1948-8AB5-8152654B4CDC}" type="pres">
      <dgm:prSet presAssocID="{BE7CD01F-03EB-4249-81C4-58B4023ECB26}" presName="matrix" presStyleCnt="0"/>
      <dgm:spPr/>
    </dgm:pt>
    <dgm:pt modelId="{9E0419DC-3149-484E-BF64-0717EF1CE0A0}" type="pres">
      <dgm:prSet presAssocID="{BE7CD01F-03EB-4249-81C4-58B4023ECB26}" presName="tile1" presStyleLbl="node1" presStyleIdx="0" presStyleCnt="4"/>
      <dgm:spPr/>
    </dgm:pt>
    <dgm:pt modelId="{58373F19-0184-924D-8946-564F3FA758EC}" type="pres">
      <dgm:prSet presAssocID="{BE7CD01F-03EB-4249-81C4-58B4023ECB26}" presName="tile1text" presStyleLbl="node1" presStyleIdx="0" presStyleCnt="4">
        <dgm:presLayoutVars>
          <dgm:chMax val="0"/>
          <dgm:chPref val="0"/>
          <dgm:bulletEnabled val="1"/>
        </dgm:presLayoutVars>
      </dgm:prSet>
      <dgm:spPr/>
    </dgm:pt>
    <dgm:pt modelId="{BDBE136C-3860-7245-8C41-E65A6FE9DBDA}" type="pres">
      <dgm:prSet presAssocID="{BE7CD01F-03EB-4249-81C4-58B4023ECB26}" presName="tile2" presStyleLbl="node1" presStyleIdx="1" presStyleCnt="4"/>
      <dgm:spPr/>
    </dgm:pt>
    <dgm:pt modelId="{BAA60BB9-BC7E-BD45-9B96-F88B720CCB45}" type="pres">
      <dgm:prSet presAssocID="{BE7CD01F-03EB-4249-81C4-58B4023ECB26}" presName="tile2text" presStyleLbl="node1" presStyleIdx="1" presStyleCnt="4">
        <dgm:presLayoutVars>
          <dgm:chMax val="0"/>
          <dgm:chPref val="0"/>
          <dgm:bulletEnabled val="1"/>
        </dgm:presLayoutVars>
      </dgm:prSet>
      <dgm:spPr/>
    </dgm:pt>
    <dgm:pt modelId="{88EBD4FB-D4F9-2649-B732-AA50178D7D88}" type="pres">
      <dgm:prSet presAssocID="{BE7CD01F-03EB-4249-81C4-58B4023ECB26}" presName="tile3" presStyleLbl="node1" presStyleIdx="2" presStyleCnt="4"/>
      <dgm:spPr/>
    </dgm:pt>
    <dgm:pt modelId="{5C6CD69A-D630-6F48-A5A5-7FEF1F8564CB}" type="pres">
      <dgm:prSet presAssocID="{BE7CD01F-03EB-4249-81C4-58B4023ECB26}" presName="tile3text" presStyleLbl="node1" presStyleIdx="2" presStyleCnt="4">
        <dgm:presLayoutVars>
          <dgm:chMax val="0"/>
          <dgm:chPref val="0"/>
          <dgm:bulletEnabled val="1"/>
        </dgm:presLayoutVars>
      </dgm:prSet>
      <dgm:spPr/>
    </dgm:pt>
    <dgm:pt modelId="{3B15DF1C-D231-F14B-A9AF-20A1671A80CB}" type="pres">
      <dgm:prSet presAssocID="{BE7CD01F-03EB-4249-81C4-58B4023ECB26}" presName="tile4" presStyleLbl="node1" presStyleIdx="3" presStyleCnt="4"/>
      <dgm:spPr/>
    </dgm:pt>
    <dgm:pt modelId="{4C5AAE5F-4A94-BA4F-98EA-D7E236DB9983}" type="pres">
      <dgm:prSet presAssocID="{BE7CD01F-03EB-4249-81C4-58B4023ECB26}" presName="tile4text" presStyleLbl="node1" presStyleIdx="3" presStyleCnt="4">
        <dgm:presLayoutVars>
          <dgm:chMax val="0"/>
          <dgm:chPref val="0"/>
          <dgm:bulletEnabled val="1"/>
        </dgm:presLayoutVars>
      </dgm:prSet>
      <dgm:spPr/>
    </dgm:pt>
    <dgm:pt modelId="{74281597-ADA5-2C41-8E8E-E692FA935824}" type="pres">
      <dgm:prSet presAssocID="{BE7CD01F-03EB-4249-81C4-58B4023ECB26}" presName="centerTile" presStyleLbl="fgShp" presStyleIdx="0" presStyleCnt="1" custScaleX="217949" custScaleY="55172" custLinFactNeighborY="-2399">
        <dgm:presLayoutVars>
          <dgm:chMax val="0"/>
          <dgm:chPref val="0"/>
        </dgm:presLayoutVars>
      </dgm:prSet>
      <dgm:spPr/>
    </dgm:pt>
  </dgm:ptLst>
  <dgm:cxnLst>
    <dgm:cxn modelId="{AEF75140-DA09-6946-9FB1-C27DE8AC6461}" srcId="{4DAED31E-8AAC-BF4B-A35D-CAFEA22A8943}" destId="{7010D17C-74B9-C041-9DAF-D685C6AB2D58}" srcOrd="1" destOrd="0" parTransId="{DA50780E-88CE-244D-AD32-238DDB3F7897}" sibTransId="{D0AD0A43-E2AE-D247-A023-0F1FE7E028EC}"/>
    <dgm:cxn modelId="{B49B1764-38E9-A44D-95D9-33F4152B1F91}" type="presOf" srcId="{7010D17C-74B9-C041-9DAF-D685C6AB2D58}" destId="{BDBE136C-3860-7245-8C41-E65A6FE9DBDA}" srcOrd="0" destOrd="0" presId="urn:microsoft.com/office/officeart/2005/8/layout/matrix1"/>
    <dgm:cxn modelId="{0493D747-57F6-2A4B-B7AB-5A277ADBA80F}" srcId="{4DAED31E-8AAC-BF4B-A35D-CAFEA22A8943}" destId="{CA64C47B-326E-F249-A618-D6CA05A00D15}" srcOrd="2" destOrd="0" parTransId="{2A82C120-4A7C-D146-BB51-2EBF1036EE8A}" sibTransId="{8D754496-C8A2-A141-B247-A22A27839491}"/>
    <dgm:cxn modelId="{27D9294D-7D5D-B945-AB7B-81A5C1E03B54}" srcId="{4DAED31E-8AAC-BF4B-A35D-CAFEA22A8943}" destId="{7DC19B5C-D12B-4346-89B2-C5A3B23B7F55}" srcOrd="3" destOrd="0" parTransId="{293D0CF2-FB9A-6643-BB1E-637B368A0656}" sibTransId="{F7B4A231-DA04-7748-AC02-453A6A318490}"/>
    <dgm:cxn modelId="{62C8AA55-E6CB-1547-9235-B18D7844E1D8}" type="presOf" srcId="{CA64C47B-326E-F249-A618-D6CA05A00D15}" destId="{88EBD4FB-D4F9-2649-B732-AA50178D7D88}" srcOrd="0" destOrd="0" presId="urn:microsoft.com/office/officeart/2005/8/layout/matrix1"/>
    <dgm:cxn modelId="{5E54B683-3583-7B43-9228-201834AECDBB}" type="presOf" srcId="{CA64C47B-326E-F249-A618-D6CA05A00D15}" destId="{5C6CD69A-D630-6F48-A5A5-7FEF1F8564CB}" srcOrd="1" destOrd="0" presId="urn:microsoft.com/office/officeart/2005/8/layout/matrix1"/>
    <dgm:cxn modelId="{A33B5F94-C57D-5841-B81B-199DB502FE3A}" type="presOf" srcId="{7DC19B5C-D12B-4346-89B2-C5A3B23B7F55}" destId="{3B15DF1C-D231-F14B-A9AF-20A1671A80CB}" srcOrd="0" destOrd="0" presId="urn:microsoft.com/office/officeart/2005/8/layout/matrix1"/>
    <dgm:cxn modelId="{C5544594-24F9-1E40-B480-AA27D196DC7B}" srcId="{BE7CD01F-03EB-4249-81C4-58B4023ECB26}" destId="{4DAED31E-8AAC-BF4B-A35D-CAFEA22A8943}" srcOrd="0" destOrd="0" parTransId="{B6659059-3BBB-4848-97A9-9074F719B3D1}" sibTransId="{5F70AAC6-D9E8-424D-85DC-6C8725094DE4}"/>
    <dgm:cxn modelId="{936E7EC8-4210-B545-894A-19A2DFB781FC}" type="presOf" srcId="{BE7CD01F-03EB-4249-81C4-58B4023ECB26}" destId="{411B387F-A0D3-BA4D-AF30-E0BF97FE084A}" srcOrd="0" destOrd="0" presId="urn:microsoft.com/office/officeart/2005/8/layout/matrix1"/>
    <dgm:cxn modelId="{D5B8D2CA-D0F2-894F-A240-E71281B9B257}" type="presOf" srcId="{7DC19B5C-D12B-4346-89B2-C5A3B23B7F55}" destId="{4C5AAE5F-4A94-BA4F-98EA-D7E236DB9983}" srcOrd="1" destOrd="0" presId="urn:microsoft.com/office/officeart/2005/8/layout/matrix1"/>
    <dgm:cxn modelId="{48354FD7-8399-494D-AEE2-B8AD1276FC16}" type="presOf" srcId="{7010D17C-74B9-C041-9DAF-D685C6AB2D58}" destId="{BAA60BB9-BC7E-BD45-9B96-F88B720CCB45}" srcOrd="1" destOrd="0" presId="urn:microsoft.com/office/officeart/2005/8/layout/matrix1"/>
    <dgm:cxn modelId="{DFB81DF2-1DC2-7F48-A0B2-212C09E2563A}" type="presOf" srcId="{4DAED31E-8AAC-BF4B-A35D-CAFEA22A8943}" destId="{74281597-ADA5-2C41-8E8E-E692FA935824}" srcOrd="0" destOrd="0" presId="urn:microsoft.com/office/officeart/2005/8/layout/matrix1"/>
    <dgm:cxn modelId="{8438D5FA-82A3-B44A-8212-C63BFFC9905E}" type="presOf" srcId="{F4F22D5E-A208-644F-A813-402F5BDBA28B}" destId="{58373F19-0184-924D-8946-564F3FA758EC}" srcOrd="1" destOrd="0" presId="urn:microsoft.com/office/officeart/2005/8/layout/matrix1"/>
    <dgm:cxn modelId="{0DBAF1FA-9872-CA4F-95D6-D2D0B7F11FDB}" srcId="{4DAED31E-8AAC-BF4B-A35D-CAFEA22A8943}" destId="{F4F22D5E-A208-644F-A813-402F5BDBA28B}" srcOrd="0" destOrd="0" parTransId="{F291081D-E93E-F642-95D0-64B4391E0FD1}" sibTransId="{77AB0697-5BDF-2E43-B9EE-EA207E48AD1B}"/>
    <dgm:cxn modelId="{97B31EFD-D119-2E48-A30D-EFC7D0734D59}" type="presOf" srcId="{F4F22D5E-A208-644F-A813-402F5BDBA28B}" destId="{9E0419DC-3149-484E-BF64-0717EF1CE0A0}" srcOrd="0" destOrd="0" presId="urn:microsoft.com/office/officeart/2005/8/layout/matrix1"/>
    <dgm:cxn modelId="{74A38757-FC53-DC43-9B46-49CB4DDEBC2B}" type="presParOf" srcId="{411B387F-A0D3-BA4D-AF30-E0BF97FE084A}" destId="{D287EC3B-6594-1948-8AB5-8152654B4CDC}" srcOrd="0" destOrd="0" presId="urn:microsoft.com/office/officeart/2005/8/layout/matrix1"/>
    <dgm:cxn modelId="{3BFC0C65-E5FB-AD48-8260-68AC23D01546}" type="presParOf" srcId="{D287EC3B-6594-1948-8AB5-8152654B4CDC}" destId="{9E0419DC-3149-484E-BF64-0717EF1CE0A0}" srcOrd="0" destOrd="0" presId="urn:microsoft.com/office/officeart/2005/8/layout/matrix1"/>
    <dgm:cxn modelId="{5AF86ED8-D5C3-F248-8954-3BFFF68CFF9A}" type="presParOf" srcId="{D287EC3B-6594-1948-8AB5-8152654B4CDC}" destId="{58373F19-0184-924D-8946-564F3FA758EC}" srcOrd="1" destOrd="0" presId="urn:microsoft.com/office/officeart/2005/8/layout/matrix1"/>
    <dgm:cxn modelId="{2A6C6B37-E2DA-A443-8F60-77DE3724213A}" type="presParOf" srcId="{D287EC3B-6594-1948-8AB5-8152654B4CDC}" destId="{BDBE136C-3860-7245-8C41-E65A6FE9DBDA}" srcOrd="2" destOrd="0" presId="urn:microsoft.com/office/officeart/2005/8/layout/matrix1"/>
    <dgm:cxn modelId="{550A6640-42E8-9143-AE6C-F909F9A41AA2}" type="presParOf" srcId="{D287EC3B-6594-1948-8AB5-8152654B4CDC}" destId="{BAA60BB9-BC7E-BD45-9B96-F88B720CCB45}" srcOrd="3" destOrd="0" presId="urn:microsoft.com/office/officeart/2005/8/layout/matrix1"/>
    <dgm:cxn modelId="{20D3766D-D5AA-774E-9056-1939026E0B36}" type="presParOf" srcId="{D287EC3B-6594-1948-8AB5-8152654B4CDC}" destId="{88EBD4FB-D4F9-2649-B732-AA50178D7D88}" srcOrd="4" destOrd="0" presId="urn:microsoft.com/office/officeart/2005/8/layout/matrix1"/>
    <dgm:cxn modelId="{3FE2C9E8-4BD3-5242-8D81-572D3F5B85AD}" type="presParOf" srcId="{D287EC3B-6594-1948-8AB5-8152654B4CDC}" destId="{5C6CD69A-D630-6F48-A5A5-7FEF1F8564CB}" srcOrd="5" destOrd="0" presId="urn:microsoft.com/office/officeart/2005/8/layout/matrix1"/>
    <dgm:cxn modelId="{E31E5FCF-4C7D-F542-BD68-81E724D667F1}" type="presParOf" srcId="{D287EC3B-6594-1948-8AB5-8152654B4CDC}" destId="{3B15DF1C-D231-F14B-A9AF-20A1671A80CB}" srcOrd="6" destOrd="0" presId="urn:microsoft.com/office/officeart/2005/8/layout/matrix1"/>
    <dgm:cxn modelId="{07751D18-CBED-764A-975D-ECBB23DEEF78}" type="presParOf" srcId="{D287EC3B-6594-1948-8AB5-8152654B4CDC}" destId="{4C5AAE5F-4A94-BA4F-98EA-D7E236DB9983}" srcOrd="7" destOrd="0" presId="urn:microsoft.com/office/officeart/2005/8/layout/matrix1"/>
    <dgm:cxn modelId="{309D55D9-7AD9-1C48-BCB8-177D6C669085}" type="presParOf" srcId="{411B387F-A0D3-BA4D-AF30-E0BF97FE084A}" destId="{74281597-ADA5-2C41-8E8E-E692FA935824}" srcOrd="1" destOrd="0" presId="urn:microsoft.com/office/officeart/2005/8/layout/matrix1"/>
  </dgm:cxnLst>
  <dgm:bg>
    <a:solidFill>
      <a:srgbClr val="18424E"/>
    </a:solidFill>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A24C2B3-576C-4139-9D57-448542414A84}" type="doc">
      <dgm:prSet loTypeId="urn:microsoft.com/office/officeart/2005/8/layout/cycle3" loCatId="cycle" qsTypeId="urn:microsoft.com/office/officeart/2005/8/quickstyle/simple4" qsCatId="simple" csTypeId="urn:microsoft.com/office/officeart/2005/8/colors/accent0_3" csCatId="mainScheme" phldr="1"/>
      <dgm:spPr/>
      <dgm:t>
        <a:bodyPr/>
        <a:lstStyle/>
        <a:p>
          <a:endParaRPr lang="en-US"/>
        </a:p>
      </dgm:t>
    </dgm:pt>
    <dgm:pt modelId="{38E7F24B-DE85-4BA2-9DD1-FFBC2D463588}">
      <dgm:prSet phldrT="[Text]" custT="1"/>
      <dgm:spPr/>
      <dgm:t>
        <a:bodyPr/>
        <a:lstStyle/>
        <a:p>
          <a:pPr algn="ctr"/>
          <a:r>
            <a:rPr lang="en-US" sz="1000" dirty="0"/>
            <a:t>Less DSPs Needed</a:t>
          </a:r>
        </a:p>
      </dgm:t>
    </dgm:pt>
    <dgm:pt modelId="{88970D17-0F19-4644-BF18-F938D7007083}" type="parTrans" cxnId="{827C5825-EF80-442A-8E83-B35730C31630}">
      <dgm:prSet/>
      <dgm:spPr/>
      <dgm:t>
        <a:bodyPr/>
        <a:lstStyle/>
        <a:p>
          <a:pPr algn="ctr"/>
          <a:endParaRPr lang="en-US"/>
        </a:p>
      </dgm:t>
    </dgm:pt>
    <dgm:pt modelId="{E37978DA-8173-40C8-9974-9D170AF09CA1}" type="sibTrans" cxnId="{827C5825-EF80-442A-8E83-B35730C31630}">
      <dgm:prSet/>
      <dgm:spPr/>
      <dgm:t>
        <a:bodyPr/>
        <a:lstStyle/>
        <a:p>
          <a:pPr algn="ctr"/>
          <a:endParaRPr lang="en-US"/>
        </a:p>
      </dgm:t>
    </dgm:pt>
    <dgm:pt modelId="{4E418F6C-0ECE-4ECF-9207-922D2FEC205F}">
      <dgm:prSet phldrT="[Text]" custT="1"/>
      <dgm:spPr/>
      <dgm:t>
        <a:bodyPr/>
        <a:lstStyle/>
        <a:p>
          <a:pPr algn="ctr"/>
          <a:r>
            <a:rPr lang="en-US" sz="1000" dirty="0"/>
            <a:t>DSPs Can Be Paid More</a:t>
          </a:r>
        </a:p>
      </dgm:t>
    </dgm:pt>
    <dgm:pt modelId="{150CC381-F345-4E76-87F1-F463DCA18D3C}" type="parTrans" cxnId="{249DF5EC-E427-41FC-8A35-8A7D57F063DA}">
      <dgm:prSet/>
      <dgm:spPr/>
      <dgm:t>
        <a:bodyPr/>
        <a:lstStyle/>
        <a:p>
          <a:pPr algn="ctr"/>
          <a:endParaRPr lang="en-US"/>
        </a:p>
      </dgm:t>
    </dgm:pt>
    <dgm:pt modelId="{67130D33-6921-497C-A550-BB6C8F33CFD5}" type="sibTrans" cxnId="{249DF5EC-E427-41FC-8A35-8A7D57F063DA}">
      <dgm:prSet/>
      <dgm:spPr/>
      <dgm:t>
        <a:bodyPr/>
        <a:lstStyle/>
        <a:p>
          <a:pPr algn="ctr"/>
          <a:endParaRPr lang="en-US"/>
        </a:p>
      </dgm:t>
    </dgm:pt>
    <dgm:pt modelId="{5668D68C-FA44-4AB7-A7A3-F1FBF8AB9775}">
      <dgm:prSet phldrT="[Text]" custT="1"/>
      <dgm:spPr/>
      <dgm:t>
        <a:bodyPr/>
        <a:lstStyle/>
        <a:p>
          <a:pPr algn="ctr"/>
          <a:r>
            <a:rPr lang="en-US" sz="1000" dirty="0"/>
            <a:t>More Selective Recruitment</a:t>
          </a:r>
        </a:p>
      </dgm:t>
    </dgm:pt>
    <dgm:pt modelId="{B06053AB-FA9A-4339-B264-928FA84233C3}" type="parTrans" cxnId="{E04A7FB6-ACBE-46FD-A3BB-97EB2549F980}">
      <dgm:prSet/>
      <dgm:spPr/>
      <dgm:t>
        <a:bodyPr/>
        <a:lstStyle/>
        <a:p>
          <a:pPr algn="ctr"/>
          <a:endParaRPr lang="en-US"/>
        </a:p>
      </dgm:t>
    </dgm:pt>
    <dgm:pt modelId="{915FB404-83E2-4040-B399-6E24D2F2DCB5}" type="sibTrans" cxnId="{E04A7FB6-ACBE-46FD-A3BB-97EB2549F980}">
      <dgm:prSet/>
      <dgm:spPr/>
      <dgm:t>
        <a:bodyPr/>
        <a:lstStyle/>
        <a:p>
          <a:pPr algn="ctr"/>
          <a:endParaRPr lang="en-US"/>
        </a:p>
      </dgm:t>
    </dgm:pt>
    <dgm:pt modelId="{F61A1ADB-DAA5-4022-B747-D974369A3C8C}">
      <dgm:prSet custT="1"/>
      <dgm:spPr/>
      <dgm:t>
        <a:bodyPr/>
        <a:lstStyle/>
        <a:p>
          <a:pPr algn="ctr"/>
          <a:r>
            <a:rPr lang="en-US" sz="1000" dirty="0"/>
            <a:t>Less Vacancies &amp; OT Costs </a:t>
          </a:r>
        </a:p>
      </dgm:t>
    </dgm:pt>
    <dgm:pt modelId="{B68E853A-1FD0-406B-8678-76A7B924B11F}" type="parTrans" cxnId="{D23AE1E1-563C-4D32-9810-03C5C8C5E123}">
      <dgm:prSet/>
      <dgm:spPr/>
      <dgm:t>
        <a:bodyPr/>
        <a:lstStyle/>
        <a:p>
          <a:pPr algn="ctr"/>
          <a:endParaRPr lang="en-US"/>
        </a:p>
      </dgm:t>
    </dgm:pt>
    <dgm:pt modelId="{DCCE9277-85EF-4A06-AB2D-10D641155830}" type="sibTrans" cxnId="{D23AE1E1-563C-4D32-9810-03C5C8C5E123}">
      <dgm:prSet/>
      <dgm:spPr/>
      <dgm:t>
        <a:bodyPr/>
        <a:lstStyle/>
        <a:p>
          <a:pPr algn="ctr"/>
          <a:endParaRPr lang="en-US"/>
        </a:p>
      </dgm:t>
    </dgm:pt>
    <dgm:pt modelId="{AF01664C-575D-4C2E-8550-92D0F2179E6A}">
      <dgm:prSet custT="1"/>
      <dgm:spPr/>
      <dgm:t>
        <a:bodyPr/>
        <a:lstStyle/>
        <a:p>
          <a:pPr algn="ctr"/>
          <a:r>
            <a:rPr lang="en-US" sz="1000" dirty="0"/>
            <a:t>Increased DSP Longevity</a:t>
          </a:r>
        </a:p>
      </dgm:t>
    </dgm:pt>
    <dgm:pt modelId="{42AB5FB7-AF45-484C-BB11-3B1AFB477580}" type="parTrans" cxnId="{993B865A-567D-4FAC-BE95-FCF2EF68B9C6}">
      <dgm:prSet/>
      <dgm:spPr/>
      <dgm:t>
        <a:bodyPr/>
        <a:lstStyle/>
        <a:p>
          <a:pPr algn="ctr"/>
          <a:endParaRPr lang="en-US"/>
        </a:p>
      </dgm:t>
    </dgm:pt>
    <dgm:pt modelId="{747072A6-402C-44FC-95F2-5DAEFBB4C724}" type="sibTrans" cxnId="{993B865A-567D-4FAC-BE95-FCF2EF68B9C6}">
      <dgm:prSet/>
      <dgm:spPr/>
      <dgm:t>
        <a:bodyPr/>
        <a:lstStyle/>
        <a:p>
          <a:pPr algn="ctr"/>
          <a:endParaRPr lang="en-US"/>
        </a:p>
      </dgm:t>
    </dgm:pt>
    <dgm:pt modelId="{FD4216D2-80F4-4BA0-98BD-28A35AC16911}" type="pres">
      <dgm:prSet presAssocID="{4A24C2B3-576C-4139-9D57-448542414A84}" presName="Name0" presStyleCnt="0">
        <dgm:presLayoutVars>
          <dgm:dir/>
          <dgm:resizeHandles val="exact"/>
        </dgm:presLayoutVars>
      </dgm:prSet>
      <dgm:spPr/>
    </dgm:pt>
    <dgm:pt modelId="{700CA702-D190-499C-A21E-44270B1CC7D4}" type="pres">
      <dgm:prSet presAssocID="{4A24C2B3-576C-4139-9D57-448542414A84}" presName="cycle" presStyleCnt="0"/>
      <dgm:spPr/>
    </dgm:pt>
    <dgm:pt modelId="{3B6987E3-B0C7-4C99-BF3D-0A010D475161}" type="pres">
      <dgm:prSet presAssocID="{38E7F24B-DE85-4BA2-9DD1-FFBC2D463588}" presName="nodeFirstNode" presStyleLbl="node1" presStyleIdx="0" presStyleCnt="5" custScaleY="87606">
        <dgm:presLayoutVars>
          <dgm:bulletEnabled val="1"/>
        </dgm:presLayoutVars>
      </dgm:prSet>
      <dgm:spPr/>
    </dgm:pt>
    <dgm:pt modelId="{E1092B0F-62DC-437F-9A16-5698C752BFB3}" type="pres">
      <dgm:prSet presAssocID="{E37978DA-8173-40C8-9974-9D170AF09CA1}" presName="sibTransFirstNode" presStyleLbl="bgShp" presStyleIdx="0" presStyleCnt="1"/>
      <dgm:spPr/>
    </dgm:pt>
    <dgm:pt modelId="{67E731E7-84C3-4DA0-A62D-7DD45BFF9987}" type="pres">
      <dgm:prSet presAssocID="{F61A1ADB-DAA5-4022-B747-D974369A3C8C}" presName="nodeFollowingNodes" presStyleLbl="node1" presStyleIdx="1" presStyleCnt="5" custScaleY="87606" custRadScaleRad="94170" custRadScaleInc="10896">
        <dgm:presLayoutVars>
          <dgm:bulletEnabled val="1"/>
        </dgm:presLayoutVars>
      </dgm:prSet>
      <dgm:spPr/>
    </dgm:pt>
    <dgm:pt modelId="{386F605A-7086-4C16-8B54-FE1F2A488D7E}" type="pres">
      <dgm:prSet presAssocID="{4E418F6C-0ECE-4ECF-9207-922D2FEC205F}" presName="nodeFollowingNodes" presStyleLbl="node1" presStyleIdx="2" presStyleCnt="5" custScaleX="107649" custScaleY="87606">
        <dgm:presLayoutVars>
          <dgm:bulletEnabled val="1"/>
        </dgm:presLayoutVars>
      </dgm:prSet>
      <dgm:spPr/>
    </dgm:pt>
    <dgm:pt modelId="{522616D9-B18E-4896-8E66-55E920A4A3F2}" type="pres">
      <dgm:prSet presAssocID="{5668D68C-FA44-4AB7-A7A3-F1FBF8AB9775}" presName="nodeFollowingNodes" presStyleLbl="node1" presStyleIdx="3" presStyleCnt="5" custScaleX="103875" custScaleY="87606">
        <dgm:presLayoutVars>
          <dgm:bulletEnabled val="1"/>
        </dgm:presLayoutVars>
      </dgm:prSet>
      <dgm:spPr/>
    </dgm:pt>
    <dgm:pt modelId="{E36B1754-5BD0-47E5-978F-77BCB1CE3604}" type="pres">
      <dgm:prSet presAssocID="{AF01664C-575D-4C2E-8550-92D0F2179E6A}" presName="nodeFollowingNodes" presStyleLbl="node1" presStyleIdx="4" presStyleCnt="5" custScaleY="87606" custRadScaleRad="93815" custRadScaleInc="-12766">
        <dgm:presLayoutVars>
          <dgm:bulletEnabled val="1"/>
        </dgm:presLayoutVars>
      </dgm:prSet>
      <dgm:spPr/>
    </dgm:pt>
  </dgm:ptLst>
  <dgm:cxnLst>
    <dgm:cxn modelId="{827C5825-EF80-442A-8E83-B35730C31630}" srcId="{4A24C2B3-576C-4139-9D57-448542414A84}" destId="{38E7F24B-DE85-4BA2-9DD1-FFBC2D463588}" srcOrd="0" destOrd="0" parTransId="{88970D17-0F19-4644-BF18-F938D7007083}" sibTransId="{E37978DA-8173-40C8-9974-9D170AF09CA1}"/>
    <dgm:cxn modelId="{9F20063D-414E-45D1-9BB6-1A547396419F}" type="presOf" srcId="{F61A1ADB-DAA5-4022-B747-D974369A3C8C}" destId="{67E731E7-84C3-4DA0-A62D-7DD45BFF9987}" srcOrd="0" destOrd="0" presId="urn:microsoft.com/office/officeart/2005/8/layout/cycle3"/>
    <dgm:cxn modelId="{CE27B540-1473-4023-B9ED-27C3BF2838E1}" type="presOf" srcId="{4A24C2B3-576C-4139-9D57-448542414A84}" destId="{FD4216D2-80F4-4BA0-98BD-28A35AC16911}" srcOrd="0" destOrd="0" presId="urn:microsoft.com/office/officeart/2005/8/layout/cycle3"/>
    <dgm:cxn modelId="{09BCCF73-19D4-4446-B7E6-A7583F4F3A62}" type="presOf" srcId="{E37978DA-8173-40C8-9974-9D170AF09CA1}" destId="{E1092B0F-62DC-437F-9A16-5698C752BFB3}" srcOrd="0" destOrd="0" presId="urn:microsoft.com/office/officeart/2005/8/layout/cycle3"/>
    <dgm:cxn modelId="{AFA0BE57-4341-48FC-8C64-A9514FCEB638}" type="presOf" srcId="{38E7F24B-DE85-4BA2-9DD1-FFBC2D463588}" destId="{3B6987E3-B0C7-4C99-BF3D-0A010D475161}" srcOrd="0" destOrd="0" presId="urn:microsoft.com/office/officeart/2005/8/layout/cycle3"/>
    <dgm:cxn modelId="{993B865A-567D-4FAC-BE95-FCF2EF68B9C6}" srcId="{4A24C2B3-576C-4139-9D57-448542414A84}" destId="{AF01664C-575D-4C2E-8550-92D0F2179E6A}" srcOrd="4" destOrd="0" parTransId="{42AB5FB7-AF45-484C-BB11-3B1AFB477580}" sibTransId="{747072A6-402C-44FC-95F2-5DAEFBB4C724}"/>
    <dgm:cxn modelId="{DF569082-7A62-4E99-9C2B-3EA135375A9A}" type="presOf" srcId="{4E418F6C-0ECE-4ECF-9207-922D2FEC205F}" destId="{386F605A-7086-4C16-8B54-FE1F2A488D7E}" srcOrd="0" destOrd="0" presId="urn:microsoft.com/office/officeart/2005/8/layout/cycle3"/>
    <dgm:cxn modelId="{E04A7FB6-ACBE-46FD-A3BB-97EB2549F980}" srcId="{4A24C2B3-576C-4139-9D57-448542414A84}" destId="{5668D68C-FA44-4AB7-A7A3-F1FBF8AB9775}" srcOrd="3" destOrd="0" parTransId="{B06053AB-FA9A-4339-B264-928FA84233C3}" sibTransId="{915FB404-83E2-4040-B399-6E24D2F2DCB5}"/>
    <dgm:cxn modelId="{5DC103C5-9419-413E-8581-1B08F986FEF9}" type="presOf" srcId="{AF01664C-575D-4C2E-8550-92D0F2179E6A}" destId="{E36B1754-5BD0-47E5-978F-77BCB1CE3604}" srcOrd="0" destOrd="0" presId="urn:microsoft.com/office/officeart/2005/8/layout/cycle3"/>
    <dgm:cxn modelId="{35438FD4-86A3-49F4-9EB7-A58A72FF83B4}" type="presOf" srcId="{5668D68C-FA44-4AB7-A7A3-F1FBF8AB9775}" destId="{522616D9-B18E-4896-8E66-55E920A4A3F2}" srcOrd="0" destOrd="0" presId="urn:microsoft.com/office/officeart/2005/8/layout/cycle3"/>
    <dgm:cxn modelId="{D23AE1E1-563C-4D32-9810-03C5C8C5E123}" srcId="{4A24C2B3-576C-4139-9D57-448542414A84}" destId="{F61A1ADB-DAA5-4022-B747-D974369A3C8C}" srcOrd="1" destOrd="0" parTransId="{B68E853A-1FD0-406B-8678-76A7B924B11F}" sibTransId="{DCCE9277-85EF-4A06-AB2D-10D641155830}"/>
    <dgm:cxn modelId="{249DF5EC-E427-41FC-8A35-8A7D57F063DA}" srcId="{4A24C2B3-576C-4139-9D57-448542414A84}" destId="{4E418F6C-0ECE-4ECF-9207-922D2FEC205F}" srcOrd="2" destOrd="0" parTransId="{150CC381-F345-4E76-87F1-F463DCA18D3C}" sibTransId="{67130D33-6921-497C-A550-BB6C8F33CFD5}"/>
    <dgm:cxn modelId="{DC564404-71E1-4DB1-A439-581EA61D4139}" type="presParOf" srcId="{FD4216D2-80F4-4BA0-98BD-28A35AC16911}" destId="{700CA702-D190-499C-A21E-44270B1CC7D4}" srcOrd="0" destOrd="0" presId="urn:microsoft.com/office/officeart/2005/8/layout/cycle3"/>
    <dgm:cxn modelId="{CE00F5EE-A40E-40CA-9DB1-E887CCE5024C}" type="presParOf" srcId="{700CA702-D190-499C-A21E-44270B1CC7D4}" destId="{3B6987E3-B0C7-4C99-BF3D-0A010D475161}" srcOrd="0" destOrd="0" presId="urn:microsoft.com/office/officeart/2005/8/layout/cycle3"/>
    <dgm:cxn modelId="{AC64F225-43E1-489C-90AC-48CE6FECA9F5}" type="presParOf" srcId="{700CA702-D190-499C-A21E-44270B1CC7D4}" destId="{E1092B0F-62DC-437F-9A16-5698C752BFB3}" srcOrd="1" destOrd="0" presId="urn:microsoft.com/office/officeart/2005/8/layout/cycle3"/>
    <dgm:cxn modelId="{88DD2F17-736F-409F-A585-FFAB6E2697D3}" type="presParOf" srcId="{700CA702-D190-499C-A21E-44270B1CC7D4}" destId="{67E731E7-84C3-4DA0-A62D-7DD45BFF9987}" srcOrd="2" destOrd="0" presId="urn:microsoft.com/office/officeart/2005/8/layout/cycle3"/>
    <dgm:cxn modelId="{786D5B2C-AA81-4CFA-A6E2-CBD39D884B12}" type="presParOf" srcId="{700CA702-D190-499C-A21E-44270B1CC7D4}" destId="{386F605A-7086-4C16-8B54-FE1F2A488D7E}" srcOrd="3" destOrd="0" presId="urn:microsoft.com/office/officeart/2005/8/layout/cycle3"/>
    <dgm:cxn modelId="{E13071E4-8D3F-4233-8E2E-80030E264F22}" type="presParOf" srcId="{700CA702-D190-499C-A21E-44270B1CC7D4}" destId="{522616D9-B18E-4896-8E66-55E920A4A3F2}" srcOrd="4" destOrd="0" presId="urn:microsoft.com/office/officeart/2005/8/layout/cycle3"/>
    <dgm:cxn modelId="{8F59F9ED-FA5D-4DD1-BBE2-537CA440359A}" type="presParOf" srcId="{700CA702-D190-499C-A21E-44270B1CC7D4}" destId="{E36B1754-5BD0-47E5-978F-77BCB1CE3604}" srcOrd="5" destOrd="0" presId="urn:microsoft.com/office/officeart/2005/8/layout/cycle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F96D71-7D37-9349-B944-15F43DDC963A}" type="doc">
      <dgm:prSet loTypeId="urn:microsoft.com/office/officeart/2009/3/layout/DescendingProcess" loCatId="" qsTypeId="urn:microsoft.com/office/officeart/2005/8/quickstyle/simple1" qsCatId="simple" csTypeId="urn:microsoft.com/office/officeart/2005/8/colors/accent1_2" csCatId="accent1" phldr="1"/>
      <dgm:spPr/>
    </dgm:pt>
    <dgm:pt modelId="{D6856CF0-BA8B-B849-8FEA-8AB88D29F01E}">
      <dgm:prSet phldrT="[Text]" custT="1"/>
      <dgm:spPr/>
      <dgm:t>
        <a:bodyPr/>
        <a:lstStyle/>
        <a:p>
          <a:pPr algn="ctr"/>
          <a:r>
            <a:rPr lang="en-US" sz="1000" b="0">
              <a:solidFill>
                <a:srgbClr val="FFC000"/>
              </a:solidFill>
              <a:latin typeface="Optima" panose="02000503060000020004" pitchFamily="2" charset="0"/>
            </a:rPr>
            <a:t>The paradox when paying</a:t>
          </a:r>
          <a:br>
            <a:rPr lang="en-US" sz="1000" b="0">
              <a:solidFill>
                <a:srgbClr val="FFC000"/>
              </a:solidFill>
              <a:latin typeface="Optima" panose="02000503060000020004" pitchFamily="2" charset="0"/>
            </a:rPr>
          </a:br>
          <a:r>
            <a:rPr lang="en-US" sz="1000" b="0">
              <a:solidFill>
                <a:srgbClr val="FFC000"/>
              </a:solidFill>
              <a:latin typeface="Optima" panose="02000503060000020004" pitchFamily="2" charset="0"/>
            </a:rPr>
            <a:t>by hour of service.</a:t>
          </a:r>
        </a:p>
      </dgm:t>
    </dgm:pt>
    <dgm:pt modelId="{37252B1D-A4D8-5948-9127-6C4A577EB9B6}" type="parTrans" cxnId="{FFBF0372-635E-5741-AE32-8B7B2CC8AAED}">
      <dgm:prSet/>
      <dgm:spPr/>
      <dgm:t>
        <a:bodyPr/>
        <a:lstStyle/>
        <a:p>
          <a:pPr algn="ctr"/>
          <a:endParaRPr lang="en-US"/>
        </a:p>
      </dgm:t>
    </dgm:pt>
    <dgm:pt modelId="{C4EF1422-3A9B-F144-B743-C20E82B48888}" type="sibTrans" cxnId="{FFBF0372-635E-5741-AE32-8B7B2CC8AAED}">
      <dgm:prSet/>
      <dgm:spPr/>
      <dgm:t>
        <a:bodyPr/>
        <a:lstStyle/>
        <a:p>
          <a:pPr algn="ctr"/>
          <a:endParaRPr lang="en-US"/>
        </a:p>
      </dgm:t>
    </dgm:pt>
    <dgm:pt modelId="{AED9EB3C-3612-C242-9BFB-AC4BB47EACD5}">
      <dgm:prSet phldrT="[Text]" custT="1"/>
      <dgm:spPr/>
      <dgm:t>
        <a:bodyPr/>
        <a:lstStyle/>
        <a:p>
          <a:pPr algn="ctr"/>
          <a:r>
            <a:rPr lang="en-US" sz="1000">
              <a:solidFill>
                <a:schemeClr val="bg1"/>
              </a:solidFill>
              <a:latin typeface="Optima" panose="02000503060000020004" pitchFamily="2" charset="0"/>
            </a:rPr>
            <a:t>The more capable an organization, the less hours they need to deliver a service.</a:t>
          </a:r>
        </a:p>
      </dgm:t>
    </dgm:pt>
    <dgm:pt modelId="{0EA99B6E-7BB0-7541-8FE1-F0D3608AEA74}" type="parTrans" cxnId="{B81E9ED4-CD71-554E-9376-DC28A108C928}">
      <dgm:prSet/>
      <dgm:spPr/>
      <dgm:t>
        <a:bodyPr/>
        <a:lstStyle/>
        <a:p>
          <a:pPr algn="ctr"/>
          <a:endParaRPr lang="en-US"/>
        </a:p>
      </dgm:t>
    </dgm:pt>
    <dgm:pt modelId="{2204D158-29C7-A74C-BF21-543E9DD301AB}" type="sibTrans" cxnId="{B81E9ED4-CD71-554E-9376-DC28A108C928}">
      <dgm:prSet/>
      <dgm:spPr/>
      <dgm:t>
        <a:bodyPr/>
        <a:lstStyle/>
        <a:p>
          <a:pPr algn="ctr"/>
          <a:endParaRPr lang="en-US"/>
        </a:p>
      </dgm:t>
    </dgm:pt>
    <dgm:pt modelId="{036F3C86-581A-0F48-9139-4999D02C3912}">
      <dgm:prSet phldrT="[Text]" custT="1"/>
      <dgm:spPr/>
      <dgm:t>
        <a:bodyPr/>
        <a:lstStyle/>
        <a:p>
          <a:pPr algn="ctr"/>
          <a:r>
            <a:rPr lang="en-US" sz="1000">
              <a:solidFill>
                <a:schemeClr val="bg1"/>
              </a:solidFill>
              <a:latin typeface="Optima" panose="02000503060000020004" pitchFamily="2" charset="0"/>
            </a:rPr>
            <a:t>The more capable organization receive less funding as a result of being more capable.</a:t>
          </a:r>
        </a:p>
      </dgm:t>
    </dgm:pt>
    <dgm:pt modelId="{078E18C1-54EA-2343-B023-B57803F5B5AC}" type="parTrans" cxnId="{1276F685-2E3F-1645-AE83-98CA67FCE34C}">
      <dgm:prSet/>
      <dgm:spPr/>
      <dgm:t>
        <a:bodyPr/>
        <a:lstStyle/>
        <a:p>
          <a:pPr algn="ctr"/>
          <a:endParaRPr lang="en-US"/>
        </a:p>
      </dgm:t>
    </dgm:pt>
    <dgm:pt modelId="{F2ED2F0F-B178-3F4E-A1EF-D594CD2234ED}" type="sibTrans" cxnId="{1276F685-2E3F-1645-AE83-98CA67FCE34C}">
      <dgm:prSet/>
      <dgm:spPr/>
      <dgm:t>
        <a:bodyPr/>
        <a:lstStyle/>
        <a:p>
          <a:pPr algn="ctr"/>
          <a:endParaRPr lang="en-US"/>
        </a:p>
      </dgm:t>
    </dgm:pt>
    <dgm:pt modelId="{D5293FC2-372E-1942-9FC5-8B5B33A87018}">
      <dgm:prSet phldrT="[Text]" custT="1"/>
      <dgm:spPr/>
      <dgm:t>
        <a:bodyPr/>
        <a:lstStyle/>
        <a:p>
          <a:pPr algn="ctr"/>
          <a:r>
            <a:rPr lang="en-US" sz="1000">
              <a:solidFill>
                <a:schemeClr val="bg1"/>
              </a:solidFill>
              <a:latin typeface="Optima" panose="02000503060000020004" pitchFamily="2" charset="0"/>
            </a:rPr>
            <a:t>The less hours of service delivered, the less billable hours.</a:t>
          </a:r>
        </a:p>
      </dgm:t>
    </dgm:pt>
    <dgm:pt modelId="{2242936C-327E-5643-9130-8AD69097182D}" type="parTrans" cxnId="{BB15E613-1F68-1B46-9A10-CC3A8C40C5C0}">
      <dgm:prSet/>
      <dgm:spPr/>
      <dgm:t>
        <a:bodyPr/>
        <a:lstStyle/>
        <a:p>
          <a:pPr algn="ctr"/>
          <a:endParaRPr lang="en-US"/>
        </a:p>
      </dgm:t>
    </dgm:pt>
    <dgm:pt modelId="{06ECE7BE-ADB0-5A4A-AFDB-607F91D097F8}" type="sibTrans" cxnId="{BB15E613-1F68-1B46-9A10-CC3A8C40C5C0}">
      <dgm:prSet/>
      <dgm:spPr/>
      <dgm:t>
        <a:bodyPr/>
        <a:lstStyle/>
        <a:p>
          <a:pPr algn="ctr"/>
          <a:endParaRPr lang="en-US"/>
        </a:p>
      </dgm:t>
    </dgm:pt>
    <dgm:pt modelId="{FD33380C-BFDF-1946-9940-946D859B56D8}" type="pres">
      <dgm:prSet presAssocID="{02F96D71-7D37-9349-B944-15F43DDC963A}" presName="Name0" presStyleCnt="0">
        <dgm:presLayoutVars>
          <dgm:chMax val="7"/>
          <dgm:chPref val="5"/>
        </dgm:presLayoutVars>
      </dgm:prSet>
      <dgm:spPr/>
    </dgm:pt>
    <dgm:pt modelId="{9D57FFEE-17BD-704E-BC2E-C0A3A1536458}" type="pres">
      <dgm:prSet presAssocID="{02F96D71-7D37-9349-B944-15F43DDC963A}" presName="arrowNode" presStyleLbl="node1" presStyleIdx="0" presStyleCnt="1" custScaleX="69627" custScaleY="78817" custLinFactNeighborX="-489" custLinFactNeighborY="-3130"/>
      <dgm:spPr/>
    </dgm:pt>
    <dgm:pt modelId="{3AF176F8-750D-F54F-9636-6ECD61A2C5BC}" type="pres">
      <dgm:prSet presAssocID="{D6856CF0-BA8B-B849-8FEA-8AB88D29F01E}" presName="txNode1" presStyleLbl="revTx" presStyleIdx="0" presStyleCnt="4" custScaleX="166872" custScaleY="67312" custLinFactNeighborX="-2220" custLinFactNeighborY="18853">
        <dgm:presLayoutVars>
          <dgm:bulletEnabled val="1"/>
        </dgm:presLayoutVars>
      </dgm:prSet>
      <dgm:spPr/>
    </dgm:pt>
    <dgm:pt modelId="{B7C575D0-8865-024F-BE60-D233D4E8EDBA}" type="pres">
      <dgm:prSet presAssocID="{AED9EB3C-3612-C242-9BFB-AC4BB47EACD5}" presName="txNode2" presStyleLbl="revTx" presStyleIdx="1" presStyleCnt="4" custScaleX="125531" custLinFactNeighborX="1327" custLinFactNeighborY="-23222">
        <dgm:presLayoutVars>
          <dgm:bulletEnabled val="1"/>
        </dgm:presLayoutVars>
      </dgm:prSet>
      <dgm:spPr/>
    </dgm:pt>
    <dgm:pt modelId="{44A42DF8-614C-E240-80DC-930A78ACCBA8}" type="pres">
      <dgm:prSet presAssocID="{2204D158-29C7-A74C-BF21-543E9DD301AB}" presName="dotNode2" presStyleCnt="0"/>
      <dgm:spPr/>
    </dgm:pt>
    <dgm:pt modelId="{45100D43-E862-7444-8011-DE97D45E2B35}" type="pres">
      <dgm:prSet presAssocID="{2204D158-29C7-A74C-BF21-543E9DD301AB}" presName="dotRepeatNode" presStyleLbl="fgShp" presStyleIdx="0" presStyleCnt="2" custLinFactNeighborX="11979"/>
      <dgm:spPr/>
    </dgm:pt>
    <dgm:pt modelId="{99474172-78F7-0F4F-8F4F-F347912C446E}" type="pres">
      <dgm:prSet presAssocID="{D5293FC2-372E-1942-9FC5-8B5B33A87018}" presName="txNode3" presStyleLbl="revTx" presStyleIdx="2" presStyleCnt="4" custScaleX="95478" custLinFactNeighborX="605" custLinFactNeighborY="60387">
        <dgm:presLayoutVars>
          <dgm:bulletEnabled val="1"/>
        </dgm:presLayoutVars>
      </dgm:prSet>
      <dgm:spPr/>
    </dgm:pt>
    <dgm:pt modelId="{57C71D55-779D-7744-8CF7-3EBE9AC51731}" type="pres">
      <dgm:prSet presAssocID="{06ECE7BE-ADB0-5A4A-AFDB-607F91D097F8}" presName="dotNode3" presStyleCnt="0"/>
      <dgm:spPr/>
    </dgm:pt>
    <dgm:pt modelId="{6D33E871-525E-E04F-8F82-B705C8F03538}" type="pres">
      <dgm:prSet presAssocID="{06ECE7BE-ADB0-5A4A-AFDB-607F91D097F8}" presName="dotRepeatNode" presStyleLbl="fgShp" presStyleIdx="1" presStyleCnt="2" custLinFactX="-67705" custLinFactNeighborX="-100000" custLinFactNeighborY="35937"/>
      <dgm:spPr/>
    </dgm:pt>
    <dgm:pt modelId="{77D261B1-27B6-9645-B0AA-25C2ADE17EF5}" type="pres">
      <dgm:prSet presAssocID="{036F3C86-581A-0F48-9139-4999D02C3912}" presName="txNode4" presStyleLbl="revTx" presStyleIdx="3" presStyleCnt="4" custScaleX="120179" custLinFactNeighborX="-21112" custLinFactNeighborY="-24277">
        <dgm:presLayoutVars>
          <dgm:bulletEnabled val="1"/>
        </dgm:presLayoutVars>
      </dgm:prSet>
      <dgm:spPr/>
    </dgm:pt>
  </dgm:ptLst>
  <dgm:cxnLst>
    <dgm:cxn modelId="{BB15E613-1F68-1B46-9A10-CC3A8C40C5C0}" srcId="{02F96D71-7D37-9349-B944-15F43DDC963A}" destId="{D5293FC2-372E-1942-9FC5-8B5B33A87018}" srcOrd="2" destOrd="0" parTransId="{2242936C-327E-5643-9130-8AD69097182D}" sibTransId="{06ECE7BE-ADB0-5A4A-AFDB-607F91D097F8}"/>
    <dgm:cxn modelId="{275AEB2E-FEC0-8F45-BA1C-AD6CEFCC8E97}" type="presOf" srcId="{D6856CF0-BA8B-B849-8FEA-8AB88D29F01E}" destId="{3AF176F8-750D-F54F-9636-6ECD61A2C5BC}" srcOrd="0" destOrd="0" presId="urn:microsoft.com/office/officeart/2009/3/layout/DescendingProcess"/>
    <dgm:cxn modelId="{2CB64D4D-92B3-CD47-8454-133363D8A7BA}" type="presOf" srcId="{06ECE7BE-ADB0-5A4A-AFDB-607F91D097F8}" destId="{6D33E871-525E-E04F-8F82-B705C8F03538}" srcOrd="0" destOrd="0" presId="urn:microsoft.com/office/officeart/2009/3/layout/DescendingProcess"/>
    <dgm:cxn modelId="{FFBF0372-635E-5741-AE32-8B7B2CC8AAED}" srcId="{02F96D71-7D37-9349-B944-15F43DDC963A}" destId="{D6856CF0-BA8B-B849-8FEA-8AB88D29F01E}" srcOrd="0" destOrd="0" parTransId="{37252B1D-A4D8-5948-9127-6C4A577EB9B6}" sibTransId="{C4EF1422-3A9B-F144-B743-C20E82B48888}"/>
    <dgm:cxn modelId="{754BB285-03F1-1B4D-BC24-ECE111653770}" type="presOf" srcId="{02F96D71-7D37-9349-B944-15F43DDC963A}" destId="{FD33380C-BFDF-1946-9940-946D859B56D8}" srcOrd="0" destOrd="0" presId="urn:microsoft.com/office/officeart/2009/3/layout/DescendingProcess"/>
    <dgm:cxn modelId="{1276F685-2E3F-1645-AE83-98CA67FCE34C}" srcId="{02F96D71-7D37-9349-B944-15F43DDC963A}" destId="{036F3C86-581A-0F48-9139-4999D02C3912}" srcOrd="3" destOrd="0" parTransId="{078E18C1-54EA-2343-B023-B57803F5B5AC}" sibTransId="{F2ED2F0F-B178-3F4E-A1EF-D594CD2234ED}"/>
    <dgm:cxn modelId="{2CCF8D92-3788-E649-841C-FA337A4D94E7}" type="presOf" srcId="{2204D158-29C7-A74C-BF21-543E9DD301AB}" destId="{45100D43-E862-7444-8011-DE97D45E2B35}" srcOrd="0" destOrd="0" presId="urn:microsoft.com/office/officeart/2009/3/layout/DescendingProcess"/>
    <dgm:cxn modelId="{ADB229D1-6027-B54B-88BA-C47E65586D29}" type="presOf" srcId="{D5293FC2-372E-1942-9FC5-8B5B33A87018}" destId="{99474172-78F7-0F4F-8F4F-F347912C446E}" srcOrd="0" destOrd="0" presId="urn:microsoft.com/office/officeart/2009/3/layout/DescendingProcess"/>
    <dgm:cxn modelId="{B81E9ED4-CD71-554E-9376-DC28A108C928}" srcId="{02F96D71-7D37-9349-B944-15F43DDC963A}" destId="{AED9EB3C-3612-C242-9BFB-AC4BB47EACD5}" srcOrd="1" destOrd="0" parTransId="{0EA99B6E-7BB0-7541-8FE1-F0D3608AEA74}" sibTransId="{2204D158-29C7-A74C-BF21-543E9DD301AB}"/>
    <dgm:cxn modelId="{C147B5D5-CC0B-974C-B4E9-4FF92B27077F}" type="presOf" srcId="{AED9EB3C-3612-C242-9BFB-AC4BB47EACD5}" destId="{B7C575D0-8865-024F-BE60-D233D4E8EDBA}" srcOrd="0" destOrd="0" presId="urn:microsoft.com/office/officeart/2009/3/layout/DescendingProcess"/>
    <dgm:cxn modelId="{956341E9-1E54-7444-B15A-E5B3BED78523}" type="presOf" srcId="{036F3C86-581A-0F48-9139-4999D02C3912}" destId="{77D261B1-27B6-9645-B0AA-25C2ADE17EF5}" srcOrd="0" destOrd="0" presId="urn:microsoft.com/office/officeart/2009/3/layout/DescendingProcess"/>
    <dgm:cxn modelId="{0DC6A818-88C5-B34F-B04B-735F4D0CACAB}" type="presParOf" srcId="{FD33380C-BFDF-1946-9940-946D859B56D8}" destId="{9D57FFEE-17BD-704E-BC2E-C0A3A1536458}" srcOrd="0" destOrd="0" presId="urn:microsoft.com/office/officeart/2009/3/layout/DescendingProcess"/>
    <dgm:cxn modelId="{AB7C0B76-8C8B-A442-8997-9FDECFC6C19E}" type="presParOf" srcId="{FD33380C-BFDF-1946-9940-946D859B56D8}" destId="{3AF176F8-750D-F54F-9636-6ECD61A2C5BC}" srcOrd="1" destOrd="0" presId="urn:microsoft.com/office/officeart/2009/3/layout/DescendingProcess"/>
    <dgm:cxn modelId="{AA420DD1-C0F9-4948-9072-FB21FEEF6CD9}" type="presParOf" srcId="{FD33380C-BFDF-1946-9940-946D859B56D8}" destId="{B7C575D0-8865-024F-BE60-D233D4E8EDBA}" srcOrd="2" destOrd="0" presId="urn:microsoft.com/office/officeart/2009/3/layout/DescendingProcess"/>
    <dgm:cxn modelId="{840789FF-588D-5448-951C-7622DF3CBB0B}" type="presParOf" srcId="{FD33380C-BFDF-1946-9940-946D859B56D8}" destId="{44A42DF8-614C-E240-80DC-930A78ACCBA8}" srcOrd="3" destOrd="0" presId="urn:microsoft.com/office/officeart/2009/3/layout/DescendingProcess"/>
    <dgm:cxn modelId="{C2376C70-421E-BB44-BBFA-98932E53C232}" type="presParOf" srcId="{44A42DF8-614C-E240-80DC-930A78ACCBA8}" destId="{45100D43-E862-7444-8011-DE97D45E2B35}" srcOrd="0" destOrd="0" presId="urn:microsoft.com/office/officeart/2009/3/layout/DescendingProcess"/>
    <dgm:cxn modelId="{72875489-2A51-ED49-8B1B-D7F6135A273B}" type="presParOf" srcId="{FD33380C-BFDF-1946-9940-946D859B56D8}" destId="{99474172-78F7-0F4F-8F4F-F347912C446E}" srcOrd="4" destOrd="0" presId="urn:microsoft.com/office/officeart/2009/3/layout/DescendingProcess"/>
    <dgm:cxn modelId="{FA40324D-CA5D-F84A-B3C8-140F31429CB9}" type="presParOf" srcId="{FD33380C-BFDF-1946-9940-946D859B56D8}" destId="{57C71D55-779D-7744-8CF7-3EBE9AC51731}" srcOrd="5" destOrd="0" presId="urn:microsoft.com/office/officeart/2009/3/layout/DescendingProcess"/>
    <dgm:cxn modelId="{699C42F0-0D94-0D4C-BF46-3A3391C50DC4}" type="presParOf" srcId="{57C71D55-779D-7744-8CF7-3EBE9AC51731}" destId="{6D33E871-525E-E04F-8F82-B705C8F03538}" srcOrd="0" destOrd="0" presId="urn:microsoft.com/office/officeart/2009/3/layout/DescendingProcess"/>
    <dgm:cxn modelId="{582A363F-51FB-6A49-8A60-3927B0A39BF4}" type="presParOf" srcId="{FD33380C-BFDF-1946-9940-946D859B56D8}" destId="{77D261B1-27B6-9645-B0AA-25C2ADE17EF5}" srcOrd="6" destOrd="0" presId="urn:microsoft.com/office/officeart/2009/3/layout/DescendingProcess"/>
  </dgm:cxnLst>
  <dgm:bg>
    <a:solidFill>
      <a:schemeClr val="tx2">
        <a:lumMod val="75000"/>
      </a:schemeClr>
    </a:solidFill>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7FFEE-17BD-704E-BC2E-C0A3A1536458}">
      <dsp:nvSpPr>
        <dsp:cNvPr id="0" name=""/>
        <dsp:cNvSpPr/>
      </dsp:nvSpPr>
      <dsp:spPr>
        <a:xfrm rot="4396374">
          <a:off x="1085812" y="690985"/>
          <a:ext cx="1864177" cy="1022292"/>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100D43-E862-7444-8011-DE97D45E2B35}">
      <dsp:nvSpPr>
        <dsp:cNvPr id="0" name=""/>
        <dsp:cNvSpPr/>
      </dsp:nvSpPr>
      <dsp:spPr>
        <a:xfrm>
          <a:off x="1847051" y="768638"/>
          <a:ext cx="57517" cy="57517"/>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33E871-525E-E04F-8F82-B705C8F03538}">
      <dsp:nvSpPr>
        <dsp:cNvPr id="0" name=""/>
        <dsp:cNvSpPr/>
      </dsp:nvSpPr>
      <dsp:spPr>
        <a:xfrm>
          <a:off x="2244632" y="1277681"/>
          <a:ext cx="57517" cy="57517"/>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F176F8-750D-F54F-9636-6ECD61A2C5BC}">
      <dsp:nvSpPr>
        <dsp:cNvPr id="0" name=""/>
        <dsp:cNvSpPr/>
      </dsp:nvSpPr>
      <dsp:spPr>
        <a:xfrm>
          <a:off x="354147" y="114085"/>
          <a:ext cx="1791936" cy="284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US" sz="1000" b="0" kern="1200">
              <a:solidFill>
                <a:srgbClr val="FFC000"/>
              </a:solidFill>
              <a:latin typeface="Optima" panose="02000503060000020004" pitchFamily="2" charset="0"/>
            </a:rPr>
            <a:t>The paradox when paying</a:t>
          </a:r>
          <a:br>
            <a:rPr lang="en-US" sz="1000" b="0" kern="1200">
              <a:solidFill>
                <a:srgbClr val="FFC000"/>
              </a:solidFill>
              <a:latin typeface="Optima" panose="02000503060000020004" pitchFamily="2" charset="0"/>
            </a:rPr>
          </a:br>
          <a:r>
            <a:rPr lang="en-US" sz="1000" b="0" kern="1200">
              <a:solidFill>
                <a:srgbClr val="FFC000"/>
              </a:solidFill>
              <a:latin typeface="Optima" panose="02000503060000020004" pitchFamily="2" charset="0"/>
            </a:rPr>
            <a:t>by hour of service.</a:t>
          </a:r>
        </a:p>
      </dsp:txBody>
      <dsp:txXfrm>
        <a:off x="354147" y="114085"/>
        <a:ext cx="1791936" cy="284156"/>
      </dsp:txXfrm>
    </dsp:sp>
    <dsp:sp modelId="{B7C575D0-8865-024F-BE60-D233D4E8EDBA}">
      <dsp:nvSpPr>
        <dsp:cNvPr id="0" name=""/>
        <dsp:cNvSpPr/>
      </dsp:nvSpPr>
      <dsp:spPr>
        <a:xfrm>
          <a:off x="1989839" y="488292"/>
          <a:ext cx="1858055" cy="422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Optima" panose="02000503060000020004" pitchFamily="2" charset="0"/>
            </a:rPr>
            <a:t>The more capable an organization, the less hours they need to deliver a service.</a:t>
          </a:r>
        </a:p>
      </dsp:txBody>
      <dsp:txXfrm>
        <a:off x="1989839" y="488292"/>
        <a:ext cx="1858055" cy="422148"/>
      </dsp:txXfrm>
    </dsp:sp>
    <dsp:sp modelId="{99474172-78F7-0F4F-8F4F-F347912C446E}">
      <dsp:nvSpPr>
        <dsp:cNvPr id="0" name=""/>
        <dsp:cNvSpPr/>
      </dsp:nvSpPr>
      <dsp:spPr>
        <a:xfrm>
          <a:off x="778625" y="1329618"/>
          <a:ext cx="1385513" cy="422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Optima" panose="02000503060000020004" pitchFamily="2" charset="0"/>
            </a:rPr>
            <a:t>The less hours of service delivered, the less billable hours.</a:t>
          </a:r>
        </a:p>
      </dsp:txBody>
      <dsp:txXfrm>
        <a:off x="778625" y="1329618"/>
        <a:ext cx="1385513" cy="422148"/>
      </dsp:txXfrm>
    </dsp:sp>
    <dsp:sp modelId="{77D261B1-27B6-9645-B0AA-25C2ADE17EF5}">
      <dsp:nvSpPr>
        <dsp:cNvPr id="0" name=""/>
        <dsp:cNvSpPr/>
      </dsp:nvSpPr>
      <dsp:spPr>
        <a:xfrm>
          <a:off x="1735394" y="2079294"/>
          <a:ext cx="1743958" cy="422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Optima" panose="02000503060000020004" pitchFamily="2" charset="0"/>
            </a:rPr>
            <a:t>The more capable organization receive less funding as a result of being more capable.</a:t>
          </a:r>
        </a:p>
      </dsp:txBody>
      <dsp:txXfrm>
        <a:off x="1735394" y="2079294"/>
        <a:ext cx="1743958" cy="4221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419DC-3149-484E-BF64-0717EF1CE0A0}">
      <dsp:nvSpPr>
        <dsp:cNvPr id="0" name=""/>
        <dsp:cNvSpPr/>
      </dsp:nvSpPr>
      <dsp:spPr>
        <a:xfrm rot="16200000">
          <a:off x="281178" y="-281178"/>
          <a:ext cx="850392" cy="1412748"/>
        </a:xfrm>
        <a:prstGeom prst="round1Rect">
          <a:avLst/>
        </a:prstGeom>
        <a:solidFill>
          <a:srgbClr val="18424E"/>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91440" rIns="0" bIns="0" numCol="1" spcCol="1270" anchor="ctr" anchorCtr="0">
          <a:noAutofit/>
        </a:bodyPr>
        <a:lstStyle/>
        <a:p>
          <a:pPr marL="0" lvl="0" indent="0" algn="ctr" defTabSz="488950">
            <a:lnSpc>
              <a:spcPct val="90000"/>
            </a:lnSpc>
            <a:spcBef>
              <a:spcPct val="0"/>
            </a:spcBef>
            <a:spcAft>
              <a:spcPct val="35000"/>
            </a:spcAft>
            <a:buNone/>
          </a:pPr>
          <a:r>
            <a:rPr lang="en-US" sz="1100" u="sng" kern="1200" baseline="0"/>
            <a:t>What</a:t>
          </a:r>
          <a:r>
            <a:rPr lang="en-US" sz="1100" kern="1200"/>
            <a:t> is paid for</a:t>
          </a:r>
        </a:p>
      </dsp:txBody>
      <dsp:txXfrm rot="5400000">
        <a:off x="-1" y="1"/>
        <a:ext cx="1412748" cy="637794"/>
      </dsp:txXfrm>
    </dsp:sp>
    <dsp:sp modelId="{BDBE136C-3860-7245-8C41-E65A6FE9DBDA}">
      <dsp:nvSpPr>
        <dsp:cNvPr id="0" name=""/>
        <dsp:cNvSpPr/>
      </dsp:nvSpPr>
      <dsp:spPr>
        <a:xfrm>
          <a:off x="1412748" y="0"/>
          <a:ext cx="1412748" cy="850392"/>
        </a:xfrm>
        <a:prstGeom prst="round1Rect">
          <a:avLst/>
        </a:prstGeom>
        <a:solidFill>
          <a:srgbClr val="18424E"/>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91440" rIns="0" bIns="0" numCol="1" spcCol="1270" anchor="ctr" anchorCtr="0">
          <a:noAutofit/>
        </a:bodyPr>
        <a:lstStyle/>
        <a:p>
          <a:pPr marL="0" lvl="0" indent="0" algn="ctr" defTabSz="488950">
            <a:lnSpc>
              <a:spcPct val="90000"/>
            </a:lnSpc>
            <a:spcBef>
              <a:spcPct val="0"/>
            </a:spcBef>
            <a:spcAft>
              <a:spcPct val="35000"/>
            </a:spcAft>
            <a:buNone/>
          </a:pPr>
          <a:r>
            <a:rPr lang="en-US" sz="1100" u="sng" kern="1200" baseline="0"/>
            <a:t>How</a:t>
          </a:r>
          <a:r>
            <a:rPr lang="en-US" sz="1100" kern="1200"/>
            <a:t> it is paid for</a:t>
          </a:r>
        </a:p>
      </dsp:txBody>
      <dsp:txXfrm>
        <a:off x="1412748" y="0"/>
        <a:ext cx="1412748" cy="637794"/>
      </dsp:txXfrm>
    </dsp:sp>
    <dsp:sp modelId="{88EBD4FB-D4F9-2649-B732-AA50178D7D88}">
      <dsp:nvSpPr>
        <dsp:cNvPr id="0" name=""/>
        <dsp:cNvSpPr/>
      </dsp:nvSpPr>
      <dsp:spPr>
        <a:xfrm rot="10800000">
          <a:off x="0" y="850392"/>
          <a:ext cx="1412748" cy="850392"/>
        </a:xfrm>
        <a:prstGeom prst="round1Rect">
          <a:avLst/>
        </a:prstGeom>
        <a:solidFill>
          <a:srgbClr val="18424E"/>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91440" rIns="0" bIns="0" numCol="1" spcCol="1270" anchor="t" anchorCtr="0">
          <a:noAutofit/>
        </a:bodyPr>
        <a:lstStyle/>
        <a:p>
          <a:pPr marL="0" lvl="0" indent="0" algn="ctr" defTabSz="488950">
            <a:lnSpc>
              <a:spcPct val="90000"/>
            </a:lnSpc>
            <a:spcBef>
              <a:spcPct val="0"/>
            </a:spcBef>
            <a:spcAft>
              <a:spcPct val="35000"/>
            </a:spcAft>
            <a:buNone/>
          </a:pPr>
          <a:r>
            <a:rPr lang="en-US" sz="1100" u="sng" kern="1200" baseline="0">
              <a:uFill>
                <a:solidFill>
                  <a:schemeClr val="bg1"/>
                </a:solidFill>
              </a:uFill>
            </a:rPr>
            <a:t>When</a:t>
          </a:r>
          <a:r>
            <a:rPr lang="en-US" sz="1100" kern="1200"/>
            <a:t> it is paid for</a:t>
          </a:r>
        </a:p>
      </dsp:txBody>
      <dsp:txXfrm rot="10800000">
        <a:off x="0" y="1062989"/>
        <a:ext cx="1412748" cy="637794"/>
      </dsp:txXfrm>
    </dsp:sp>
    <dsp:sp modelId="{3B15DF1C-D231-F14B-A9AF-20A1671A80CB}">
      <dsp:nvSpPr>
        <dsp:cNvPr id="0" name=""/>
        <dsp:cNvSpPr/>
      </dsp:nvSpPr>
      <dsp:spPr>
        <a:xfrm rot="5400000">
          <a:off x="1693926" y="569214"/>
          <a:ext cx="850392" cy="1412748"/>
        </a:xfrm>
        <a:prstGeom prst="round1Rect">
          <a:avLst/>
        </a:prstGeom>
        <a:solidFill>
          <a:srgbClr val="18424E"/>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91440" rIns="0" bIns="0" numCol="1" spcCol="1270" anchor="t" anchorCtr="0">
          <a:noAutofit/>
        </a:bodyPr>
        <a:lstStyle/>
        <a:p>
          <a:pPr marL="0" lvl="0" indent="0" algn="ctr" defTabSz="488950">
            <a:lnSpc>
              <a:spcPct val="90000"/>
            </a:lnSpc>
            <a:spcBef>
              <a:spcPct val="0"/>
            </a:spcBef>
            <a:spcAft>
              <a:spcPct val="35000"/>
            </a:spcAft>
            <a:buNone/>
          </a:pPr>
          <a:r>
            <a:rPr lang="en-US" sz="1100" u="sng" kern="1200" baseline="0"/>
            <a:t>How</a:t>
          </a:r>
          <a:r>
            <a:rPr lang="en-US" sz="1100" kern="1200"/>
            <a:t> much is paid</a:t>
          </a:r>
        </a:p>
      </dsp:txBody>
      <dsp:txXfrm rot="-5400000">
        <a:off x="1412748" y="1062989"/>
        <a:ext cx="1412748" cy="637794"/>
      </dsp:txXfrm>
    </dsp:sp>
    <dsp:sp modelId="{74281597-ADA5-2C41-8E8E-E692FA935824}">
      <dsp:nvSpPr>
        <dsp:cNvPr id="0" name=""/>
        <dsp:cNvSpPr/>
      </dsp:nvSpPr>
      <dsp:spPr>
        <a:xfrm>
          <a:off x="489026" y="722896"/>
          <a:ext cx="1847442" cy="234589"/>
        </a:xfrm>
        <a:prstGeom prst="roundRect">
          <a:avLst/>
        </a:prstGeom>
        <a:solidFill>
          <a:srgbClr val="FFFFFF"/>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Reimbursement Rate</a:t>
          </a:r>
        </a:p>
      </dsp:txBody>
      <dsp:txXfrm>
        <a:off x="500478" y="734348"/>
        <a:ext cx="1824538" cy="2116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92B0F-62DC-437F-9A16-5698C752BFB3}">
      <dsp:nvSpPr>
        <dsp:cNvPr id="0" name=""/>
        <dsp:cNvSpPr/>
      </dsp:nvSpPr>
      <dsp:spPr>
        <a:xfrm>
          <a:off x="385704" y="-9589"/>
          <a:ext cx="2433436" cy="2433436"/>
        </a:xfrm>
        <a:prstGeom prst="circularArrow">
          <a:avLst>
            <a:gd name="adj1" fmla="val 5544"/>
            <a:gd name="adj2" fmla="val 330680"/>
            <a:gd name="adj3" fmla="val 13967937"/>
            <a:gd name="adj4" fmla="val 17270181"/>
            <a:gd name="adj5" fmla="val 5757"/>
          </a:avLst>
        </a:prstGeom>
        <a:solidFill>
          <a:schemeClr val="dk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B6987E3-B0C7-4C99-BF3D-0A010D475161}">
      <dsp:nvSpPr>
        <dsp:cNvPr id="0" name=""/>
        <dsp:cNvSpPr/>
      </dsp:nvSpPr>
      <dsp:spPr>
        <a:xfrm>
          <a:off x="1080539" y="33881"/>
          <a:ext cx="1043765" cy="4572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Less DSPs Needed</a:t>
          </a:r>
        </a:p>
      </dsp:txBody>
      <dsp:txXfrm>
        <a:off x="1102858" y="56200"/>
        <a:ext cx="999127" cy="412562"/>
      </dsp:txXfrm>
    </dsp:sp>
    <dsp:sp modelId="{67E731E7-84C3-4DA0-A62D-7DD45BFF9987}">
      <dsp:nvSpPr>
        <dsp:cNvPr id="0" name=""/>
        <dsp:cNvSpPr/>
      </dsp:nvSpPr>
      <dsp:spPr>
        <a:xfrm>
          <a:off x="2038263" y="877398"/>
          <a:ext cx="1043765" cy="4572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Less Vacancies &amp; OT Costs </a:t>
          </a:r>
        </a:p>
      </dsp:txBody>
      <dsp:txXfrm>
        <a:off x="2060582" y="899717"/>
        <a:ext cx="999127" cy="412562"/>
      </dsp:txXfrm>
    </dsp:sp>
    <dsp:sp modelId="{386F605A-7086-4C16-8B54-FE1F2A488D7E}">
      <dsp:nvSpPr>
        <dsp:cNvPr id="0" name=""/>
        <dsp:cNvSpPr/>
      </dsp:nvSpPr>
      <dsp:spPr>
        <a:xfrm>
          <a:off x="1650573" y="1911122"/>
          <a:ext cx="1123603" cy="4572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DSPs Can Be Paid More</a:t>
          </a:r>
        </a:p>
      </dsp:txBody>
      <dsp:txXfrm>
        <a:off x="1672892" y="1933441"/>
        <a:ext cx="1078965" cy="412562"/>
      </dsp:txXfrm>
    </dsp:sp>
    <dsp:sp modelId="{522616D9-B18E-4896-8E66-55E920A4A3F2}">
      <dsp:nvSpPr>
        <dsp:cNvPr id="0" name=""/>
        <dsp:cNvSpPr/>
      </dsp:nvSpPr>
      <dsp:spPr>
        <a:xfrm>
          <a:off x="450364" y="1911122"/>
          <a:ext cx="1084211" cy="4572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More Selective Recruitment</a:t>
          </a:r>
        </a:p>
      </dsp:txBody>
      <dsp:txXfrm>
        <a:off x="472683" y="1933441"/>
        <a:ext cx="1039573" cy="412562"/>
      </dsp:txXfrm>
    </dsp:sp>
    <dsp:sp modelId="{E36B1754-5BD0-47E5-978F-77BCB1CE3604}">
      <dsp:nvSpPr>
        <dsp:cNvPr id="0" name=""/>
        <dsp:cNvSpPr/>
      </dsp:nvSpPr>
      <dsp:spPr>
        <a:xfrm>
          <a:off x="122820" y="896850"/>
          <a:ext cx="1043765" cy="4572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Increased DSP Longevity</a:t>
          </a:r>
        </a:p>
      </dsp:txBody>
      <dsp:txXfrm>
        <a:off x="145139" y="919169"/>
        <a:ext cx="999127" cy="4125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7FFEE-17BD-704E-BC2E-C0A3A1536458}">
      <dsp:nvSpPr>
        <dsp:cNvPr id="0" name=""/>
        <dsp:cNvSpPr/>
      </dsp:nvSpPr>
      <dsp:spPr>
        <a:xfrm rot="4396374">
          <a:off x="1085812" y="690985"/>
          <a:ext cx="1864177" cy="1022292"/>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100D43-E862-7444-8011-DE97D45E2B35}">
      <dsp:nvSpPr>
        <dsp:cNvPr id="0" name=""/>
        <dsp:cNvSpPr/>
      </dsp:nvSpPr>
      <dsp:spPr>
        <a:xfrm>
          <a:off x="1847051" y="768638"/>
          <a:ext cx="57517" cy="57517"/>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33E871-525E-E04F-8F82-B705C8F03538}">
      <dsp:nvSpPr>
        <dsp:cNvPr id="0" name=""/>
        <dsp:cNvSpPr/>
      </dsp:nvSpPr>
      <dsp:spPr>
        <a:xfrm>
          <a:off x="2244632" y="1277681"/>
          <a:ext cx="57517" cy="57517"/>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F176F8-750D-F54F-9636-6ECD61A2C5BC}">
      <dsp:nvSpPr>
        <dsp:cNvPr id="0" name=""/>
        <dsp:cNvSpPr/>
      </dsp:nvSpPr>
      <dsp:spPr>
        <a:xfrm>
          <a:off x="354147" y="114085"/>
          <a:ext cx="1791936" cy="284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US" sz="1000" b="0" kern="1200">
              <a:solidFill>
                <a:srgbClr val="FFC000"/>
              </a:solidFill>
              <a:latin typeface="Optima" panose="02000503060000020004" pitchFamily="2" charset="0"/>
            </a:rPr>
            <a:t>The paradox when paying</a:t>
          </a:r>
          <a:br>
            <a:rPr lang="en-US" sz="1000" b="0" kern="1200">
              <a:solidFill>
                <a:srgbClr val="FFC000"/>
              </a:solidFill>
              <a:latin typeface="Optima" panose="02000503060000020004" pitchFamily="2" charset="0"/>
            </a:rPr>
          </a:br>
          <a:r>
            <a:rPr lang="en-US" sz="1000" b="0" kern="1200">
              <a:solidFill>
                <a:srgbClr val="FFC000"/>
              </a:solidFill>
              <a:latin typeface="Optima" panose="02000503060000020004" pitchFamily="2" charset="0"/>
            </a:rPr>
            <a:t>by hour of service.</a:t>
          </a:r>
        </a:p>
      </dsp:txBody>
      <dsp:txXfrm>
        <a:off x="354147" y="114085"/>
        <a:ext cx="1791936" cy="284156"/>
      </dsp:txXfrm>
    </dsp:sp>
    <dsp:sp modelId="{B7C575D0-8865-024F-BE60-D233D4E8EDBA}">
      <dsp:nvSpPr>
        <dsp:cNvPr id="0" name=""/>
        <dsp:cNvSpPr/>
      </dsp:nvSpPr>
      <dsp:spPr>
        <a:xfrm>
          <a:off x="1989839" y="488292"/>
          <a:ext cx="1858055" cy="422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Optima" panose="02000503060000020004" pitchFamily="2" charset="0"/>
            </a:rPr>
            <a:t>The more capable an organization, the less hours they need to deliver a service.</a:t>
          </a:r>
        </a:p>
      </dsp:txBody>
      <dsp:txXfrm>
        <a:off x="1989839" y="488292"/>
        <a:ext cx="1858055" cy="422148"/>
      </dsp:txXfrm>
    </dsp:sp>
    <dsp:sp modelId="{99474172-78F7-0F4F-8F4F-F347912C446E}">
      <dsp:nvSpPr>
        <dsp:cNvPr id="0" name=""/>
        <dsp:cNvSpPr/>
      </dsp:nvSpPr>
      <dsp:spPr>
        <a:xfrm>
          <a:off x="778625" y="1329618"/>
          <a:ext cx="1385513" cy="422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Optima" panose="02000503060000020004" pitchFamily="2" charset="0"/>
            </a:rPr>
            <a:t>The less hours of service delivered, the less billable hours.</a:t>
          </a:r>
        </a:p>
      </dsp:txBody>
      <dsp:txXfrm>
        <a:off x="778625" y="1329618"/>
        <a:ext cx="1385513" cy="422148"/>
      </dsp:txXfrm>
    </dsp:sp>
    <dsp:sp modelId="{77D261B1-27B6-9645-B0AA-25C2ADE17EF5}">
      <dsp:nvSpPr>
        <dsp:cNvPr id="0" name=""/>
        <dsp:cNvSpPr/>
      </dsp:nvSpPr>
      <dsp:spPr>
        <a:xfrm>
          <a:off x="1735394" y="2079294"/>
          <a:ext cx="1743958" cy="422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Optima" panose="02000503060000020004" pitchFamily="2" charset="0"/>
            </a:rPr>
            <a:t>The more capable organization receive less funding as a result of being more capable.</a:t>
          </a:r>
        </a:p>
      </dsp:txBody>
      <dsp:txXfrm>
        <a:off x="1735394" y="2079294"/>
        <a:ext cx="1743958" cy="422148"/>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BF2142D3899E4FA64FA904995B20E7" ma:contentTypeVersion="6" ma:contentTypeDescription="Create a new document." ma:contentTypeScope="" ma:versionID="391912b8368a14d7867024e2a1ab63c8">
  <xsd:schema xmlns:xsd="http://www.w3.org/2001/XMLSchema" xmlns:xs="http://www.w3.org/2001/XMLSchema" xmlns:p="http://schemas.microsoft.com/office/2006/metadata/properties" xmlns:ns3="26178ff2-5184-45d5-8653-d8cafac8b8ff" targetNamespace="http://schemas.microsoft.com/office/2006/metadata/properties" ma:root="true" ma:fieldsID="71ddeb6b59444b41a333f7a399f5bd8b" ns3:_="">
    <xsd:import namespace="26178ff2-5184-45d5-8653-d8cafac8b8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78ff2-5184-45d5-8653-d8cafac8b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90EB29-D568-4CE8-937F-8B435487840D}">
  <ds:schemaRefs>
    <ds:schemaRef ds:uri="http://schemas.openxmlformats.org/officeDocument/2006/bibliography"/>
  </ds:schemaRefs>
</ds:datastoreItem>
</file>

<file path=customXml/itemProps2.xml><?xml version="1.0" encoding="utf-8"?>
<ds:datastoreItem xmlns:ds="http://schemas.openxmlformats.org/officeDocument/2006/customXml" ds:itemID="{780E9EF7-0906-4B3E-91BC-62058EF994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5C3E44-8F2A-4536-9BDE-7998D70601EC}">
  <ds:schemaRefs>
    <ds:schemaRef ds:uri="http://schemas.microsoft.com/sharepoint/v3/contenttype/forms"/>
  </ds:schemaRefs>
</ds:datastoreItem>
</file>

<file path=customXml/itemProps4.xml><?xml version="1.0" encoding="utf-8"?>
<ds:datastoreItem xmlns:ds="http://schemas.openxmlformats.org/officeDocument/2006/customXml" ds:itemID="{DF74BDCF-20A6-4620-AB90-68FA177EF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78ff2-5184-45d5-8653-d8cafac8b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42583</Words>
  <Characters>242726</Characters>
  <Application>Microsoft Office Word</Application>
  <DocSecurity>12</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2021-04-11T17:30:00Z</cp:lastPrinted>
  <dcterms:created xsi:type="dcterms:W3CDTF">2021-05-04T21:43:00Z</dcterms:created>
  <dcterms:modified xsi:type="dcterms:W3CDTF">2021-05-04T21:43:00Z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0x010100C1BF2142D3899E4FA64FA904995B20E7</vt:lpwstr>
  </property>
</Properties>
</file>