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CF7F51" w14:textId="7A49B3D6" w:rsidR="00721C93" w:rsidRDefault="00051268" w:rsidP="00721C93">
      <w:pPr>
        <w:pStyle w:val="Heading1"/>
        <w:contextualSpacing/>
        <w:jc w:val="center"/>
        <w:rPr>
          <w:b/>
          <w:bCs/>
          <w:color w:val="1F4E79" w:themeColor="accent1" w:themeShade="80"/>
          <w:sz w:val="36"/>
          <w:szCs w:val="36"/>
        </w:rPr>
      </w:pPr>
      <w:r w:rsidRPr="00741C79">
        <w:rPr>
          <w:b/>
          <w:bCs/>
          <w:color w:val="1F4E79" w:themeColor="accent1" w:themeShade="80"/>
          <w:sz w:val="36"/>
          <w:szCs w:val="36"/>
        </w:rPr>
        <w:t xml:space="preserve">Workforce Systems </w:t>
      </w:r>
      <w:r w:rsidR="00490E9E" w:rsidRPr="00741C79">
        <w:rPr>
          <w:b/>
          <w:bCs/>
          <w:color w:val="1F4E79" w:themeColor="accent1" w:themeShade="80"/>
          <w:sz w:val="36"/>
          <w:szCs w:val="36"/>
        </w:rPr>
        <w:t xml:space="preserve">Can Leverage </w:t>
      </w:r>
      <w:r w:rsidR="007A3F1F" w:rsidRPr="00741C79">
        <w:rPr>
          <w:b/>
          <w:bCs/>
          <w:color w:val="1F4E79" w:themeColor="accent1" w:themeShade="80"/>
          <w:sz w:val="36"/>
          <w:szCs w:val="36"/>
        </w:rPr>
        <w:t>Bank</w:t>
      </w:r>
      <w:r w:rsidR="00490E9E" w:rsidRPr="00741C79">
        <w:rPr>
          <w:b/>
          <w:bCs/>
          <w:color w:val="1F4E79" w:themeColor="accent1" w:themeShade="80"/>
          <w:sz w:val="36"/>
          <w:szCs w:val="36"/>
        </w:rPr>
        <w:t xml:space="preserve"> Resource</w:t>
      </w:r>
      <w:r w:rsidRPr="00741C79">
        <w:rPr>
          <w:b/>
          <w:bCs/>
          <w:color w:val="1F4E79" w:themeColor="accent1" w:themeShade="80"/>
          <w:sz w:val="36"/>
          <w:szCs w:val="36"/>
        </w:rPr>
        <w:t>s</w:t>
      </w:r>
      <w:r w:rsidR="0051108B" w:rsidRPr="00741C79">
        <w:rPr>
          <w:b/>
          <w:bCs/>
          <w:color w:val="1F4E79" w:themeColor="accent1" w:themeShade="80"/>
          <w:sz w:val="36"/>
          <w:szCs w:val="36"/>
        </w:rPr>
        <w:t xml:space="preserve"> </w:t>
      </w:r>
      <w:r w:rsidR="00490E9E" w:rsidRPr="00741C79">
        <w:rPr>
          <w:b/>
          <w:bCs/>
          <w:color w:val="1F4E79" w:themeColor="accent1" w:themeShade="80"/>
          <w:sz w:val="36"/>
          <w:szCs w:val="36"/>
        </w:rPr>
        <w:t>to</w:t>
      </w:r>
      <w:r w:rsidR="00473509" w:rsidRPr="00741C79">
        <w:rPr>
          <w:b/>
          <w:bCs/>
          <w:color w:val="1F4E79" w:themeColor="accent1" w:themeShade="80"/>
          <w:sz w:val="36"/>
          <w:szCs w:val="36"/>
        </w:rPr>
        <w:t xml:space="preserve"> </w:t>
      </w:r>
      <w:r w:rsidR="006E4A98" w:rsidRPr="00741C79">
        <w:rPr>
          <w:b/>
          <w:bCs/>
          <w:color w:val="1F4E79" w:themeColor="accent1" w:themeShade="80"/>
          <w:sz w:val="36"/>
          <w:szCs w:val="36"/>
        </w:rPr>
        <w:t xml:space="preserve">Improve </w:t>
      </w:r>
      <w:r w:rsidR="00721C93">
        <w:rPr>
          <w:b/>
          <w:bCs/>
          <w:color w:val="1F4E79" w:themeColor="accent1" w:themeShade="80"/>
          <w:sz w:val="36"/>
          <w:szCs w:val="36"/>
        </w:rPr>
        <w:t>Economic Self-S</w:t>
      </w:r>
      <w:r w:rsidR="006E48D3" w:rsidRPr="00741C79">
        <w:rPr>
          <w:b/>
          <w:bCs/>
          <w:color w:val="1F4E79" w:themeColor="accent1" w:themeShade="80"/>
          <w:sz w:val="36"/>
          <w:szCs w:val="36"/>
        </w:rPr>
        <w:t xml:space="preserve">ufficiency and </w:t>
      </w:r>
      <w:r w:rsidR="006E4A98" w:rsidRPr="00741C79">
        <w:rPr>
          <w:b/>
          <w:bCs/>
          <w:color w:val="1F4E79" w:themeColor="accent1" w:themeShade="80"/>
          <w:sz w:val="36"/>
          <w:szCs w:val="36"/>
        </w:rPr>
        <w:t xml:space="preserve">Employment Outcomes for </w:t>
      </w:r>
    </w:p>
    <w:p w14:paraId="6B436851" w14:textId="4D32000E" w:rsidR="00BA2576" w:rsidRPr="00721C93" w:rsidRDefault="006E48D3" w:rsidP="00721C93">
      <w:pPr>
        <w:pStyle w:val="Heading1"/>
        <w:contextualSpacing/>
        <w:jc w:val="center"/>
        <w:rPr>
          <w:b/>
          <w:bCs/>
          <w:color w:val="1F4E79" w:themeColor="accent1" w:themeShade="80"/>
          <w:sz w:val="36"/>
          <w:szCs w:val="36"/>
        </w:rPr>
      </w:pPr>
      <w:r w:rsidRPr="00741C79">
        <w:rPr>
          <w:b/>
          <w:bCs/>
          <w:color w:val="1F4E79" w:themeColor="accent1" w:themeShade="80"/>
          <w:sz w:val="36"/>
          <w:szCs w:val="36"/>
        </w:rPr>
        <w:t>Low- and Moderate-</w:t>
      </w:r>
      <w:r w:rsidR="00721C93">
        <w:rPr>
          <w:b/>
          <w:bCs/>
          <w:color w:val="1F4E79" w:themeColor="accent1" w:themeShade="80"/>
          <w:sz w:val="36"/>
          <w:szCs w:val="36"/>
        </w:rPr>
        <w:t>I</w:t>
      </w:r>
      <w:r w:rsidRPr="00741C79">
        <w:rPr>
          <w:b/>
          <w:bCs/>
          <w:color w:val="1F4E79" w:themeColor="accent1" w:themeShade="80"/>
          <w:sz w:val="36"/>
          <w:szCs w:val="36"/>
        </w:rPr>
        <w:t xml:space="preserve">ncome Individuals </w:t>
      </w:r>
    </w:p>
    <w:p w14:paraId="3F0145CF" w14:textId="77777777" w:rsidR="001C080D" w:rsidRPr="004B4621" w:rsidRDefault="006D7AE7" w:rsidP="00A67D4C">
      <w:pPr>
        <w:pStyle w:val="Heading1"/>
        <w:spacing w:after="60"/>
        <w:rPr>
          <w:b/>
          <w:bCs/>
          <w:color w:val="1F4E79" w:themeColor="accent1" w:themeShade="80"/>
          <w:sz w:val="36"/>
        </w:rPr>
      </w:pPr>
      <w:r w:rsidRPr="004B4621">
        <w:rPr>
          <w:b/>
          <w:bCs/>
          <w:color w:val="1F4E79" w:themeColor="accent1" w:themeShade="80"/>
          <w:sz w:val="28"/>
          <w:szCs w:val="26"/>
        </w:rPr>
        <w:t>The Opportunity</w:t>
      </w:r>
    </w:p>
    <w:p w14:paraId="2EDFE0FB" w14:textId="568F0A87" w:rsidR="00B83210" w:rsidRPr="00741C79" w:rsidRDefault="00947A57" w:rsidP="23A50F98">
      <w:pPr>
        <w:rPr>
          <w:sz w:val="24"/>
          <w:szCs w:val="24"/>
        </w:rPr>
      </w:pPr>
      <w:r w:rsidRPr="00741C79">
        <w:rPr>
          <w:sz w:val="24"/>
          <w:szCs w:val="24"/>
        </w:rPr>
        <w:t>Households with a</w:t>
      </w:r>
      <w:r w:rsidR="00916207" w:rsidRPr="00741C79">
        <w:rPr>
          <w:sz w:val="24"/>
          <w:szCs w:val="24"/>
        </w:rPr>
        <w:t>n individual with a</w:t>
      </w:r>
      <w:r w:rsidRPr="00741C79">
        <w:rPr>
          <w:sz w:val="24"/>
          <w:szCs w:val="24"/>
        </w:rPr>
        <w:t xml:space="preserve"> disability have lower incomes and </w:t>
      </w:r>
      <w:r w:rsidR="004B3136" w:rsidRPr="00741C79">
        <w:rPr>
          <w:sz w:val="24"/>
          <w:szCs w:val="24"/>
        </w:rPr>
        <w:t>are more likely to be “unbanked</w:t>
      </w:r>
      <w:r w:rsidR="00B96460" w:rsidRPr="00741C79">
        <w:rPr>
          <w:sz w:val="24"/>
          <w:szCs w:val="24"/>
        </w:rPr>
        <w:t>,</w:t>
      </w:r>
      <w:r w:rsidR="004B3136" w:rsidRPr="00741C79">
        <w:rPr>
          <w:sz w:val="24"/>
          <w:szCs w:val="24"/>
        </w:rPr>
        <w:t>” meaning that no one in the household has a checking or savings account</w:t>
      </w:r>
      <w:r w:rsidR="46651865" w:rsidRPr="00741C79">
        <w:rPr>
          <w:sz w:val="24"/>
          <w:szCs w:val="24"/>
        </w:rPr>
        <w:t>.</w:t>
      </w:r>
      <w:r w:rsidR="00326FBB">
        <w:rPr>
          <w:rStyle w:val="EndnoteReference"/>
          <w:sz w:val="24"/>
          <w:szCs w:val="24"/>
        </w:rPr>
        <w:endnoteReference w:id="1"/>
      </w:r>
      <w:r w:rsidR="00B83210" w:rsidRPr="00741C79">
        <w:rPr>
          <w:sz w:val="24"/>
          <w:szCs w:val="24"/>
        </w:rPr>
        <w:t xml:space="preserve"> Unbanked individuals report that they are often hindered from using banking services by required minimum daily checking balances, poor credit, low availability of bank branches in some communities and other reasons, making them more susceptible to predatory lending practices.</w:t>
      </w:r>
      <w:r w:rsidR="00326FBB">
        <w:rPr>
          <w:rStyle w:val="EndnoteReference"/>
          <w:sz w:val="24"/>
          <w:szCs w:val="24"/>
        </w:rPr>
        <w:endnoteReference w:id="2"/>
      </w:r>
      <w:r w:rsidR="00B83210" w:rsidRPr="00741C79">
        <w:rPr>
          <w:sz w:val="24"/>
          <w:szCs w:val="24"/>
        </w:rPr>
        <w:t xml:space="preserve"> Being “banked” is a critical component of financial capability, however, people of color with disabilities are less likely to access traditional banking services than their white counterparts</w:t>
      </w:r>
      <w:r w:rsidR="00A664A2" w:rsidRPr="00741C79">
        <w:rPr>
          <w:sz w:val="24"/>
          <w:szCs w:val="24"/>
        </w:rPr>
        <w:t>.</w:t>
      </w:r>
      <w:r w:rsidR="00326FBB">
        <w:rPr>
          <w:rStyle w:val="EndnoteReference"/>
          <w:sz w:val="24"/>
          <w:szCs w:val="24"/>
        </w:rPr>
        <w:endnoteReference w:id="3"/>
      </w:r>
      <w:r w:rsidR="00A664A2" w:rsidRPr="00741C79">
        <w:rPr>
          <w:sz w:val="24"/>
          <w:szCs w:val="24"/>
        </w:rPr>
        <w:t xml:space="preserve"> Furthermore, while working-age people with disabilities are much less likely to be employed than people without disabilities in all racial and ethnic groups, </w:t>
      </w:r>
      <w:r w:rsidR="00B83210" w:rsidRPr="00741C79">
        <w:rPr>
          <w:sz w:val="24"/>
          <w:szCs w:val="24"/>
        </w:rPr>
        <w:t>Black families that include a working</w:t>
      </w:r>
      <w:r w:rsidR="0097156B" w:rsidRPr="00741C79">
        <w:rPr>
          <w:sz w:val="24"/>
          <w:szCs w:val="24"/>
        </w:rPr>
        <w:t>-</w:t>
      </w:r>
      <w:r w:rsidR="00B83210" w:rsidRPr="00741C79">
        <w:rPr>
          <w:sz w:val="24"/>
          <w:szCs w:val="24"/>
        </w:rPr>
        <w:t>age member with a disability experience the lowest rates of employment.</w:t>
      </w:r>
      <w:r w:rsidR="00326FBB">
        <w:rPr>
          <w:rStyle w:val="EndnoteReference"/>
          <w:sz w:val="24"/>
          <w:szCs w:val="24"/>
        </w:rPr>
        <w:endnoteReference w:id="4"/>
      </w:r>
    </w:p>
    <w:p w14:paraId="5DC6BB4C" w14:textId="0B543A25" w:rsidR="00B83210" w:rsidRDefault="00B83210" w:rsidP="2E21C7A3">
      <w:pPr>
        <w:rPr>
          <w:b/>
          <w:bCs/>
          <w:sz w:val="24"/>
          <w:szCs w:val="24"/>
        </w:rPr>
      </w:pPr>
      <w:r w:rsidRPr="00741C79">
        <w:rPr>
          <w:sz w:val="24"/>
          <w:szCs w:val="24"/>
        </w:rPr>
        <w:t>A 1977 federal law called the Community Reinvestment Act (CRA) encourages banks to conduct activities and make investments to benefit low- and moderate-income individuals and neighborhoods, including workforce development-related activities for people with disabilities.</w:t>
      </w:r>
      <w:r w:rsidR="00326FBB">
        <w:rPr>
          <w:rStyle w:val="EndnoteReference"/>
          <w:sz w:val="24"/>
          <w:szCs w:val="24"/>
        </w:rPr>
        <w:endnoteReference w:id="5"/>
      </w:r>
      <w:r w:rsidRPr="00741C79">
        <w:rPr>
          <w:sz w:val="24"/>
          <w:szCs w:val="24"/>
        </w:rPr>
        <w:t xml:space="preserve"> </w:t>
      </w:r>
      <w:r w:rsidRPr="00741C79">
        <w:rPr>
          <w:b/>
          <w:bCs/>
          <w:sz w:val="24"/>
          <w:szCs w:val="24"/>
        </w:rPr>
        <w:t>CRA activities can take many forms, from the development of financial services career pathways to financial education conducted by bank employees.</w:t>
      </w:r>
      <w:r w:rsidR="00055F71">
        <w:rPr>
          <w:rStyle w:val="EndnoteReference"/>
          <w:b/>
          <w:bCs/>
          <w:sz w:val="24"/>
          <w:szCs w:val="24"/>
        </w:rPr>
        <w:endnoteReference w:id="6"/>
      </w:r>
    </w:p>
    <w:p w14:paraId="2C0C42B4" w14:textId="77777777" w:rsidR="00B83210" w:rsidRPr="00741C79" w:rsidRDefault="00B83210" w:rsidP="005B66D2">
      <w:pPr>
        <w:rPr>
          <w:rFonts w:cstheme="minorHAnsi"/>
          <w:sz w:val="24"/>
        </w:rPr>
      </w:pPr>
      <w:r w:rsidRPr="00741C79">
        <w:rPr>
          <w:rFonts w:cstheme="minorHAnsi"/>
          <w:sz w:val="24"/>
        </w:rPr>
        <w:t xml:space="preserve">We developed this FAQ for workforce development boards and their staff members, community colleges, and others who provide workforce services. It provides answers to the frequently asked questions about workforce system–bank partnerships listed below. </w:t>
      </w:r>
    </w:p>
    <w:tbl>
      <w:tblPr>
        <w:tblStyle w:val="ListTable7Colorful-Accent5"/>
        <w:tblW w:w="9435" w:type="dxa"/>
        <w:tblLook w:val="0020" w:firstRow="1" w:lastRow="0" w:firstColumn="0" w:lastColumn="0" w:noHBand="0" w:noVBand="0"/>
      </w:tblPr>
      <w:tblGrid>
        <w:gridCol w:w="4755"/>
        <w:gridCol w:w="4680"/>
      </w:tblGrid>
      <w:tr w:rsidR="00B83210" w:rsidRPr="00741C79" w14:paraId="40B233B2" w14:textId="77777777" w:rsidTr="008E2211">
        <w:trPr>
          <w:cnfStyle w:val="100000000000" w:firstRow="1" w:lastRow="0" w:firstColumn="0" w:lastColumn="0" w:oddVBand="0" w:evenVBand="0" w:oddHBand="0" w:evenHBand="0" w:firstRowFirstColumn="0" w:firstRowLastColumn="0" w:lastRowFirstColumn="0" w:lastRowLastColumn="0"/>
          <w:trHeight w:val="366"/>
        </w:trPr>
        <w:tc>
          <w:tcPr>
            <w:cnfStyle w:val="000010000000" w:firstRow="0" w:lastRow="0" w:firstColumn="0" w:lastColumn="0" w:oddVBand="1" w:evenVBand="0" w:oddHBand="0" w:evenHBand="0" w:firstRowFirstColumn="0" w:firstRowLastColumn="0" w:lastRowFirstColumn="0" w:lastRowLastColumn="0"/>
            <w:tcW w:w="9435" w:type="dxa"/>
            <w:gridSpan w:val="2"/>
            <w:tcBorders>
              <w:top w:val="double" w:sz="4" w:space="0" w:color="5B9BD5" w:themeColor="accent1"/>
              <w:left w:val="double" w:sz="4" w:space="0" w:color="5B9BD5" w:themeColor="accent1"/>
              <w:right w:val="double" w:sz="4" w:space="0" w:color="5B9BD5" w:themeColor="accent1"/>
            </w:tcBorders>
            <w:vAlign w:val="center"/>
          </w:tcPr>
          <w:p w14:paraId="6D67C309" w14:textId="77777777" w:rsidR="00B83210" w:rsidRPr="00741C79" w:rsidRDefault="00B83210" w:rsidP="00DD03F1">
            <w:pPr>
              <w:jc w:val="center"/>
              <w:rPr>
                <w:b/>
                <w:bCs/>
                <w:i w:val="0"/>
                <w:iCs w:val="0"/>
                <w:color w:val="1F4E79"/>
                <w:sz w:val="28"/>
              </w:rPr>
            </w:pPr>
            <w:r w:rsidRPr="00741C79">
              <w:rPr>
                <w:b/>
                <w:bCs/>
                <w:i w:val="0"/>
                <w:iCs w:val="0"/>
                <w:color w:val="1F4E79"/>
                <w:sz w:val="28"/>
              </w:rPr>
              <w:t>FREQUENTLY ASKED QUESTIONS</w:t>
            </w:r>
          </w:p>
        </w:tc>
      </w:tr>
      <w:tr w:rsidR="00B83210" w:rsidRPr="00741C79" w14:paraId="59A00276" w14:textId="77777777" w:rsidTr="00A53A71">
        <w:trPr>
          <w:cnfStyle w:val="000000100000" w:firstRow="0" w:lastRow="0" w:firstColumn="0" w:lastColumn="0" w:oddVBand="0" w:evenVBand="0" w:oddHBand="1" w:evenHBand="0" w:firstRowFirstColumn="0" w:firstRowLastColumn="0" w:lastRowFirstColumn="0" w:lastRowLastColumn="0"/>
          <w:trHeight w:val="782"/>
        </w:trPr>
        <w:tc>
          <w:tcPr>
            <w:cnfStyle w:val="000010000000" w:firstRow="0" w:lastRow="0" w:firstColumn="0" w:lastColumn="0" w:oddVBand="1" w:evenVBand="0" w:oddHBand="0" w:evenHBand="0" w:firstRowFirstColumn="0" w:firstRowLastColumn="0" w:lastRowFirstColumn="0" w:lastRowLastColumn="0"/>
            <w:tcW w:w="4755" w:type="dxa"/>
            <w:tcBorders>
              <w:top w:val="double" w:sz="4" w:space="0" w:color="5B9BD5" w:themeColor="accent1"/>
              <w:left w:val="double" w:sz="4" w:space="0" w:color="5B9BD5" w:themeColor="accent1"/>
            </w:tcBorders>
            <w:shd w:val="clear" w:color="auto" w:fill="EDEDED" w:themeFill="accent3" w:themeFillTint="33"/>
            <w:vAlign w:val="center"/>
          </w:tcPr>
          <w:p w14:paraId="65DCA20F" w14:textId="77777777" w:rsidR="00B83210" w:rsidRDefault="002C790F" w:rsidP="00721C93">
            <w:pPr>
              <w:rPr>
                <w:rStyle w:val="Hyperlink"/>
                <w:rFonts w:ascii="Calibri" w:hAnsi="Calibri" w:cs="Calibri"/>
                <w:sz w:val="28"/>
                <w:szCs w:val="24"/>
              </w:rPr>
            </w:pPr>
            <w:hyperlink w:anchor="_What_is_the" w:history="1">
              <w:r w:rsidR="00B83210" w:rsidRPr="00741C79">
                <w:rPr>
                  <w:rStyle w:val="Hyperlink"/>
                  <w:rFonts w:ascii="Calibri" w:hAnsi="Calibri" w:cs="Calibri"/>
                  <w:sz w:val="28"/>
                  <w:szCs w:val="24"/>
                </w:rPr>
                <w:t>What is the Community Reinvestment Act?</w:t>
              </w:r>
            </w:hyperlink>
          </w:p>
          <w:p w14:paraId="0F75FE39" w14:textId="6860D51D" w:rsidR="00721C93" w:rsidRPr="00741C79" w:rsidRDefault="00721C93" w:rsidP="00721C93">
            <w:pPr>
              <w:rPr>
                <w:rFonts w:ascii="Calibri" w:hAnsi="Calibri" w:cs="Calibri"/>
                <w:sz w:val="28"/>
                <w:szCs w:val="24"/>
              </w:rPr>
            </w:pPr>
          </w:p>
        </w:tc>
        <w:tc>
          <w:tcPr>
            <w:tcW w:w="4680" w:type="dxa"/>
            <w:tcBorders>
              <w:top w:val="double" w:sz="4" w:space="0" w:color="5B9BD5" w:themeColor="accent1"/>
              <w:right w:val="double" w:sz="4" w:space="0" w:color="5B9BD5" w:themeColor="accent1"/>
            </w:tcBorders>
            <w:shd w:val="clear" w:color="auto" w:fill="EDEDED" w:themeFill="accent3" w:themeFillTint="33"/>
            <w:vAlign w:val="center"/>
          </w:tcPr>
          <w:p w14:paraId="3CA679EB" w14:textId="77777777" w:rsidR="00B83210" w:rsidRPr="00741C79" w:rsidRDefault="002C790F" w:rsidP="00721C93">
            <w:pP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4"/>
              </w:rPr>
            </w:pPr>
            <w:hyperlink w:anchor="_What_are_examples" w:history="1">
              <w:r w:rsidR="00B83210" w:rsidRPr="00741C79">
                <w:rPr>
                  <w:rStyle w:val="Hyperlink"/>
                  <w:rFonts w:ascii="Calibri" w:hAnsi="Calibri" w:cs="Calibri"/>
                  <w:sz w:val="28"/>
                  <w:szCs w:val="24"/>
                </w:rPr>
                <w:t>What are some examples of partnerships between the workforce system and banks?</w:t>
              </w:r>
            </w:hyperlink>
          </w:p>
        </w:tc>
      </w:tr>
      <w:bookmarkStart w:id="0" w:name="_Hlk77005522"/>
      <w:tr w:rsidR="00B83210" w:rsidRPr="00741C79" w14:paraId="1CC1E085" w14:textId="77777777" w:rsidTr="00A672EA">
        <w:trPr>
          <w:trHeight w:val="800"/>
        </w:trPr>
        <w:tc>
          <w:tcPr>
            <w:cnfStyle w:val="000010000000" w:firstRow="0" w:lastRow="0" w:firstColumn="0" w:lastColumn="0" w:oddVBand="1" w:evenVBand="0" w:oddHBand="0" w:evenHBand="0" w:firstRowFirstColumn="0" w:firstRowLastColumn="0" w:lastRowFirstColumn="0" w:lastRowLastColumn="0"/>
            <w:tcW w:w="4755" w:type="dxa"/>
            <w:tcBorders>
              <w:left w:val="double" w:sz="4" w:space="0" w:color="5B9BD5" w:themeColor="accent1"/>
            </w:tcBorders>
            <w:shd w:val="clear" w:color="auto" w:fill="auto"/>
            <w:vAlign w:val="center"/>
          </w:tcPr>
          <w:p w14:paraId="6A8B5DC1" w14:textId="2714238A" w:rsidR="00B83210" w:rsidRPr="00741C79" w:rsidRDefault="00B83210" w:rsidP="009B036C">
            <w:pPr>
              <w:rPr>
                <w:rFonts w:ascii="Calibri" w:hAnsi="Calibri" w:cs="Calibri"/>
                <w:sz w:val="28"/>
                <w:szCs w:val="24"/>
              </w:rPr>
            </w:pPr>
            <w:r w:rsidRPr="00741C79">
              <w:rPr>
                <w:color w:val="auto"/>
                <w:sz w:val="24"/>
              </w:rPr>
              <w:fldChar w:fldCharType="begin"/>
            </w:r>
            <w:r w:rsidRPr="00741C79">
              <w:rPr>
                <w:color w:val="auto"/>
                <w:sz w:val="24"/>
              </w:rPr>
              <w:instrText>HYPERLINK  \l "_What_kinds_of"</w:instrText>
            </w:r>
            <w:r w:rsidRPr="00741C79">
              <w:rPr>
                <w:color w:val="auto"/>
                <w:sz w:val="24"/>
              </w:rPr>
              <w:fldChar w:fldCharType="separate"/>
            </w:r>
            <w:r w:rsidRPr="00741C79">
              <w:rPr>
                <w:rStyle w:val="Hyperlink"/>
                <w:rFonts w:ascii="Calibri" w:hAnsi="Calibri" w:cs="Calibri"/>
                <w:sz w:val="28"/>
                <w:szCs w:val="24"/>
              </w:rPr>
              <w:t>What kinds of activities can banks engage in with workforce system</w:t>
            </w:r>
            <w:r w:rsidR="009B036C">
              <w:rPr>
                <w:rStyle w:val="Hyperlink"/>
                <w:rFonts w:ascii="Calibri" w:hAnsi="Calibri" w:cs="Calibri"/>
                <w:sz w:val="28"/>
                <w:szCs w:val="24"/>
              </w:rPr>
              <w:t xml:space="preserve">s? </w:t>
            </w:r>
            <w:r w:rsidRPr="00741C79">
              <w:rPr>
                <w:rStyle w:val="Hyperlink"/>
                <w:rFonts w:ascii="Calibri" w:hAnsi="Calibri" w:cs="Calibri"/>
                <w:sz w:val="28"/>
                <w:szCs w:val="24"/>
              </w:rPr>
              <w:fldChar w:fldCharType="end"/>
            </w:r>
          </w:p>
        </w:tc>
        <w:tc>
          <w:tcPr>
            <w:tcW w:w="4680" w:type="dxa"/>
            <w:tcBorders>
              <w:right w:val="double" w:sz="4" w:space="0" w:color="5B9BD5" w:themeColor="accent1"/>
            </w:tcBorders>
            <w:vAlign w:val="center"/>
          </w:tcPr>
          <w:p w14:paraId="7F989CBC" w14:textId="327BB426" w:rsidR="00B83210" w:rsidRPr="00741C79" w:rsidRDefault="002C790F" w:rsidP="009B036C">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4"/>
              </w:rPr>
            </w:pPr>
            <w:hyperlink w:anchor="_What_are_the" w:history="1">
              <w:r w:rsidR="009B036C" w:rsidRPr="00741C79">
                <w:rPr>
                  <w:rStyle w:val="Hyperlink"/>
                  <w:rFonts w:ascii="Calibri" w:hAnsi="Calibri" w:cs="Calibri"/>
                  <w:bCs/>
                  <w:sz w:val="28"/>
                  <w:szCs w:val="24"/>
                </w:rPr>
                <w:t xml:space="preserve">What financial education benefits </w:t>
              </w:r>
              <w:r w:rsidR="009B036C" w:rsidRPr="00741C79">
                <w:rPr>
                  <w:rStyle w:val="Hyperlink"/>
                  <w:rFonts w:ascii="Calibri" w:hAnsi="Calibri" w:cs="Calibri"/>
                  <w:bCs/>
                  <w:sz w:val="28"/>
                  <w:szCs w:val="24"/>
                </w:rPr>
                <w:br/>
                <w:t>are possible under the</w:t>
              </w:r>
              <w:r w:rsidR="009B036C">
                <w:rPr>
                  <w:rStyle w:val="Hyperlink"/>
                  <w:rFonts w:ascii="Calibri" w:hAnsi="Calibri" w:cs="Calibri"/>
                  <w:bCs/>
                  <w:sz w:val="28"/>
                  <w:szCs w:val="24"/>
                </w:rPr>
                <w:t xml:space="preserve"> </w:t>
              </w:r>
              <w:r w:rsidR="009B036C" w:rsidRPr="00741C79">
                <w:rPr>
                  <w:rStyle w:val="Hyperlink"/>
                  <w:rFonts w:ascii="Calibri" w:hAnsi="Calibri" w:cs="Calibri"/>
                  <w:bCs/>
                  <w:sz w:val="28"/>
                  <w:szCs w:val="24"/>
                </w:rPr>
                <w:t>Workforce Innovation and Opportunity Act?</w:t>
              </w:r>
            </w:hyperlink>
          </w:p>
        </w:tc>
      </w:tr>
      <w:bookmarkEnd w:id="0"/>
      <w:tr w:rsidR="00B83210" w:rsidRPr="00741C79" w14:paraId="060CCF95" w14:textId="77777777" w:rsidTr="0045720C">
        <w:trPr>
          <w:cnfStyle w:val="000000100000" w:firstRow="0" w:lastRow="0" w:firstColumn="0" w:lastColumn="0" w:oddVBand="0" w:evenVBand="0" w:oddHBand="1" w:evenHBand="0" w:firstRowFirstColumn="0" w:firstRowLastColumn="0" w:lastRowFirstColumn="0" w:lastRowLastColumn="0"/>
          <w:trHeight w:val="80"/>
        </w:trPr>
        <w:tc>
          <w:tcPr>
            <w:cnfStyle w:val="000010000000" w:firstRow="0" w:lastRow="0" w:firstColumn="0" w:lastColumn="0" w:oddVBand="1" w:evenVBand="0" w:oddHBand="0" w:evenHBand="0" w:firstRowFirstColumn="0" w:firstRowLastColumn="0" w:lastRowFirstColumn="0" w:lastRowLastColumn="0"/>
            <w:tcW w:w="4755" w:type="dxa"/>
            <w:tcBorders>
              <w:left w:val="double" w:sz="4" w:space="0" w:color="5B9BD5" w:themeColor="accent1"/>
              <w:bottom w:val="double" w:sz="4" w:space="0" w:color="5B9BD5" w:themeColor="accent1"/>
            </w:tcBorders>
            <w:shd w:val="clear" w:color="auto" w:fill="EDEDED" w:themeFill="accent3" w:themeFillTint="33"/>
          </w:tcPr>
          <w:p w14:paraId="3171A60B" w14:textId="77777777" w:rsidR="009B036C" w:rsidRDefault="009B036C" w:rsidP="009B036C">
            <w:pPr>
              <w:rPr>
                <w:rFonts w:ascii="Calibri" w:hAnsi="Calibri" w:cs="Calibri"/>
                <w:bCs/>
                <w:sz w:val="28"/>
                <w:szCs w:val="24"/>
              </w:rPr>
            </w:pPr>
          </w:p>
          <w:p w14:paraId="51853ABC" w14:textId="13099611" w:rsidR="009B036C" w:rsidRPr="009B036C" w:rsidRDefault="002C790F" w:rsidP="009B036C">
            <w:pPr>
              <w:rPr>
                <w:rFonts w:ascii="Calibri" w:hAnsi="Calibri" w:cs="Calibri"/>
                <w:color w:val="0563C1" w:themeColor="hyperlink"/>
                <w:sz w:val="28"/>
                <w:szCs w:val="24"/>
                <w:u w:val="single"/>
              </w:rPr>
            </w:pPr>
            <w:hyperlink w:anchor="_Why_focus_on_1" w:history="1">
              <w:r w:rsidR="009B036C" w:rsidRPr="00741C79">
                <w:rPr>
                  <w:rStyle w:val="Hyperlink"/>
                  <w:rFonts w:ascii="Calibri" w:hAnsi="Calibri" w:cs="Calibri"/>
                  <w:sz w:val="28"/>
                  <w:szCs w:val="24"/>
                </w:rPr>
                <w:t>Why focus on people of color with disabilities?</w:t>
              </w:r>
            </w:hyperlink>
          </w:p>
          <w:p w14:paraId="54CF0A7C" w14:textId="477209ED" w:rsidR="00B83210" w:rsidRPr="00741C79" w:rsidRDefault="00B83210" w:rsidP="00721C93">
            <w:pPr>
              <w:pStyle w:val="Heading2"/>
              <w:outlineLvl w:val="1"/>
              <w:rPr>
                <w:rFonts w:ascii="Calibri" w:hAnsi="Calibri" w:cs="Calibri"/>
                <w:bCs/>
                <w:sz w:val="28"/>
                <w:szCs w:val="24"/>
              </w:rPr>
            </w:pPr>
          </w:p>
        </w:tc>
        <w:tc>
          <w:tcPr>
            <w:tcW w:w="4680" w:type="dxa"/>
            <w:tcBorders>
              <w:bottom w:val="double" w:sz="4" w:space="0" w:color="5B9BD5" w:themeColor="accent1"/>
              <w:right w:val="double" w:sz="4" w:space="0" w:color="5B9BD5" w:themeColor="accent1"/>
            </w:tcBorders>
            <w:shd w:val="clear" w:color="auto" w:fill="EDEDED" w:themeFill="accent3" w:themeFillTint="33"/>
          </w:tcPr>
          <w:p w14:paraId="25D20B6B" w14:textId="77777777" w:rsidR="00B83210" w:rsidRPr="00741C79" w:rsidRDefault="002C790F" w:rsidP="00721C93">
            <w:pPr>
              <w:pStyle w:val="Heading2"/>
              <w:outlineLvl w:val="1"/>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4"/>
              </w:rPr>
            </w:pPr>
            <w:hyperlink w:anchor="_What_are_some" w:history="1">
              <w:r w:rsidR="00B83210" w:rsidRPr="00741C79">
                <w:rPr>
                  <w:rStyle w:val="Hyperlink"/>
                  <w:rFonts w:ascii="Calibri" w:hAnsi="Calibri" w:cs="Calibri"/>
                  <w:sz w:val="28"/>
                  <w:szCs w:val="24"/>
                </w:rPr>
                <w:t>What additional resources can facilitate understanding of and access to the benefits of the Community Reinvestment Act?</w:t>
              </w:r>
            </w:hyperlink>
          </w:p>
        </w:tc>
      </w:tr>
    </w:tbl>
    <w:p w14:paraId="4ECF093B" w14:textId="77777777" w:rsidR="00B83210" w:rsidRPr="004B4621" w:rsidRDefault="00B83210" w:rsidP="00A67D4C">
      <w:pPr>
        <w:pStyle w:val="Heading1"/>
        <w:spacing w:after="60"/>
        <w:rPr>
          <w:b/>
          <w:bCs/>
          <w:color w:val="1F4E79" w:themeColor="accent1" w:themeShade="80"/>
          <w:sz w:val="36"/>
        </w:rPr>
      </w:pPr>
      <w:bookmarkStart w:id="1" w:name="_What_is_the"/>
      <w:bookmarkEnd w:id="1"/>
      <w:r w:rsidRPr="004B4621">
        <w:rPr>
          <w:b/>
          <w:bCs/>
          <w:color w:val="1F4E79" w:themeColor="accent1" w:themeShade="80"/>
          <w:sz w:val="28"/>
          <w:szCs w:val="26"/>
        </w:rPr>
        <w:lastRenderedPageBreak/>
        <w:t>What is the Community Reinves</w:t>
      </w:r>
      <w:bookmarkStart w:id="2" w:name="_GoBack"/>
      <w:bookmarkEnd w:id="2"/>
      <w:r w:rsidRPr="004B4621">
        <w:rPr>
          <w:b/>
          <w:bCs/>
          <w:color w:val="1F4E79" w:themeColor="accent1" w:themeShade="80"/>
          <w:sz w:val="28"/>
          <w:szCs w:val="26"/>
        </w:rPr>
        <w:t>tment Act?</w:t>
      </w:r>
    </w:p>
    <w:p w14:paraId="77A20315" w14:textId="768F8854" w:rsidR="00B83210" w:rsidRPr="00741C79" w:rsidRDefault="00B83210" w:rsidP="002C070E">
      <w:pPr>
        <w:rPr>
          <w:rFonts w:cstheme="minorHAnsi"/>
          <w:sz w:val="24"/>
        </w:rPr>
      </w:pPr>
      <w:r w:rsidRPr="00741C79">
        <w:rPr>
          <w:rFonts w:cstheme="minorHAnsi"/>
          <w:sz w:val="24"/>
        </w:rPr>
        <w:t xml:space="preserve">Banks receive </w:t>
      </w:r>
      <w:hyperlink r:id="rId11" w:history="1">
        <w:r w:rsidRPr="00741C79">
          <w:rPr>
            <w:rStyle w:val="Hyperlink"/>
            <w:rFonts w:cstheme="minorHAnsi"/>
            <w:sz w:val="24"/>
          </w:rPr>
          <w:t>Community Reinvestment Act</w:t>
        </w:r>
      </w:hyperlink>
      <w:r w:rsidRPr="00741C79">
        <w:rPr>
          <w:rFonts w:cstheme="minorHAnsi"/>
          <w:sz w:val="24"/>
        </w:rPr>
        <w:t xml:space="preserve"> credit for participating in and funding activities in low- and moderate-income neighborhoods in the communities in which they conduct business. As determined </w:t>
      </w:r>
      <w:r w:rsidR="00664564">
        <w:rPr>
          <w:rFonts w:cstheme="minorHAnsi"/>
          <w:sz w:val="24"/>
        </w:rPr>
        <w:t>in the CRA</w:t>
      </w:r>
      <w:r w:rsidRPr="00741C79">
        <w:rPr>
          <w:rFonts w:cstheme="minorHAnsi"/>
          <w:sz w:val="24"/>
        </w:rPr>
        <w:t>, a low-income community has a median family income that is less than 50% of the area’s median income.</w:t>
      </w:r>
      <w:r w:rsidR="008E36AF">
        <w:rPr>
          <w:rStyle w:val="EndnoteReference"/>
          <w:rFonts w:cstheme="minorHAnsi"/>
          <w:sz w:val="24"/>
        </w:rPr>
        <w:endnoteReference w:id="7"/>
      </w:r>
      <w:r w:rsidRPr="00741C79">
        <w:rPr>
          <w:rFonts w:cstheme="minorHAnsi"/>
          <w:sz w:val="24"/>
        </w:rPr>
        <w:t xml:space="preserve"> A moderate-income community has a median family income that is at least 50% but less than 80% of the area’s median income.</w:t>
      </w:r>
      <w:r w:rsidR="008E36AF">
        <w:rPr>
          <w:rStyle w:val="EndnoteReference"/>
          <w:rFonts w:cstheme="minorHAnsi"/>
          <w:sz w:val="24"/>
        </w:rPr>
        <w:endnoteReference w:id="8"/>
      </w:r>
      <w:r w:rsidRPr="00741C79">
        <w:rPr>
          <w:rFonts w:cstheme="minorHAnsi"/>
          <w:sz w:val="24"/>
        </w:rPr>
        <w:t xml:space="preserve"> </w:t>
      </w:r>
    </w:p>
    <w:p w14:paraId="1D5D36FD" w14:textId="108486B1" w:rsidR="00B83210" w:rsidRPr="00741C79" w:rsidRDefault="00B83210" w:rsidP="002C070E">
      <w:pPr>
        <w:rPr>
          <w:rFonts w:cstheme="minorHAnsi"/>
          <w:sz w:val="24"/>
        </w:rPr>
      </w:pPr>
      <w:r w:rsidRPr="00741C79">
        <w:rPr>
          <w:rFonts w:cstheme="minorHAnsi"/>
          <w:sz w:val="24"/>
        </w:rPr>
        <w:t>To receive CRA credit for community development, a bank’s strategies must have at least one of the following as its primary purpose:</w:t>
      </w:r>
      <w:r w:rsidR="008E36AF">
        <w:rPr>
          <w:rStyle w:val="EndnoteReference"/>
          <w:rFonts w:cstheme="minorHAnsi"/>
          <w:sz w:val="24"/>
        </w:rPr>
        <w:endnoteReference w:id="9"/>
      </w:r>
    </w:p>
    <w:p w14:paraId="1C135337" w14:textId="3D76589B" w:rsidR="00B83210" w:rsidRPr="00741C79" w:rsidRDefault="00CA7135" w:rsidP="01AA5188">
      <w:pPr>
        <w:pStyle w:val="ListParagraph"/>
        <w:numPr>
          <w:ilvl w:val="0"/>
          <w:numId w:val="11"/>
        </w:numPr>
        <w:rPr>
          <w:sz w:val="24"/>
          <w:szCs w:val="24"/>
        </w:rPr>
      </w:pPr>
      <w:r w:rsidRPr="00741C79">
        <w:rPr>
          <w:sz w:val="24"/>
          <w:szCs w:val="24"/>
        </w:rPr>
        <w:t xml:space="preserve">Community services </w:t>
      </w:r>
      <w:r w:rsidR="00B83210" w:rsidRPr="00741C79">
        <w:rPr>
          <w:sz w:val="24"/>
          <w:szCs w:val="24"/>
        </w:rPr>
        <w:t>targeted to individuals who have a low to moderate income</w:t>
      </w:r>
      <w:r w:rsidR="0A2528F6" w:rsidRPr="00741C79">
        <w:rPr>
          <w:sz w:val="24"/>
          <w:szCs w:val="24"/>
        </w:rPr>
        <w:t>.</w:t>
      </w:r>
    </w:p>
    <w:p w14:paraId="2C6C2D83" w14:textId="77777777" w:rsidR="00B83210" w:rsidRPr="00741C79" w:rsidRDefault="7AF2904D" w:rsidP="01AA5188">
      <w:pPr>
        <w:pStyle w:val="ListParagraph"/>
        <w:numPr>
          <w:ilvl w:val="0"/>
          <w:numId w:val="11"/>
        </w:numPr>
        <w:rPr>
          <w:sz w:val="24"/>
          <w:szCs w:val="24"/>
        </w:rPr>
      </w:pPr>
      <w:r w:rsidRPr="00741C79">
        <w:rPr>
          <w:sz w:val="24"/>
          <w:szCs w:val="24"/>
        </w:rPr>
        <w:t>A</w:t>
      </w:r>
      <w:r w:rsidR="00B83210" w:rsidRPr="00741C79">
        <w:rPr>
          <w:sz w:val="24"/>
          <w:szCs w:val="24"/>
        </w:rPr>
        <w:t>ctivities that promote economic development, such as job training or financial education</w:t>
      </w:r>
      <w:r w:rsidR="11AB64BC" w:rsidRPr="00741C79">
        <w:rPr>
          <w:sz w:val="24"/>
          <w:szCs w:val="24"/>
        </w:rPr>
        <w:t>.</w:t>
      </w:r>
      <w:r w:rsidR="00B83210" w:rsidRPr="00741C79">
        <w:rPr>
          <w:sz w:val="24"/>
          <w:szCs w:val="24"/>
        </w:rPr>
        <w:t xml:space="preserve"> </w:t>
      </w:r>
    </w:p>
    <w:p w14:paraId="4D1ACDD6" w14:textId="77777777" w:rsidR="00B83210" w:rsidRPr="00741C79" w:rsidRDefault="1BAB4D0C" w:rsidP="23A50F98">
      <w:pPr>
        <w:pStyle w:val="ListParagraph"/>
        <w:numPr>
          <w:ilvl w:val="0"/>
          <w:numId w:val="11"/>
        </w:numPr>
        <w:rPr>
          <w:sz w:val="24"/>
          <w:szCs w:val="24"/>
        </w:rPr>
      </w:pPr>
      <w:r w:rsidRPr="00741C79">
        <w:rPr>
          <w:sz w:val="24"/>
          <w:szCs w:val="24"/>
        </w:rPr>
        <w:t>A</w:t>
      </w:r>
      <w:r w:rsidR="00B83210" w:rsidRPr="00741C79">
        <w:rPr>
          <w:sz w:val="24"/>
          <w:szCs w:val="24"/>
        </w:rPr>
        <w:t>ctivities that revitalize or stabilize low- and moderate-income communities</w:t>
      </w:r>
      <w:r w:rsidR="50758BB8" w:rsidRPr="00741C79">
        <w:rPr>
          <w:sz w:val="24"/>
          <w:szCs w:val="24"/>
        </w:rPr>
        <w:t>.</w:t>
      </w:r>
    </w:p>
    <w:p w14:paraId="18575D04" w14:textId="77777777" w:rsidR="00B83210" w:rsidRPr="00741C79" w:rsidRDefault="11AEDF35" w:rsidP="23A50F98">
      <w:pPr>
        <w:pStyle w:val="ListParagraph"/>
        <w:numPr>
          <w:ilvl w:val="0"/>
          <w:numId w:val="11"/>
        </w:numPr>
        <w:rPr>
          <w:sz w:val="24"/>
          <w:szCs w:val="24"/>
        </w:rPr>
      </w:pPr>
      <w:r w:rsidRPr="00741C79">
        <w:rPr>
          <w:sz w:val="24"/>
          <w:szCs w:val="24"/>
        </w:rPr>
        <w:t>I</w:t>
      </w:r>
      <w:r w:rsidR="00B83210" w:rsidRPr="00741C79">
        <w:rPr>
          <w:sz w:val="24"/>
          <w:szCs w:val="24"/>
        </w:rPr>
        <w:t>nitiatives that create or sustain affordable housing.</w:t>
      </w:r>
    </w:p>
    <w:p w14:paraId="6A9826DC" w14:textId="77777777" w:rsidR="00B83210" w:rsidRPr="00741C79" w:rsidRDefault="00B83210" w:rsidP="01AA5188">
      <w:pPr>
        <w:spacing w:after="240"/>
        <w:rPr>
          <w:sz w:val="24"/>
          <w:szCs w:val="24"/>
        </w:rPr>
      </w:pPr>
      <w:r w:rsidRPr="00741C79">
        <w:rPr>
          <w:sz w:val="24"/>
          <w:szCs w:val="24"/>
        </w:rPr>
        <w:t xml:space="preserve">All banks have CRA requirements that are based upon their size. Credit unions do not have any requirements under this law, although they </w:t>
      </w:r>
      <w:r w:rsidR="49A4BE82" w:rsidRPr="00741C79">
        <w:rPr>
          <w:sz w:val="24"/>
          <w:szCs w:val="24"/>
        </w:rPr>
        <w:t>can be</w:t>
      </w:r>
      <w:r w:rsidRPr="00741C79">
        <w:rPr>
          <w:sz w:val="24"/>
          <w:szCs w:val="24"/>
        </w:rPr>
        <w:t xml:space="preserve"> partners in financial education work.</w:t>
      </w:r>
    </w:p>
    <w:p w14:paraId="6A17BFE7" w14:textId="37FBF87F" w:rsidR="00B83210" w:rsidRPr="004B4621" w:rsidRDefault="00721C93" w:rsidP="007C5402">
      <w:pPr>
        <w:pStyle w:val="Heading1"/>
        <w:spacing w:after="60"/>
        <w:rPr>
          <w:b/>
          <w:bCs/>
          <w:color w:val="1F4E79" w:themeColor="accent1" w:themeShade="80"/>
          <w:sz w:val="36"/>
        </w:rPr>
      </w:pPr>
      <w:bookmarkStart w:id="3" w:name="_What_kinds_of"/>
      <w:bookmarkEnd w:id="3"/>
      <w:r w:rsidRPr="004B4621">
        <w:rPr>
          <w:b/>
          <w:bCs/>
          <w:color w:val="1F4E79" w:themeColor="accent1" w:themeShade="80"/>
          <w:sz w:val="28"/>
          <w:szCs w:val="26"/>
        </w:rPr>
        <w:t>What kinds of activities can b</w:t>
      </w:r>
      <w:r w:rsidR="00B83210" w:rsidRPr="004B4621">
        <w:rPr>
          <w:b/>
          <w:bCs/>
          <w:color w:val="1F4E79" w:themeColor="accent1" w:themeShade="80"/>
          <w:sz w:val="28"/>
          <w:szCs w:val="26"/>
        </w:rPr>
        <w:t>anks engage in with workforce systems to support their CRA requirements and increase career success for individuals?</w:t>
      </w:r>
    </w:p>
    <w:p w14:paraId="2C29F608" w14:textId="0A00F7F5" w:rsidR="00B83210" w:rsidRPr="00741C79" w:rsidRDefault="00B83210" w:rsidP="007C5402">
      <w:pPr>
        <w:pStyle w:val="Default"/>
        <w:spacing w:after="160" w:line="259" w:lineRule="auto"/>
        <w:rPr>
          <w:rFonts w:asciiTheme="minorHAnsi" w:hAnsiTheme="minorHAnsi" w:cstheme="minorHAnsi"/>
          <w:szCs w:val="22"/>
        </w:rPr>
      </w:pPr>
      <w:r w:rsidRPr="00741C79">
        <w:rPr>
          <w:rFonts w:asciiTheme="minorHAnsi" w:hAnsiTheme="minorHAnsi" w:cstheme="minorHAnsi"/>
          <w:szCs w:val="22"/>
        </w:rPr>
        <w:t xml:space="preserve">Banks can engage in a variety of activities with workforce systems to increase career success and financial security for </w:t>
      </w:r>
      <w:r w:rsidR="00ED23E5" w:rsidRPr="00741C79">
        <w:rPr>
          <w:rFonts w:asciiTheme="minorHAnsi" w:hAnsiTheme="minorHAnsi" w:cstheme="minorHAnsi"/>
          <w:szCs w:val="22"/>
        </w:rPr>
        <w:t>people of color</w:t>
      </w:r>
      <w:r w:rsidR="00ED23E5" w:rsidRPr="00741C79" w:rsidDel="00ED23E5">
        <w:rPr>
          <w:rFonts w:asciiTheme="minorHAnsi" w:hAnsiTheme="minorHAnsi" w:cstheme="minorHAnsi"/>
          <w:szCs w:val="22"/>
        </w:rPr>
        <w:t xml:space="preserve"> </w:t>
      </w:r>
      <w:r w:rsidRPr="00741C79">
        <w:rPr>
          <w:rFonts w:asciiTheme="minorHAnsi" w:hAnsiTheme="minorHAnsi" w:cstheme="minorHAnsi"/>
          <w:szCs w:val="22"/>
        </w:rPr>
        <w:t>with disabilities, in many cases supporting CRA requirements.</w:t>
      </w:r>
      <w:r w:rsidR="008E36AF">
        <w:rPr>
          <w:rStyle w:val="EndnoteReference"/>
          <w:rFonts w:asciiTheme="minorHAnsi" w:hAnsiTheme="minorHAnsi" w:cstheme="minorHAnsi"/>
          <w:szCs w:val="22"/>
        </w:rPr>
        <w:endnoteReference w:id="10"/>
      </w:r>
      <w:r w:rsidRPr="00741C79">
        <w:rPr>
          <w:rFonts w:asciiTheme="minorHAnsi" w:hAnsiTheme="minorHAnsi" w:cstheme="minorHAnsi"/>
          <w:szCs w:val="22"/>
        </w:rPr>
        <w:t xml:space="preserve"> Among many other opportunities, these include:</w:t>
      </w:r>
    </w:p>
    <w:p w14:paraId="60D06712" w14:textId="77777777" w:rsidR="00B83210" w:rsidRPr="00741C79" w:rsidRDefault="003B6400" w:rsidP="007C5402">
      <w:pPr>
        <w:pStyle w:val="Default"/>
        <w:numPr>
          <w:ilvl w:val="0"/>
          <w:numId w:val="30"/>
        </w:numPr>
        <w:spacing w:afterLines="160" w:after="384" w:line="259" w:lineRule="auto"/>
        <w:contextualSpacing/>
        <w:rPr>
          <w:rFonts w:asciiTheme="minorHAnsi" w:hAnsiTheme="minorHAnsi" w:cstheme="minorHAnsi"/>
          <w:szCs w:val="22"/>
        </w:rPr>
      </w:pPr>
      <w:r w:rsidRPr="00741C79">
        <w:rPr>
          <w:rFonts w:asciiTheme="minorHAnsi" w:hAnsiTheme="minorHAnsi" w:cstheme="minorHAnsi"/>
          <w:szCs w:val="22"/>
        </w:rPr>
        <w:t>T</w:t>
      </w:r>
      <w:r w:rsidR="00B83210" w:rsidRPr="00741C79">
        <w:rPr>
          <w:rFonts w:asciiTheme="minorHAnsi" w:hAnsiTheme="minorHAnsi" w:cstheme="minorHAnsi"/>
          <w:szCs w:val="22"/>
        </w:rPr>
        <w:t xml:space="preserve">eaching financial education, delivering the Federal Deposit Insurance Corporation (FDIC) </w:t>
      </w:r>
      <w:hyperlink r:id="rId12" w:history="1">
        <w:r w:rsidR="00B83210" w:rsidRPr="00741C79">
          <w:rPr>
            <w:rStyle w:val="Hyperlink"/>
            <w:rFonts w:asciiTheme="minorHAnsi" w:hAnsiTheme="minorHAnsi" w:cstheme="minorHAnsi"/>
            <w:szCs w:val="22"/>
          </w:rPr>
          <w:t>Money Smart program</w:t>
        </w:r>
      </w:hyperlink>
      <w:r w:rsidR="00B83210" w:rsidRPr="00741C79">
        <w:rPr>
          <w:rFonts w:asciiTheme="minorHAnsi" w:hAnsiTheme="minorHAnsi" w:cstheme="minorHAnsi"/>
          <w:szCs w:val="22"/>
        </w:rPr>
        <w:t>, or offering financial counseling in workforce development programs</w:t>
      </w:r>
      <w:r w:rsidRPr="00741C79">
        <w:rPr>
          <w:rFonts w:asciiTheme="minorHAnsi" w:hAnsiTheme="minorHAnsi" w:cstheme="minorHAnsi"/>
          <w:szCs w:val="22"/>
        </w:rPr>
        <w:t>.</w:t>
      </w:r>
    </w:p>
    <w:p w14:paraId="360F1965" w14:textId="77777777" w:rsidR="00B83210" w:rsidRPr="00741C79" w:rsidRDefault="003B6400" w:rsidP="007C5402">
      <w:pPr>
        <w:pStyle w:val="Default"/>
        <w:numPr>
          <w:ilvl w:val="0"/>
          <w:numId w:val="30"/>
        </w:numPr>
        <w:spacing w:afterLines="160" w:after="384" w:line="259" w:lineRule="auto"/>
        <w:contextualSpacing/>
        <w:rPr>
          <w:rFonts w:asciiTheme="minorHAnsi" w:hAnsiTheme="minorHAnsi" w:cstheme="minorHAnsi"/>
          <w:szCs w:val="22"/>
        </w:rPr>
      </w:pPr>
      <w:r w:rsidRPr="00741C79">
        <w:rPr>
          <w:rFonts w:asciiTheme="minorHAnsi" w:hAnsiTheme="minorHAnsi" w:cstheme="minorHAnsi"/>
          <w:szCs w:val="22"/>
        </w:rPr>
        <w:t>P</w:t>
      </w:r>
      <w:r w:rsidR="00B83210" w:rsidRPr="00741C79">
        <w:rPr>
          <w:rFonts w:asciiTheme="minorHAnsi" w:hAnsiTheme="minorHAnsi" w:cstheme="minorHAnsi"/>
          <w:szCs w:val="22"/>
        </w:rPr>
        <w:t>roviding donations to workforce development programs designed to improve employment opportunities for low- to moderate-income individuals with disabilities</w:t>
      </w:r>
      <w:r w:rsidRPr="00741C79">
        <w:rPr>
          <w:rFonts w:asciiTheme="minorHAnsi" w:hAnsiTheme="minorHAnsi" w:cstheme="minorHAnsi"/>
          <w:szCs w:val="22"/>
        </w:rPr>
        <w:t>.</w:t>
      </w:r>
      <w:r w:rsidR="00B83210" w:rsidRPr="00741C79">
        <w:rPr>
          <w:rFonts w:asciiTheme="minorHAnsi" w:hAnsiTheme="minorHAnsi" w:cstheme="minorHAnsi"/>
          <w:szCs w:val="22"/>
        </w:rPr>
        <w:t xml:space="preserve"> </w:t>
      </w:r>
    </w:p>
    <w:p w14:paraId="7C4E1B31" w14:textId="77777777" w:rsidR="00B83210" w:rsidRPr="00741C79" w:rsidRDefault="003B6400" w:rsidP="007C5402">
      <w:pPr>
        <w:pStyle w:val="Default"/>
        <w:numPr>
          <w:ilvl w:val="0"/>
          <w:numId w:val="30"/>
        </w:numPr>
        <w:spacing w:afterLines="160" w:after="384" w:line="259" w:lineRule="auto"/>
        <w:contextualSpacing/>
        <w:rPr>
          <w:rFonts w:asciiTheme="minorHAnsi" w:hAnsiTheme="minorHAnsi" w:cstheme="minorHAnsi"/>
          <w:szCs w:val="22"/>
        </w:rPr>
      </w:pPr>
      <w:r w:rsidRPr="00741C79">
        <w:rPr>
          <w:rFonts w:asciiTheme="minorHAnsi" w:hAnsiTheme="minorHAnsi" w:cstheme="minorHAnsi"/>
          <w:szCs w:val="22"/>
        </w:rPr>
        <w:t>P</w:t>
      </w:r>
      <w:r w:rsidR="00B83210" w:rsidRPr="00741C79">
        <w:rPr>
          <w:rFonts w:asciiTheme="minorHAnsi" w:hAnsiTheme="minorHAnsi" w:cstheme="minorHAnsi"/>
          <w:szCs w:val="22"/>
        </w:rPr>
        <w:t>roviding financial capability training to individuals with disabilities</w:t>
      </w:r>
      <w:r w:rsidRPr="00741C79">
        <w:rPr>
          <w:rFonts w:asciiTheme="minorHAnsi" w:hAnsiTheme="minorHAnsi" w:cstheme="minorHAnsi"/>
          <w:szCs w:val="22"/>
        </w:rPr>
        <w:t>.</w:t>
      </w:r>
      <w:r w:rsidR="00B83210" w:rsidRPr="00741C79">
        <w:rPr>
          <w:rFonts w:asciiTheme="minorHAnsi" w:hAnsiTheme="minorHAnsi" w:cstheme="minorHAnsi"/>
          <w:szCs w:val="22"/>
        </w:rPr>
        <w:t xml:space="preserve"> </w:t>
      </w:r>
    </w:p>
    <w:p w14:paraId="5B762F65" w14:textId="77777777" w:rsidR="00B83210" w:rsidRPr="00741C79" w:rsidRDefault="003B6400" w:rsidP="007C5402">
      <w:pPr>
        <w:pStyle w:val="Default"/>
        <w:numPr>
          <w:ilvl w:val="0"/>
          <w:numId w:val="30"/>
        </w:numPr>
        <w:spacing w:afterLines="160" w:after="384" w:line="259" w:lineRule="auto"/>
        <w:contextualSpacing/>
        <w:rPr>
          <w:rFonts w:asciiTheme="minorHAnsi" w:hAnsiTheme="minorHAnsi" w:cstheme="minorHAnsi"/>
          <w:szCs w:val="22"/>
        </w:rPr>
      </w:pPr>
      <w:r w:rsidRPr="00741C79">
        <w:rPr>
          <w:rFonts w:asciiTheme="minorHAnsi" w:hAnsiTheme="minorHAnsi" w:cstheme="minorHAnsi"/>
          <w:szCs w:val="22"/>
        </w:rPr>
        <w:t>P</w:t>
      </w:r>
      <w:r w:rsidR="00B83210" w:rsidRPr="00741C79">
        <w:rPr>
          <w:rFonts w:asciiTheme="minorHAnsi" w:hAnsiTheme="minorHAnsi" w:cstheme="minorHAnsi"/>
          <w:szCs w:val="22"/>
        </w:rPr>
        <w:t>roviding volunteer service with nonprofits to provide income tax assistance for low- to moderate-income individuals</w:t>
      </w:r>
      <w:r w:rsidRPr="00741C79">
        <w:rPr>
          <w:rFonts w:asciiTheme="minorHAnsi" w:hAnsiTheme="minorHAnsi" w:cstheme="minorHAnsi"/>
          <w:szCs w:val="22"/>
        </w:rPr>
        <w:t>.</w:t>
      </w:r>
    </w:p>
    <w:p w14:paraId="600514A0" w14:textId="77777777" w:rsidR="00B83210" w:rsidRPr="00741C79" w:rsidRDefault="003B6400" w:rsidP="007C5402">
      <w:pPr>
        <w:pStyle w:val="Default"/>
        <w:numPr>
          <w:ilvl w:val="0"/>
          <w:numId w:val="30"/>
        </w:numPr>
        <w:spacing w:afterLines="160" w:after="384" w:line="259" w:lineRule="auto"/>
        <w:contextualSpacing/>
        <w:rPr>
          <w:rFonts w:asciiTheme="minorHAnsi" w:hAnsiTheme="minorHAnsi" w:cstheme="minorHAnsi"/>
          <w:szCs w:val="22"/>
        </w:rPr>
      </w:pPr>
      <w:r w:rsidRPr="00741C79">
        <w:rPr>
          <w:rFonts w:asciiTheme="minorHAnsi" w:hAnsiTheme="minorHAnsi" w:cstheme="minorHAnsi"/>
          <w:szCs w:val="22"/>
        </w:rPr>
        <w:t>S</w:t>
      </w:r>
      <w:r w:rsidR="00B83210" w:rsidRPr="00741C79">
        <w:rPr>
          <w:rFonts w:asciiTheme="minorHAnsi" w:hAnsiTheme="minorHAnsi" w:cstheme="minorHAnsi"/>
          <w:szCs w:val="22"/>
        </w:rPr>
        <w:t>erving on workforce boards</w:t>
      </w:r>
      <w:r w:rsidRPr="00741C79">
        <w:rPr>
          <w:rFonts w:asciiTheme="minorHAnsi" w:hAnsiTheme="minorHAnsi" w:cstheme="minorHAnsi"/>
          <w:szCs w:val="22"/>
        </w:rPr>
        <w:t>.</w:t>
      </w:r>
    </w:p>
    <w:p w14:paraId="3DF51D49" w14:textId="77777777" w:rsidR="00B83210" w:rsidRPr="00741C79" w:rsidRDefault="003B6400" w:rsidP="007C5402">
      <w:pPr>
        <w:pStyle w:val="Default"/>
        <w:numPr>
          <w:ilvl w:val="0"/>
          <w:numId w:val="30"/>
        </w:numPr>
        <w:spacing w:afterLines="160" w:after="384" w:line="259" w:lineRule="auto"/>
        <w:contextualSpacing/>
        <w:rPr>
          <w:rFonts w:asciiTheme="minorHAnsi" w:hAnsiTheme="minorHAnsi" w:cstheme="minorHAnsi"/>
          <w:sz w:val="28"/>
        </w:rPr>
      </w:pPr>
      <w:r w:rsidRPr="00741C79">
        <w:rPr>
          <w:rFonts w:asciiTheme="minorHAnsi" w:hAnsiTheme="minorHAnsi" w:cstheme="minorHAnsi"/>
          <w:szCs w:val="22"/>
        </w:rPr>
        <w:t>H</w:t>
      </w:r>
      <w:r w:rsidR="00B83210" w:rsidRPr="00741C79">
        <w:rPr>
          <w:rFonts w:asciiTheme="minorHAnsi" w:hAnsiTheme="minorHAnsi" w:cstheme="minorHAnsi"/>
          <w:szCs w:val="22"/>
        </w:rPr>
        <w:t>elping to establish pipelines of talent to meet the needs of the financial services sector through apprenticeship or other work-based learning.</w:t>
      </w:r>
    </w:p>
    <w:p w14:paraId="7F714737" w14:textId="1B0BBF5A" w:rsidR="00B83210" w:rsidRPr="004B4621" w:rsidRDefault="00B83210" w:rsidP="00670E1C">
      <w:pPr>
        <w:pStyle w:val="Heading1"/>
        <w:spacing w:after="60"/>
        <w:rPr>
          <w:b/>
          <w:bCs/>
          <w:color w:val="1F4E79" w:themeColor="accent1" w:themeShade="80"/>
          <w:sz w:val="36"/>
        </w:rPr>
      </w:pPr>
      <w:bookmarkStart w:id="4" w:name="_Why_focus_on_1"/>
      <w:bookmarkEnd w:id="4"/>
      <w:r w:rsidRPr="004B4621">
        <w:rPr>
          <w:b/>
          <w:bCs/>
          <w:color w:val="1F4E79" w:themeColor="accent1" w:themeShade="80"/>
          <w:sz w:val="28"/>
          <w:szCs w:val="26"/>
        </w:rPr>
        <w:t>Why focus on people of color with disabilities?</w:t>
      </w:r>
    </w:p>
    <w:p w14:paraId="37C6170C" w14:textId="679A875F" w:rsidR="00B83210" w:rsidRPr="00741C79" w:rsidRDefault="00B83210" w:rsidP="00670E1C">
      <w:pPr>
        <w:rPr>
          <w:sz w:val="24"/>
        </w:rPr>
      </w:pPr>
      <w:r w:rsidRPr="00741C79">
        <w:rPr>
          <w:rFonts w:cstheme="minorHAnsi"/>
          <w:sz w:val="24"/>
        </w:rPr>
        <w:t xml:space="preserve">Indicators such as national employment rates, unemployment rates, and </w:t>
      </w:r>
      <w:r w:rsidR="00811C41" w:rsidRPr="00741C79">
        <w:rPr>
          <w:rFonts w:cstheme="minorHAnsi"/>
          <w:sz w:val="24"/>
        </w:rPr>
        <w:t xml:space="preserve">the </w:t>
      </w:r>
      <w:r w:rsidRPr="00741C79">
        <w:rPr>
          <w:rFonts w:cstheme="minorHAnsi"/>
          <w:sz w:val="24"/>
        </w:rPr>
        <w:t xml:space="preserve">banking/lending practices of </w:t>
      </w:r>
      <w:r w:rsidR="00ED23E5" w:rsidRPr="00741C79">
        <w:rPr>
          <w:rFonts w:cstheme="minorHAnsi"/>
          <w:sz w:val="24"/>
        </w:rPr>
        <w:t>people of color</w:t>
      </w:r>
      <w:r w:rsidR="00ED23E5" w:rsidRPr="00741C79" w:rsidDel="00ED23E5">
        <w:rPr>
          <w:rFonts w:cstheme="minorHAnsi"/>
          <w:sz w:val="24"/>
        </w:rPr>
        <w:t xml:space="preserve"> </w:t>
      </w:r>
      <w:r w:rsidRPr="00741C79">
        <w:rPr>
          <w:rFonts w:cstheme="minorHAnsi"/>
          <w:sz w:val="24"/>
        </w:rPr>
        <w:t xml:space="preserve">with disabilities signal entrenched structural and other challenges that hinder achievement of economic self-sufficiency. </w:t>
      </w:r>
      <w:r w:rsidRPr="00741C79">
        <w:rPr>
          <w:sz w:val="24"/>
        </w:rPr>
        <w:t xml:space="preserve">For example, </w:t>
      </w:r>
      <w:r w:rsidRPr="00741C79">
        <w:rPr>
          <w:rFonts w:cstheme="minorHAnsi"/>
          <w:sz w:val="24"/>
        </w:rPr>
        <w:t>according to</w:t>
      </w:r>
      <w:r w:rsidR="007E6E1E">
        <w:rPr>
          <w:rFonts w:cstheme="minorHAnsi"/>
          <w:sz w:val="24"/>
        </w:rPr>
        <w:t xml:space="preserve"> an analysis of</w:t>
      </w:r>
      <w:r w:rsidRPr="00741C79">
        <w:rPr>
          <w:rFonts w:cstheme="minorHAnsi"/>
          <w:sz w:val="24"/>
        </w:rPr>
        <w:t xml:space="preserve"> </w:t>
      </w:r>
      <w:r w:rsidR="007E6E1E">
        <w:rPr>
          <w:rFonts w:cstheme="minorHAnsi"/>
          <w:sz w:val="24"/>
        </w:rPr>
        <w:lastRenderedPageBreak/>
        <w:t>findings from the</w:t>
      </w:r>
      <w:r w:rsidRPr="00741C79">
        <w:rPr>
          <w:rFonts w:cstheme="minorHAnsi"/>
          <w:sz w:val="24"/>
        </w:rPr>
        <w:t xml:space="preserve"> </w:t>
      </w:r>
      <w:r w:rsidRPr="00741C79">
        <w:rPr>
          <w:sz w:val="24"/>
        </w:rPr>
        <w:t>2017 FDIC national survey, people with disabilities have significantly lower rates of employment and higher rates of unemployment than individuals without disabilities.</w:t>
      </w:r>
      <w:r w:rsidR="008E36AF">
        <w:rPr>
          <w:rStyle w:val="EndnoteReference"/>
          <w:sz w:val="24"/>
        </w:rPr>
        <w:endnoteReference w:id="11"/>
      </w:r>
      <w:r w:rsidRPr="00741C79">
        <w:rPr>
          <w:sz w:val="24"/>
        </w:rPr>
        <w:t xml:space="preserve"> Further, Black</w:t>
      </w:r>
      <w:r w:rsidR="007E6E1E">
        <w:rPr>
          <w:sz w:val="24"/>
        </w:rPr>
        <w:t xml:space="preserve"> and Hispanic</w:t>
      </w:r>
      <w:r w:rsidRPr="00741C79">
        <w:rPr>
          <w:sz w:val="24"/>
        </w:rPr>
        <w:t xml:space="preserve"> families that include a working age member with </w:t>
      </w:r>
      <w:r w:rsidR="00AD098B" w:rsidRPr="00741C79">
        <w:rPr>
          <w:sz w:val="24"/>
        </w:rPr>
        <w:t xml:space="preserve">a </w:t>
      </w:r>
      <w:r w:rsidRPr="00741C79">
        <w:rPr>
          <w:sz w:val="24"/>
        </w:rPr>
        <w:t>disability face low</w:t>
      </w:r>
      <w:r w:rsidR="007E6E1E">
        <w:rPr>
          <w:sz w:val="24"/>
        </w:rPr>
        <w:t>er</w:t>
      </w:r>
      <w:r w:rsidRPr="00741C79">
        <w:rPr>
          <w:sz w:val="24"/>
        </w:rPr>
        <w:t xml:space="preserve"> employment rates</w:t>
      </w:r>
      <w:r w:rsidR="007E6E1E">
        <w:rPr>
          <w:sz w:val="24"/>
        </w:rPr>
        <w:t xml:space="preserve"> than white families with a working age member with a disability</w:t>
      </w:r>
      <w:r w:rsidRPr="00741C79">
        <w:rPr>
          <w:sz w:val="24"/>
        </w:rPr>
        <w:t>.</w:t>
      </w:r>
      <w:r w:rsidR="007E6E1E">
        <w:rPr>
          <w:sz w:val="24"/>
          <w:vertAlign w:val="superscript"/>
        </w:rPr>
        <w:t xml:space="preserve"> </w:t>
      </w:r>
      <w:r w:rsidR="008E36AF">
        <w:rPr>
          <w:rStyle w:val="EndnoteReference"/>
          <w:sz w:val="24"/>
        </w:rPr>
        <w:endnoteReference w:id="12"/>
      </w:r>
      <w:r w:rsidRPr="00741C79">
        <w:rPr>
          <w:sz w:val="24"/>
        </w:rPr>
        <w:t xml:space="preserve"> </w:t>
      </w:r>
    </w:p>
    <w:p w14:paraId="456EE9D2" w14:textId="1654260A" w:rsidR="00B83210" w:rsidRPr="008A227A" w:rsidRDefault="00B83210" w:rsidP="00670E1C">
      <w:pPr>
        <w:jc w:val="center"/>
        <w:rPr>
          <w:rFonts w:cstheme="minorHAnsi"/>
          <w:b/>
          <w:bCs/>
          <w:sz w:val="28"/>
          <w:szCs w:val="24"/>
        </w:rPr>
      </w:pPr>
      <w:r w:rsidRPr="00741C79">
        <w:rPr>
          <w:rFonts w:cstheme="minorHAnsi"/>
          <w:b/>
          <w:bCs/>
          <w:sz w:val="28"/>
          <w:szCs w:val="24"/>
        </w:rPr>
        <w:t>Exhibit 1: Employment Data</w:t>
      </w:r>
      <w:r w:rsidR="008E36AF">
        <w:rPr>
          <w:rStyle w:val="EndnoteReference"/>
          <w:rFonts w:cstheme="minorHAnsi"/>
          <w:b/>
          <w:bCs/>
          <w:sz w:val="28"/>
          <w:szCs w:val="24"/>
        </w:rPr>
        <w:endnoteReference w:id="13"/>
      </w:r>
    </w:p>
    <w:p w14:paraId="4B0CFB8C" w14:textId="77777777" w:rsidR="00B83210" w:rsidRPr="00741C79" w:rsidRDefault="00B83210" w:rsidP="00670E1C">
      <w:pPr>
        <w:jc w:val="center"/>
        <w:rPr>
          <w:sz w:val="24"/>
        </w:rPr>
      </w:pPr>
      <w:r w:rsidRPr="00741C79">
        <w:rPr>
          <w:noProof/>
          <w:sz w:val="24"/>
        </w:rPr>
        <w:drawing>
          <wp:inline distT="0" distB="0" distL="0" distR="0" wp14:anchorId="325678A9" wp14:editId="3A5FAC95">
            <wp:extent cx="5943600" cy="3343275"/>
            <wp:effectExtent l="0" t="0" r="0" b="9525"/>
            <wp:docPr id="2" name="Graphic 2" descr="In 2020, 17.9 percent of individuals with disabilities were employed compared to 61.8 percent of individuals without disabilities, and the unemployment rate for individuals with disabilities was 12.6 percent compared to 7.9 percent for individuals without disabilities.&#10;&#10;Unemployment rates for individuals with disabilities were higher among Hispanics (16.8 percent), Blacks (16.3 percent), and Asians (15.7 percent) than among Whites (11.6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 2020, 17.9 percent of individuals with disabilities were employed compared to 61.8 percent of individuals without disabilities, and the unemployment rate for individuals with disabilities was 12.6 percent compared to 7.9 percent for individuals without disabilities.&#10;&#10;Unemployment rates for individuals with disabilities were higher among Hispanics (16.8 percent), Blacks (16.3 percent), and Asians (15.7 percent) than among Whites (11.6 percent)."/>
                    <pic:cNvPicPr/>
                  </pic:nvPicPr>
                  <pic:blipFill>
                    <a:blip r:embed="rId13">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4"/>
                        </a:ext>
                      </a:extLst>
                    </a:blip>
                    <a:stretch>
                      <a:fillRect/>
                    </a:stretch>
                  </pic:blipFill>
                  <pic:spPr>
                    <a:xfrm>
                      <a:off x="0" y="0"/>
                      <a:ext cx="5943600" cy="3343275"/>
                    </a:xfrm>
                    <a:prstGeom prst="rect">
                      <a:avLst/>
                    </a:prstGeom>
                  </pic:spPr>
                </pic:pic>
              </a:graphicData>
            </a:graphic>
          </wp:inline>
        </w:drawing>
      </w:r>
    </w:p>
    <w:p w14:paraId="4C1B1708" w14:textId="77777777" w:rsidR="00B83210" w:rsidRPr="00741C79" w:rsidRDefault="00B83210" w:rsidP="00670E1C">
      <w:pPr>
        <w:ind w:left="360"/>
        <w:rPr>
          <w:rFonts w:cstheme="minorHAnsi"/>
          <w:sz w:val="24"/>
        </w:rPr>
      </w:pPr>
    </w:p>
    <w:p w14:paraId="464F5A55" w14:textId="67D138DF" w:rsidR="00692C69" w:rsidRPr="008A227A" w:rsidRDefault="00B83210" w:rsidP="00670E1C">
      <w:pPr>
        <w:rPr>
          <w:rFonts w:cstheme="minorHAnsi"/>
          <w:sz w:val="24"/>
        </w:rPr>
      </w:pPr>
      <w:r w:rsidRPr="00741C79">
        <w:rPr>
          <w:rFonts w:cstheme="minorHAnsi"/>
          <w:sz w:val="24"/>
        </w:rPr>
        <w:t xml:space="preserve">Moreover, working-age households that include a </w:t>
      </w:r>
      <w:r w:rsidR="00443AF1" w:rsidRPr="00741C79">
        <w:rPr>
          <w:rFonts w:cstheme="minorHAnsi"/>
          <w:sz w:val="24"/>
        </w:rPr>
        <w:t>householder</w:t>
      </w:r>
      <w:r w:rsidR="000D3A46">
        <w:rPr>
          <w:rStyle w:val="EndnoteReference"/>
          <w:rFonts w:cstheme="minorHAnsi"/>
          <w:sz w:val="24"/>
        </w:rPr>
        <w:endnoteReference w:id="14"/>
      </w:r>
      <w:r w:rsidR="00443AF1" w:rsidRPr="00741C79">
        <w:rPr>
          <w:rFonts w:cstheme="minorHAnsi"/>
          <w:sz w:val="24"/>
        </w:rPr>
        <w:t xml:space="preserve"> </w:t>
      </w:r>
      <w:r w:rsidRPr="00741C79">
        <w:rPr>
          <w:rFonts w:cstheme="minorHAnsi"/>
          <w:sz w:val="24"/>
        </w:rPr>
        <w:t>with a disability are much less likely to engage with financial institutions. As displayed in Exhibit 2, this is especially true for Hispanic, Black, and Asian working-age households</w:t>
      </w:r>
      <w:r w:rsidR="00B47DE9" w:rsidRPr="00741C79">
        <w:rPr>
          <w:rFonts w:cstheme="minorHAnsi"/>
          <w:sz w:val="24"/>
        </w:rPr>
        <w:t xml:space="preserve"> with an individual with a disability</w:t>
      </w:r>
      <w:r w:rsidRPr="00741C79">
        <w:rPr>
          <w:rFonts w:cstheme="minorHAnsi"/>
          <w:sz w:val="24"/>
        </w:rPr>
        <w:t>.</w:t>
      </w:r>
    </w:p>
    <w:p w14:paraId="3109FA69" w14:textId="04942399" w:rsidR="00B83210" w:rsidRPr="00741C79" w:rsidRDefault="00692C69" w:rsidP="00670E1C">
      <w:pPr>
        <w:rPr>
          <w:rFonts w:cstheme="minorHAnsi"/>
          <w:sz w:val="24"/>
        </w:rPr>
      </w:pPr>
      <w:r w:rsidRPr="00741C79">
        <w:rPr>
          <w:rFonts w:cstheme="minorHAnsi"/>
          <w:sz w:val="24"/>
        </w:rPr>
        <w:br w:type="page"/>
      </w:r>
    </w:p>
    <w:p w14:paraId="66D8662F" w14:textId="574CC214" w:rsidR="00B83210" w:rsidRPr="008A227A" w:rsidRDefault="00B83210" w:rsidP="00670E1C">
      <w:pPr>
        <w:pStyle w:val="ListParagraph"/>
        <w:jc w:val="center"/>
        <w:rPr>
          <w:noProof/>
          <w:sz w:val="24"/>
          <w:vertAlign w:val="superscript"/>
        </w:rPr>
      </w:pPr>
      <w:r w:rsidRPr="00741C79">
        <w:rPr>
          <w:rFonts w:cstheme="minorHAnsi"/>
          <w:b/>
          <w:bCs/>
          <w:sz w:val="28"/>
          <w:szCs w:val="24"/>
        </w:rPr>
        <w:lastRenderedPageBreak/>
        <w:t>Exhibit 2: Unbanked Working Age Households (2019)</w:t>
      </w:r>
      <w:r w:rsidR="000D3A46">
        <w:rPr>
          <w:rStyle w:val="EndnoteReference"/>
          <w:rFonts w:cstheme="minorHAnsi"/>
          <w:b/>
          <w:bCs/>
          <w:sz w:val="28"/>
          <w:szCs w:val="24"/>
        </w:rPr>
        <w:endnoteReference w:id="15"/>
      </w:r>
    </w:p>
    <w:p w14:paraId="16D50353" w14:textId="77777777" w:rsidR="00B83210" w:rsidRPr="00741C79" w:rsidRDefault="00B83210" w:rsidP="00670E1C">
      <w:pPr>
        <w:pStyle w:val="ListParagraph"/>
        <w:jc w:val="center"/>
        <w:rPr>
          <w:noProof/>
          <w:sz w:val="24"/>
        </w:rPr>
      </w:pPr>
      <w:r w:rsidRPr="00741C79">
        <w:rPr>
          <w:noProof/>
          <w:sz w:val="24"/>
        </w:rPr>
        <w:drawing>
          <wp:inline distT="0" distB="0" distL="0" distR="0" wp14:anchorId="036CAB05" wp14:editId="7AE99EF4">
            <wp:extent cx="4277477" cy="1948069"/>
            <wp:effectExtent l="0" t="0" r="0" b="0"/>
            <wp:docPr id="29" name="Graphic 29" descr="In 2019, 16.2 percent of working-age disabled households were unbanked—more than three times the percentage of working-age nondisabled households (4.5 percent). 28.5 percent of Black working-age disabled households were unbanked, compared to 11.1 percent of Black nondisabled households. 22.2 percent of Hispanic working-age disabled households were unbanked compared to 11.6% of Hispanic nondisabled households. 11.2 percent of White working-age disabled households were unbanked compared to 1.6 percent of White nondisabled househol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In 2019, 16.2 percent of working-age disabled households were unbanked—more than three times the percentage of working-age nondisabled households (4.5 percent). 28.5 percent of Black working-age disabled households were unbanked, compared to 11.1 percent of Black nondisabled households. 22.2 percent of Hispanic working-age disabled households were unbanked compared to 11.6% of Hispanic nondisabled households. 11.2 percent of White working-age disabled households were unbanked compared to 1.6 percent of White nondisabled households. "/>
                    <pic:cNvPicPr/>
                  </pic:nvPicPr>
                  <pic:blipFill rotWithShape="1">
                    <a:blip r:embed="rId1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6"/>
                        </a:ext>
                      </a:extLst>
                    </a:blip>
                    <a:srcRect l="17662" t="25693" r="17723" b="21992"/>
                    <a:stretch/>
                  </pic:blipFill>
                  <pic:spPr bwMode="auto">
                    <a:xfrm>
                      <a:off x="0" y="0"/>
                      <a:ext cx="4289109" cy="1953366"/>
                    </a:xfrm>
                    <a:prstGeom prst="rect">
                      <a:avLst/>
                    </a:prstGeom>
                    <a:ln>
                      <a:noFill/>
                    </a:ln>
                    <a:extLst>
                      <a:ext uri="{53640926-AAD7-44D8-BBD7-CCE9431645EC}">
                        <a14:shadowObscured xmlns:a14="http://schemas.microsoft.com/office/drawing/2010/main"/>
                      </a:ext>
                    </a:extLst>
                  </pic:spPr>
                </pic:pic>
              </a:graphicData>
            </a:graphic>
          </wp:inline>
        </w:drawing>
      </w:r>
    </w:p>
    <w:p w14:paraId="04ED505C" w14:textId="77777777" w:rsidR="00B83210" w:rsidRPr="00741C79" w:rsidRDefault="00B83210" w:rsidP="00670E1C">
      <w:pPr>
        <w:pStyle w:val="ListParagraph"/>
        <w:jc w:val="center"/>
        <w:rPr>
          <w:noProof/>
          <w:sz w:val="24"/>
        </w:rPr>
      </w:pPr>
    </w:p>
    <w:p w14:paraId="1F309EA8" w14:textId="2122E7C7" w:rsidR="00670E1C" w:rsidRPr="00741C79" w:rsidRDefault="00B83210">
      <w:pPr>
        <w:rPr>
          <w:sz w:val="24"/>
        </w:rPr>
      </w:pPr>
      <w:r w:rsidRPr="00741C79">
        <w:rPr>
          <w:rFonts w:cstheme="minorHAnsi"/>
          <w:sz w:val="24"/>
        </w:rPr>
        <w:t>Data from the same FDIC national survey collected in 2017</w:t>
      </w:r>
      <w:r w:rsidRPr="00741C79">
        <w:rPr>
          <w:sz w:val="24"/>
        </w:rPr>
        <w:t xml:space="preserve"> showed that, a</w:t>
      </w:r>
      <w:r w:rsidRPr="00741C79">
        <w:rPr>
          <w:rFonts w:cstheme="minorHAnsi"/>
          <w:sz w:val="24"/>
        </w:rPr>
        <w:t>cross racial groups, low- and moderate-income individuals with disabilities are more than three times as likely as those without disabilities to be “unbanked”</w:t>
      </w:r>
      <w:r w:rsidR="00811C41" w:rsidRPr="00741C79">
        <w:rPr>
          <w:rFonts w:cstheme="minorHAnsi"/>
          <w:sz w:val="24"/>
        </w:rPr>
        <w:t xml:space="preserve"> </w:t>
      </w:r>
      <w:r w:rsidRPr="00741C79">
        <w:rPr>
          <w:rFonts w:cstheme="minorHAnsi"/>
          <w:sz w:val="24"/>
        </w:rPr>
        <w:t>—</w:t>
      </w:r>
      <w:r w:rsidR="00811C41" w:rsidRPr="00741C79">
        <w:rPr>
          <w:rFonts w:cstheme="minorHAnsi"/>
          <w:sz w:val="24"/>
        </w:rPr>
        <w:t xml:space="preserve"> </w:t>
      </w:r>
      <w:r w:rsidRPr="00741C79">
        <w:rPr>
          <w:rFonts w:cstheme="minorHAnsi"/>
          <w:sz w:val="24"/>
        </w:rPr>
        <w:t xml:space="preserve">that is, </w:t>
      </w:r>
      <w:r w:rsidRPr="00741C79">
        <w:rPr>
          <w:sz w:val="24"/>
        </w:rPr>
        <w:t>not have access to or use financial institutions in any capacity. Moreover, o</w:t>
      </w:r>
      <w:r w:rsidRPr="00741C79">
        <w:rPr>
          <w:rFonts w:cstheme="minorHAnsi"/>
          <w:sz w:val="24"/>
        </w:rPr>
        <w:t>ne in five has an unmet need for credit.</w:t>
      </w:r>
      <w:r w:rsidR="000D3A46">
        <w:rPr>
          <w:rStyle w:val="EndnoteReference"/>
          <w:rFonts w:cstheme="minorHAnsi"/>
          <w:sz w:val="24"/>
        </w:rPr>
        <w:endnoteReference w:id="16"/>
      </w:r>
      <w:r w:rsidRPr="00741C79">
        <w:rPr>
          <w:rFonts w:cstheme="minorHAnsi"/>
          <w:sz w:val="24"/>
        </w:rPr>
        <w:t xml:space="preserve"> Additionally, predatory “payday” loan companies, which provide high-risk, high-interest loans outside of the banking system, are more likely to market their services to </w:t>
      </w:r>
      <w:r w:rsidRPr="00741C79">
        <w:rPr>
          <w:sz w:val="24"/>
        </w:rPr>
        <w:t>Black and Hispanic people, saddling them with additional debt.</w:t>
      </w:r>
      <w:r w:rsidR="000D3A46">
        <w:rPr>
          <w:rStyle w:val="EndnoteReference"/>
          <w:sz w:val="24"/>
        </w:rPr>
        <w:endnoteReference w:id="17"/>
      </w:r>
      <w:r w:rsidRPr="00741C79">
        <w:rPr>
          <w:sz w:val="24"/>
        </w:rPr>
        <w:t xml:space="preserve"> </w:t>
      </w:r>
    </w:p>
    <w:p w14:paraId="5FC3038C" w14:textId="77777777" w:rsidR="000038F6" w:rsidRPr="004B4621" w:rsidRDefault="002369E8" w:rsidP="00A67D4C">
      <w:pPr>
        <w:pStyle w:val="Heading1"/>
        <w:spacing w:after="60"/>
        <w:rPr>
          <w:b/>
          <w:bCs/>
          <w:color w:val="1F4E79" w:themeColor="accent1" w:themeShade="80"/>
          <w:sz w:val="36"/>
        </w:rPr>
      </w:pPr>
      <w:bookmarkStart w:id="5" w:name="_What_kind_of"/>
      <w:bookmarkStart w:id="6" w:name="_Examples__of"/>
      <w:bookmarkStart w:id="7" w:name="_What_are_examples"/>
      <w:bookmarkStart w:id="8" w:name="_Hlk77006361"/>
      <w:bookmarkEnd w:id="5"/>
      <w:bookmarkEnd w:id="6"/>
      <w:bookmarkEnd w:id="7"/>
      <w:r w:rsidRPr="004B4621">
        <w:rPr>
          <w:b/>
          <w:bCs/>
          <w:color w:val="1F4E79" w:themeColor="accent1" w:themeShade="80"/>
          <w:sz w:val="28"/>
          <w:szCs w:val="26"/>
        </w:rPr>
        <w:t xml:space="preserve">What are </w:t>
      </w:r>
      <w:r w:rsidR="009657EB" w:rsidRPr="004B4621">
        <w:rPr>
          <w:b/>
          <w:bCs/>
          <w:color w:val="1F4E79" w:themeColor="accent1" w:themeShade="80"/>
          <w:sz w:val="28"/>
          <w:szCs w:val="26"/>
        </w:rPr>
        <w:t xml:space="preserve">some </w:t>
      </w:r>
      <w:r w:rsidRPr="004B4621">
        <w:rPr>
          <w:b/>
          <w:bCs/>
          <w:color w:val="1F4E79" w:themeColor="accent1" w:themeShade="80"/>
          <w:sz w:val="28"/>
          <w:szCs w:val="26"/>
        </w:rPr>
        <w:t>e</w:t>
      </w:r>
      <w:r w:rsidR="000038F6" w:rsidRPr="004B4621">
        <w:rPr>
          <w:b/>
          <w:bCs/>
          <w:color w:val="1F4E79" w:themeColor="accent1" w:themeShade="80"/>
          <w:sz w:val="28"/>
          <w:szCs w:val="26"/>
        </w:rPr>
        <w:t xml:space="preserve">xamples of </w:t>
      </w:r>
      <w:r w:rsidR="00EC05FA" w:rsidRPr="004B4621">
        <w:rPr>
          <w:b/>
          <w:bCs/>
          <w:color w:val="1F4E79" w:themeColor="accent1" w:themeShade="80"/>
          <w:sz w:val="28"/>
          <w:szCs w:val="26"/>
        </w:rPr>
        <w:t xml:space="preserve">partnerships between the </w:t>
      </w:r>
      <w:r w:rsidRPr="004B4621">
        <w:rPr>
          <w:b/>
          <w:bCs/>
          <w:color w:val="1F4E79" w:themeColor="accent1" w:themeShade="80"/>
          <w:sz w:val="28"/>
          <w:szCs w:val="26"/>
        </w:rPr>
        <w:t>w</w:t>
      </w:r>
      <w:r w:rsidR="000038F6" w:rsidRPr="004B4621">
        <w:rPr>
          <w:b/>
          <w:bCs/>
          <w:color w:val="1F4E79" w:themeColor="accent1" w:themeShade="80"/>
          <w:sz w:val="28"/>
          <w:szCs w:val="26"/>
        </w:rPr>
        <w:t xml:space="preserve">orkforce </w:t>
      </w:r>
      <w:r w:rsidRPr="004B4621">
        <w:rPr>
          <w:b/>
          <w:bCs/>
          <w:color w:val="1F4E79" w:themeColor="accent1" w:themeShade="80"/>
          <w:sz w:val="28"/>
          <w:szCs w:val="26"/>
        </w:rPr>
        <w:t>s</w:t>
      </w:r>
      <w:r w:rsidR="000038F6" w:rsidRPr="004B4621">
        <w:rPr>
          <w:b/>
          <w:bCs/>
          <w:color w:val="1F4E79" w:themeColor="accent1" w:themeShade="80"/>
          <w:sz w:val="28"/>
          <w:szCs w:val="26"/>
        </w:rPr>
        <w:t>ystem</w:t>
      </w:r>
      <w:r w:rsidR="00EC05FA" w:rsidRPr="004B4621">
        <w:rPr>
          <w:b/>
          <w:bCs/>
          <w:color w:val="1F4E79" w:themeColor="accent1" w:themeShade="80"/>
          <w:sz w:val="28"/>
          <w:szCs w:val="26"/>
        </w:rPr>
        <w:t xml:space="preserve"> and </w:t>
      </w:r>
      <w:r w:rsidRPr="004B4621">
        <w:rPr>
          <w:b/>
          <w:bCs/>
          <w:color w:val="1F4E79" w:themeColor="accent1" w:themeShade="80"/>
          <w:sz w:val="28"/>
          <w:szCs w:val="26"/>
        </w:rPr>
        <w:t>b</w:t>
      </w:r>
      <w:r w:rsidR="000038F6" w:rsidRPr="004B4621">
        <w:rPr>
          <w:b/>
          <w:bCs/>
          <w:color w:val="1F4E79" w:themeColor="accent1" w:themeShade="80"/>
          <w:sz w:val="28"/>
          <w:szCs w:val="26"/>
        </w:rPr>
        <w:t>ank</w:t>
      </w:r>
      <w:r w:rsidR="00EC05FA" w:rsidRPr="004B4621">
        <w:rPr>
          <w:b/>
          <w:bCs/>
          <w:color w:val="1F4E79" w:themeColor="accent1" w:themeShade="80"/>
          <w:sz w:val="28"/>
          <w:szCs w:val="26"/>
        </w:rPr>
        <w:t>s</w:t>
      </w:r>
      <w:r w:rsidRPr="004B4621">
        <w:rPr>
          <w:b/>
          <w:bCs/>
          <w:color w:val="1F4E79" w:themeColor="accent1" w:themeShade="80"/>
          <w:sz w:val="28"/>
          <w:szCs w:val="26"/>
        </w:rPr>
        <w:t>?</w:t>
      </w:r>
    </w:p>
    <w:bookmarkEnd w:id="8"/>
    <w:p w14:paraId="576BEC26" w14:textId="77777777" w:rsidR="000038F6" w:rsidRPr="00741C79" w:rsidRDefault="000038F6" w:rsidP="00A67D4C">
      <w:pPr>
        <w:spacing w:after="120"/>
        <w:rPr>
          <w:rFonts w:cstheme="minorHAnsi"/>
          <w:b/>
          <w:bCs/>
          <w:i/>
          <w:iCs/>
          <w:sz w:val="24"/>
        </w:rPr>
      </w:pPr>
      <w:r w:rsidRPr="00741C79">
        <w:rPr>
          <w:rFonts w:cstheme="minorHAnsi"/>
          <w:b/>
          <w:bCs/>
          <w:i/>
          <w:iCs/>
          <w:sz w:val="24"/>
        </w:rPr>
        <w:t>SunTrust Bank with Northern Virginia Career Works and Prince George</w:t>
      </w:r>
      <w:r w:rsidR="0008169D" w:rsidRPr="00741C79">
        <w:rPr>
          <w:rFonts w:cstheme="minorHAnsi"/>
          <w:b/>
          <w:bCs/>
          <w:i/>
          <w:iCs/>
          <w:sz w:val="24"/>
        </w:rPr>
        <w:t>’</w:t>
      </w:r>
      <w:r w:rsidRPr="00741C79">
        <w:rPr>
          <w:rFonts w:cstheme="minorHAnsi"/>
          <w:b/>
          <w:bCs/>
          <w:i/>
          <w:iCs/>
          <w:sz w:val="24"/>
        </w:rPr>
        <w:t>s Community College</w:t>
      </w:r>
      <w:r w:rsidR="00AB1F19" w:rsidRPr="00741C79">
        <w:rPr>
          <w:rFonts w:cstheme="minorHAnsi"/>
          <w:b/>
          <w:bCs/>
          <w:i/>
          <w:iCs/>
          <w:sz w:val="24"/>
        </w:rPr>
        <w:t xml:space="preserve"> (Virginia and Maryland)</w:t>
      </w:r>
    </w:p>
    <w:p w14:paraId="624F42EC" w14:textId="77777777" w:rsidR="000038F6" w:rsidRPr="00741C79" w:rsidRDefault="009657EB" w:rsidP="000038F6">
      <w:pPr>
        <w:rPr>
          <w:rFonts w:cstheme="minorHAnsi"/>
          <w:sz w:val="24"/>
        </w:rPr>
      </w:pPr>
      <w:r w:rsidRPr="00741C79">
        <w:rPr>
          <w:rFonts w:cstheme="minorHAnsi"/>
          <w:sz w:val="24"/>
        </w:rPr>
        <w:t xml:space="preserve">In Virginia and Maryland, </w:t>
      </w:r>
      <w:r w:rsidR="000038F6" w:rsidRPr="00741C79">
        <w:rPr>
          <w:rFonts w:cstheme="minorHAnsi"/>
          <w:sz w:val="24"/>
        </w:rPr>
        <w:t xml:space="preserve">SunTrust Bank funded the creation of Financial Empowerment Centers (FECs) </w:t>
      </w:r>
      <w:r w:rsidRPr="00741C79">
        <w:rPr>
          <w:rFonts w:cstheme="minorHAnsi"/>
          <w:sz w:val="24"/>
        </w:rPr>
        <w:t xml:space="preserve">that are </w:t>
      </w:r>
      <w:r w:rsidR="000038F6" w:rsidRPr="00741C79">
        <w:rPr>
          <w:rFonts w:cstheme="minorHAnsi"/>
          <w:sz w:val="24"/>
        </w:rPr>
        <w:t>designed to increase the financial capabilit</w:t>
      </w:r>
      <w:r w:rsidR="00FC69AA" w:rsidRPr="00741C79">
        <w:rPr>
          <w:rFonts w:cstheme="minorHAnsi"/>
          <w:sz w:val="24"/>
        </w:rPr>
        <w:t>ies</w:t>
      </w:r>
      <w:r w:rsidR="000038F6" w:rsidRPr="00741C79">
        <w:rPr>
          <w:rFonts w:cstheme="minorHAnsi"/>
          <w:sz w:val="24"/>
        </w:rPr>
        <w:t xml:space="preserve"> of low- and moderate-income individuals. </w:t>
      </w:r>
      <w:r w:rsidR="002369E8" w:rsidRPr="00741C79">
        <w:rPr>
          <w:rFonts w:cstheme="minorHAnsi"/>
          <w:sz w:val="24"/>
        </w:rPr>
        <w:t xml:space="preserve">SunTrust </w:t>
      </w:r>
      <w:r w:rsidR="000038F6" w:rsidRPr="00741C79">
        <w:rPr>
          <w:rFonts w:cstheme="minorHAnsi"/>
          <w:sz w:val="24"/>
        </w:rPr>
        <w:t>provided grants through the United Way</w:t>
      </w:r>
      <w:r w:rsidRPr="00741C79">
        <w:rPr>
          <w:rFonts w:cstheme="minorHAnsi"/>
          <w:sz w:val="24"/>
        </w:rPr>
        <w:t>,</w:t>
      </w:r>
      <w:r w:rsidR="000038F6" w:rsidRPr="00741C79">
        <w:rPr>
          <w:rFonts w:cstheme="minorHAnsi"/>
          <w:sz w:val="24"/>
        </w:rPr>
        <w:t xml:space="preserve"> which in turn partnered with Virginia Career Works</w:t>
      </w:r>
      <w:r w:rsidR="00811C41" w:rsidRPr="00741C79">
        <w:rPr>
          <w:rFonts w:cstheme="minorHAnsi"/>
          <w:sz w:val="24"/>
        </w:rPr>
        <w:t xml:space="preserve"> </w:t>
      </w:r>
      <w:r w:rsidR="00FC69AA" w:rsidRPr="00741C79">
        <w:rPr>
          <w:rFonts w:cstheme="minorHAnsi"/>
          <w:sz w:val="24"/>
        </w:rPr>
        <w:t>—</w:t>
      </w:r>
      <w:r w:rsidR="00811C41" w:rsidRPr="00741C79">
        <w:rPr>
          <w:rFonts w:cstheme="minorHAnsi"/>
          <w:sz w:val="24"/>
        </w:rPr>
        <w:t xml:space="preserve"> </w:t>
      </w:r>
      <w:r w:rsidR="000038F6" w:rsidRPr="00741C79">
        <w:rPr>
          <w:rFonts w:cstheme="minorHAnsi"/>
          <w:sz w:val="24"/>
        </w:rPr>
        <w:t xml:space="preserve">Northern Region </w:t>
      </w:r>
      <w:r w:rsidR="0010281A" w:rsidRPr="00741C79">
        <w:rPr>
          <w:rFonts w:cstheme="minorHAnsi"/>
          <w:sz w:val="24"/>
        </w:rPr>
        <w:t xml:space="preserve">(a local workforce development board) </w:t>
      </w:r>
      <w:r w:rsidR="000038F6" w:rsidRPr="00741C79">
        <w:rPr>
          <w:rFonts w:cstheme="minorHAnsi"/>
          <w:sz w:val="24"/>
        </w:rPr>
        <w:t>and Prince George</w:t>
      </w:r>
      <w:r w:rsidR="0008169D" w:rsidRPr="00741C79">
        <w:rPr>
          <w:rFonts w:cstheme="minorHAnsi"/>
          <w:sz w:val="24"/>
        </w:rPr>
        <w:t>’</w:t>
      </w:r>
      <w:r w:rsidR="000038F6" w:rsidRPr="00741C79">
        <w:rPr>
          <w:rFonts w:cstheme="minorHAnsi"/>
          <w:sz w:val="24"/>
        </w:rPr>
        <w:t>s Community College to establish a</w:t>
      </w:r>
      <w:r w:rsidRPr="00741C79">
        <w:rPr>
          <w:rFonts w:cstheme="minorHAnsi"/>
          <w:sz w:val="24"/>
        </w:rPr>
        <w:t>n</w:t>
      </w:r>
      <w:r w:rsidR="000038F6" w:rsidRPr="00741C79">
        <w:rPr>
          <w:rFonts w:cstheme="minorHAnsi"/>
          <w:sz w:val="24"/>
        </w:rPr>
        <w:t xml:space="preserve"> FEC </w:t>
      </w:r>
      <w:r w:rsidR="0010281A" w:rsidRPr="00741C79">
        <w:rPr>
          <w:rFonts w:cstheme="minorHAnsi"/>
          <w:sz w:val="24"/>
        </w:rPr>
        <w:t xml:space="preserve">at </w:t>
      </w:r>
      <w:hyperlink r:id="rId17" w:history="1">
        <w:r w:rsidR="000038F6" w:rsidRPr="00741C79">
          <w:rPr>
            <w:rStyle w:val="Hyperlink"/>
            <w:rFonts w:cstheme="minorHAnsi"/>
            <w:sz w:val="24"/>
          </w:rPr>
          <w:t>an American Job Center</w:t>
        </w:r>
      </w:hyperlink>
      <w:r w:rsidR="000038F6" w:rsidRPr="00741C79">
        <w:rPr>
          <w:rFonts w:cstheme="minorHAnsi"/>
          <w:sz w:val="24"/>
        </w:rPr>
        <w:t xml:space="preserve"> and </w:t>
      </w:r>
      <w:r w:rsidR="00E263AB" w:rsidRPr="00741C79">
        <w:rPr>
          <w:rFonts w:cstheme="minorHAnsi"/>
          <w:sz w:val="24"/>
        </w:rPr>
        <w:t xml:space="preserve">another </w:t>
      </w:r>
      <w:r w:rsidR="000038F6" w:rsidRPr="00741C79">
        <w:rPr>
          <w:rFonts w:cstheme="minorHAnsi"/>
          <w:sz w:val="24"/>
        </w:rPr>
        <w:t xml:space="preserve">on a </w:t>
      </w:r>
      <w:hyperlink r:id="rId18" w:history="1">
        <w:r w:rsidR="000038F6" w:rsidRPr="00741C79">
          <w:rPr>
            <w:rStyle w:val="Hyperlink"/>
            <w:rFonts w:cstheme="minorHAnsi"/>
            <w:sz w:val="24"/>
          </w:rPr>
          <w:t>college campus</w:t>
        </w:r>
      </w:hyperlink>
      <w:r w:rsidR="000038F6" w:rsidRPr="00741C79">
        <w:rPr>
          <w:rFonts w:cstheme="minorHAnsi"/>
          <w:sz w:val="24"/>
        </w:rPr>
        <w:t xml:space="preserve">. </w:t>
      </w:r>
    </w:p>
    <w:p w14:paraId="15C73EC4" w14:textId="77777777" w:rsidR="00E21AB2" w:rsidRPr="00741C79" w:rsidRDefault="00E263AB" w:rsidP="000038F6">
      <w:pPr>
        <w:rPr>
          <w:rFonts w:cstheme="minorHAnsi"/>
          <w:sz w:val="24"/>
        </w:rPr>
      </w:pPr>
      <w:r w:rsidRPr="00741C79">
        <w:rPr>
          <w:rFonts w:cstheme="minorHAnsi"/>
          <w:sz w:val="24"/>
        </w:rPr>
        <w:t xml:space="preserve">The </w:t>
      </w:r>
      <w:r w:rsidR="000038F6" w:rsidRPr="00741C79">
        <w:rPr>
          <w:rFonts w:cstheme="minorHAnsi"/>
          <w:sz w:val="24"/>
        </w:rPr>
        <w:t>FEC</w:t>
      </w:r>
      <w:r w:rsidRPr="00741C79">
        <w:rPr>
          <w:rFonts w:cstheme="minorHAnsi"/>
          <w:sz w:val="24"/>
        </w:rPr>
        <w:t>s’</w:t>
      </w:r>
      <w:r w:rsidR="000038F6" w:rsidRPr="00741C79">
        <w:rPr>
          <w:rFonts w:cstheme="minorHAnsi"/>
          <w:sz w:val="24"/>
        </w:rPr>
        <w:t xml:space="preserve"> services include one-on-one financial coaching; small business coaching; workshops to address specific financial activities such as banking, saving, and taxes; and tax preparation in partnership with </w:t>
      </w:r>
      <w:r w:rsidR="00FC69AA" w:rsidRPr="00741C79">
        <w:rPr>
          <w:rFonts w:cstheme="minorHAnsi"/>
          <w:sz w:val="24"/>
        </w:rPr>
        <w:t>the I</w:t>
      </w:r>
      <w:r w:rsidR="0010281A" w:rsidRPr="00741C79">
        <w:rPr>
          <w:rFonts w:cstheme="minorHAnsi"/>
          <w:sz w:val="24"/>
        </w:rPr>
        <w:t xml:space="preserve">nternal </w:t>
      </w:r>
      <w:r w:rsidR="00FC69AA" w:rsidRPr="00741C79">
        <w:rPr>
          <w:rFonts w:cstheme="minorHAnsi"/>
          <w:sz w:val="24"/>
        </w:rPr>
        <w:t>R</w:t>
      </w:r>
      <w:r w:rsidR="0010281A" w:rsidRPr="00741C79">
        <w:rPr>
          <w:rFonts w:cstheme="minorHAnsi"/>
          <w:sz w:val="24"/>
        </w:rPr>
        <w:t xml:space="preserve">evenue </w:t>
      </w:r>
      <w:r w:rsidR="00FC69AA" w:rsidRPr="00741C79">
        <w:rPr>
          <w:rFonts w:cstheme="minorHAnsi"/>
          <w:sz w:val="24"/>
        </w:rPr>
        <w:t>S</w:t>
      </w:r>
      <w:r w:rsidR="0010281A" w:rsidRPr="00741C79">
        <w:rPr>
          <w:rFonts w:cstheme="minorHAnsi"/>
          <w:sz w:val="24"/>
        </w:rPr>
        <w:t>ervice</w:t>
      </w:r>
      <w:r w:rsidR="00FC69AA" w:rsidRPr="00741C79">
        <w:rPr>
          <w:rFonts w:cstheme="minorHAnsi"/>
          <w:sz w:val="24"/>
        </w:rPr>
        <w:t xml:space="preserve">’s </w:t>
      </w:r>
      <w:r w:rsidR="000038F6" w:rsidRPr="00741C79">
        <w:rPr>
          <w:rFonts w:cstheme="minorHAnsi"/>
          <w:sz w:val="24"/>
        </w:rPr>
        <w:t>Volunteer Income Tax Assistance. Co-location at an A</w:t>
      </w:r>
      <w:r w:rsidR="0010281A" w:rsidRPr="00741C79">
        <w:rPr>
          <w:rFonts w:cstheme="minorHAnsi"/>
          <w:sz w:val="24"/>
        </w:rPr>
        <w:t xml:space="preserve">merican </w:t>
      </w:r>
      <w:r w:rsidR="000038F6" w:rsidRPr="00741C79">
        <w:rPr>
          <w:rFonts w:cstheme="minorHAnsi"/>
          <w:sz w:val="24"/>
        </w:rPr>
        <w:t>J</w:t>
      </w:r>
      <w:r w:rsidR="0010281A" w:rsidRPr="00741C79">
        <w:rPr>
          <w:rFonts w:cstheme="minorHAnsi"/>
          <w:sz w:val="24"/>
        </w:rPr>
        <w:t xml:space="preserve">ob </w:t>
      </w:r>
      <w:r w:rsidR="000038F6" w:rsidRPr="00741C79">
        <w:rPr>
          <w:rFonts w:cstheme="minorHAnsi"/>
          <w:sz w:val="24"/>
        </w:rPr>
        <w:t>C</w:t>
      </w:r>
      <w:r w:rsidR="0010281A" w:rsidRPr="00741C79">
        <w:rPr>
          <w:rFonts w:cstheme="minorHAnsi"/>
          <w:sz w:val="24"/>
        </w:rPr>
        <w:t>enter</w:t>
      </w:r>
      <w:r w:rsidR="000038F6" w:rsidRPr="00741C79">
        <w:rPr>
          <w:rFonts w:cstheme="minorHAnsi"/>
          <w:sz w:val="24"/>
        </w:rPr>
        <w:t xml:space="preserve"> and on a college campus allow</w:t>
      </w:r>
      <w:r w:rsidR="009657EB" w:rsidRPr="00741C79">
        <w:rPr>
          <w:rFonts w:cstheme="minorHAnsi"/>
          <w:sz w:val="24"/>
        </w:rPr>
        <w:t>s</w:t>
      </w:r>
      <w:r w:rsidR="000038F6" w:rsidRPr="00741C79">
        <w:rPr>
          <w:rFonts w:cstheme="minorHAnsi"/>
          <w:sz w:val="24"/>
        </w:rPr>
        <w:t xml:space="preserve"> for a more comprehensive approach to serving customers.</w:t>
      </w:r>
      <w:r w:rsidR="004669EF" w:rsidRPr="00741C79">
        <w:rPr>
          <w:rFonts w:cstheme="minorHAnsi"/>
          <w:sz w:val="24"/>
        </w:rPr>
        <w:t xml:space="preserve"> </w:t>
      </w:r>
      <w:r w:rsidR="0010281A" w:rsidRPr="00741C79">
        <w:rPr>
          <w:rFonts w:cstheme="minorHAnsi"/>
          <w:sz w:val="24"/>
        </w:rPr>
        <w:t xml:space="preserve">The </w:t>
      </w:r>
      <w:r w:rsidR="000038F6" w:rsidRPr="00741C79">
        <w:rPr>
          <w:rFonts w:cstheme="minorHAnsi"/>
          <w:sz w:val="24"/>
        </w:rPr>
        <w:t>FECs pivoted to offer virtual services once the COVID-19 pandemic began.</w:t>
      </w:r>
    </w:p>
    <w:p w14:paraId="17BF8F51" w14:textId="77777777" w:rsidR="004669EF" w:rsidRPr="00741C79" w:rsidRDefault="004669EF" w:rsidP="000038F6">
      <w:pPr>
        <w:rPr>
          <w:rFonts w:cstheme="minorHAnsi"/>
          <w:sz w:val="24"/>
        </w:rPr>
      </w:pPr>
      <w:r w:rsidRPr="00741C79">
        <w:rPr>
          <w:rFonts w:cstheme="minorHAnsi"/>
          <w:sz w:val="24"/>
        </w:rPr>
        <w:lastRenderedPageBreak/>
        <w:t xml:space="preserve">The FEC model reflects an investment partnership </w:t>
      </w:r>
      <w:r w:rsidR="000D01AB" w:rsidRPr="00741C79">
        <w:rPr>
          <w:rFonts w:cstheme="minorHAnsi"/>
          <w:sz w:val="24"/>
        </w:rPr>
        <w:t xml:space="preserve">between </w:t>
      </w:r>
      <w:r w:rsidRPr="00741C79">
        <w:rPr>
          <w:rFonts w:cstheme="minorHAnsi"/>
          <w:sz w:val="24"/>
        </w:rPr>
        <w:t xml:space="preserve">banks </w:t>
      </w:r>
      <w:r w:rsidR="00A4657C" w:rsidRPr="00741C79">
        <w:rPr>
          <w:rFonts w:cstheme="minorHAnsi"/>
          <w:sz w:val="24"/>
        </w:rPr>
        <w:t xml:space="preserve">and </w:t>
      </w:r>
      <w:r w:rsidRPr="00741C79">
        <w:rPr>
          <w:rFonts w:cstheme="minorHAnsi"/>
          <w:sz w:val="24"/>
        </w:rPr>
        <w:t>the workforce system.</w:t>
      </w:r>
    </w:p>
    <w:p w14:paraId="2AE9CD0D" w14:textId="77777777" w:rsidR="00CA6A47" w:rsidRPr="00741C79" w:rsidRDefault="00AB1F19" w:rsidP="00A67D4C">
      <w:pPr>
        <w:rPr>
          <w:b/>
          <w:bCs/>
          <w:i/>
          <w:iCs/>
          <w:sz w:val="24"/>
        </w:rPr>
      </w:pPr>
      <w:r w:rsidRPr="00741C79">
        <w:rPr>
          <w:b/>
          <w:bCs/>
          <w:i/>
          <w:iCs/>
          <w:sz w:val="24"/>
        </w:rPr>
        <w:t xml:space="preserve">Multiple </w:t>
      </w:r>
      <w:r w:rsidR="0010281A" w:rsidRPr="00741C79">
        <w:rPr>
          <w:b/>
          <w:bCs/>
          <w:i/>
          <w:iCs/>
          <w:sz w:val="24"/>
        </w:rPr>
        <w:t>B</w:t>
      </w:r>
      <w:r w:rsidRPr="00741C79">
        <w:rPr>
          <w:b/>
          <w:bCs/>
          <w:i/>
          <w:iCs/>
          <w:sz w:val="24"/>
        </w:rPr>
        <w:t xml:space="preserve">anks and </w:t>
      </w:r>
      <w:r w:rsidR="00CA6A47" w:rsidRPr="00741C79">
        <w:rPr>
          <w:b/>
          <w:bCs/>
          <w:i/>
          <w:iCs/>
          <w:sz w:val="24"/>
        </w:rPr>
        <w:t>Albany</w:t>
      </w:r>
      <w:r w:rsidR="002F6879" w:rsidRPr="00741C79">
        <w:rPr>
          <w:b/>
          <w:bCs/>
          <w:i/>
          <w:iCs/>
          <w:sz w:val="24"/>
        </w:rPr>
        <w:t>-</w:t>
      </w:r>
      <w:r w:rsidR="00CA6A47" w:rsidRPr="00741C79">
        <w:rPr>
          <w:b/>
          <w:bCs/>
          <w:i/>
          <w:iCs/>
          <w:sz w:val="24"/>
        </w:rPr>
        <w:t>Renss</w:t>
      </w:r>
      <w:r w:rsidR="009657EB" w:rsidRPr="00741C79">
        <w:rPr>
          <w:b/>
          <w:bCs/>
          <w:i/>
          <w:iCs/>
          <w:sz w:val="24"/>
        </w:rPr>
        <w:t>e</w:t>
      </w:r>
      <w:r w:rsidR="00CA6A47" w:rsidRPr="00741C79">
        <w:rPr>
          <w:b/>
          <w:bCs/>
          <w:i/>
          <w:iCs/>
          <w:sz w:val="24"/>
        </w:rPr>
        <w:t>laer-Schenectady County</w:t>
      </w:r>
      <w:r w:rsidR="0036401B" w:rsidRPr="00741C79">
        <w:rPr>
          <w:b/>
          <w:bCs/>
          <w:i/>
          <w:iCs/>
          <w:sz w:val="24"/>
        </w:rPr>
        <w:t xml:space="preserve"> </w:t>
      </w:r>
      <w:r w:rsidR="0010281A" w:rsidRPr="00741C79">
        <w:rPr>
          <w:b/>
          <w:bCs/>
          <w:i/>
          <w:iCs/>
          <w:sz w:val="24"/>
        </w:rPr>
        <w:t>—</w:t>
      </w:r>
      <w:r w:rsidR="0036401B" w:rsidRPr="00741C79">
        <w:rPr>
          <w:b/>
          <w:bCs/>
          <w:i/>
          <w:iCs/>
          <w:sz w:val="24"/>
        </w:rPr>
        <w:t xml:space="preserve"> </w:t>
      </w:r>
      <w:r w:rsidR="00CA6A47" w:rsidRPr="00741C79">
        <w:rPr>
          <w:b/>
          <w:bCs/>
          <w:i/>
          <w:iCs/>
          <w:sz w:val="24"/>
        </w:rPr>
        <w:t>Capital Region (Albany, N</w:t>
      </w:r>
      <w:r w:rsidR="00E263AB" w:rsidRPr="00741C79">
        <w:rPr>
          <w:b/>
          <w:bCs/>
          <w:i/>
          <w:iCs/>
          <w:sz w:val="24"/>
        </w:rPr>
        <w:t xml:space="preserve">ew </w:t>
      </w:r>
      <w:r w:rsidR="00CA6A47" w:rsidRPr="00741C79">
        <w:rPr>
          <w:b/>
          <w:bCs/>
          <w:i/>
          <w:iCs/>
          <w:sz w:val="24"/>
        </w:rPr>
        <w:t>Y</w:t>
      </w:r>
      <w:r w:rsidR="00E263AB" w:rsidRPr="00741C79">
        <w:rPr>
          <w:b/>
          <w:bCs/>
          <w:i/>
          <w:iCs/>
          <w:sz w:val="24"/>
        </w:rPr>
        <w:t>ork</w:t>
      </w:r>
      <w:r w:rsidR="00CA6A47" w:rsidRPr="00741C79">
        <w:rPr>
          <w:b/>
          <w:bCs/>
          <w:i/>
          <w:iCs/>
          <w:sz w:val="24"/>
        </w:rPr>
        <w:t>)</w:t>
      </w:r>
    </w:p>
    <w:p w14:paraId="666C2F28" w14:textId="77777777" w:rsidR="007A0758" w:rsidRPr="00741C79" w:rsidRDefault="007A0758" w:rsidP="00202EFB">
      <w:pPr>
        <w:rPr>
          <w:sz w:val="24"/>
        </w:rPr>
      </w:pPr>
      <w:r w:rsidRPr="00741C79">
        <w:rPr>
          <w:sz w:val="24"/>
        </w:rPr>
        <w:t xml:space="preserve">Since 2001, the </w:t>
      </w:r>
      <w:r w:rsidR="00882487" w:rsidRPr="00741C79">
        <w:rPr>
          <w:sz w:val="24"/>
        </w:rPr>
        <w:t xml:space="preserve">Creating Assets, Savings, and Hope (CA$H) </w:t>
      </w:r>
      <w:r w:rsidRPr="00741C79">
        <w:rPr>
          <w:sz w:val="24"/>
        </w:rPr>
        <w:t xml:space="preserve">Coalition </w:t>
      </w:r>
      <w:r w:rsidR="003075DF" w:rsidRPr="00741C79">
        <w:rPr>
          <w:sz w:val="24"/>
        </w:rPr>
        <w:t xml:space="preserve">has brought </w:t>
      </w:r>
      <w:r w:rsidRPr="00741C79">
        <w:rPr>
          <w:sz w:val="24"/>
        </w:rPr>
        <w:t>together banks and community-based agencies, including the workforce development board i</w:t>
      </w:r>
      <w:r w:rsidR="00CA6A47" w:rsidRPr="00741C79">
        <w:rPr>
          <w:sz w:val="24"/>
        </w:rPr>
        <w:t>n Albany, New York</w:t>
      </w:r>
      <w:r w:rsidRPr="00741C79">
        <w:rPr>
          <w:sz w:val="24"/>
        </w:rPr>
        <w:t>,</w:t>
      </w:r>
      <w:r w:rsidR="00CA6A47" w:rsidRPr="00741C79">
        <w:rPr>
          <w:sz w:val="24"/>
        </w:rPr>
        <w:t xml:space="preserve"> </w:t>
      </w:r>
      <w:r w:rsidRPr="00741C79">
        <w:rPr>
          <w:sz w:val="24"/>
        </w:rPr>
        <w:t>to provide programs that</w:t>
      </w:r>
      <w:r w:rsidR="00CA6A47" w:rsidRPr="00741C79">
        <w:rPr>
          <w:sz w:val="24"/>
        </w:rPr>
        <w:t xml:space="preserve"> increas</w:t>
      </w:r>
      <w:r w:rsidRPr="00741C79">
        <w:rPr>
          <w:sz w:val="24"/>
        </w:rPr>
        <w:t>e</w:t>
      </w:r>
      <w:r w:rsidR="00CA6A47" w:rsidRPr="00741C79">
        <w:rPr>
          <w:sz w:val="24"/>
        </w:rPr>
        <w:t xml:space="preserve"> the </w:t>
      </w:r>
      <w:r w:rsidR="00202EFB" w:rsidRPr="00741C79">
        <w:rPr>
          <w:sz w:val="24"/>
        </w:rPr>
        <w:t>f</w:t>
      </w:r>
      <w:r w:rsidR="00CA6A47" w:rsidRPr="00741C79">
        <w:rPr>
          <w:sz w:val="24"/>
        </w:rPr>
        <w:t>inancial capabilit</w:t>
      </w:r>
      <w:r w:rsidR="009657EB" w:rsidRPr="00741C79">
        <w:rPr>
          <w:sz w:val="24"/>
        </w:rPr>
        <w:t>ies</w:t>
      </w:r>
      <w:r w:rsidR="00CA6A47" w:rsidRPr="00741C79">
        <w:rPr>
          <w:sz w:val="24"/>
        </w:rPr>
        <w:t xml:space="preserve"> of people with disabilities and others in the </w:t>
      </w:r>
      <w:r w:rsidRPr="00741C79">
        <w:rPr>
          <w:sz w:val="24"/>
        </w:rPr>
        <w:t>low- and moderate-income</w:t>
      </w:r>
      <w:r w:rsidR="00CA6A47" w:rsidRPr="00741C79">
        <w:rPr>
          <w:sz w:val="24"/>
        </w:rPr>
        <w:t xml:space="preserve"> population. </w:t>
      </w:r>
      <w:r w:rsidR="006365D5" w:rsidRPr="00741C79">
        <w:rPr>
          <w:sz w:val="24"/>
        </w:rPr>
        <w:t xml:space="preserve">The </w:t>
      </w:r>
      <w:r w:rsidRPr="00741C79">
        <w:rPr>
          <w:sz w:val="24"/>
        </w:rPr>
        <w:t>Cities for Financial Empowerment</w:t>
      </w:r>
      <w:r w:rsidR="006365D5" w:rsidRPr="00741C79">
        <w:rPr>
          <w:sz w:val="24"/>
        </w:rPr>
        <w:t xml:space="preserve"> Coalition</w:t>
      </w:r>
      <w:r w:rsidRPr="00741C79">
        <w:rPr>
          <w:sz w:val="24"/>
        </w:rPr>
        <w:t xml:space="preserve"> </w:t>
      </w:r>
      <w:r w:rsidR="00323DFF" w:rsidRPr="00741C79">
        <w:rPr>
          <w:sz w:val="24"/>
        </w:rPr>
        <w:t xml:space="preserve">spearheaded the development of the </w:t>
      </w:r>
      <w:r w:rsidRPr="00741C79">
        <w:rPr>
          <w:sz w:val="24"/>
        </w:rPr>
        <w:t>CA$H Coalition</w:t>
      </w:r>
      <w:r w:rsidR="009657EB" w:rsidRPr="00741C79">
        <w:rPr>
          <w:sz w:val="24"/>
        </w:rPr>
        <w:t xml:space="preserve">; </w:t>
      </w:r>
      <w:r w:rsidR="00202EFB" w:rsidRPr="00741C79">
        <w:rPr>
          <w:sz w:val="24"/>
        </w:rPr>
        <w:t>Wildwood, an area nonprofit agency that is a part of the workforce system</w:t>
      </w:r>
      <w:r w:rsidRPr="00741C79">
        <w:rPr>
          <w:sz w:val="24"/>
        </w:rPr>
        <w:t xml:space="preserve">, leads </w:t>
      </w:r>
      <w:r w:rsidR="00E263AB" w:rsidRPr="00741C79">
        <w:rPr>
          <w:sz w:val="24"/>
        </w:rPr>
        <w:t>it</w:t>
      </w:r>
      <w:r w:rsidR="00202EFB" w:rsidRPr="00741C79">
        <w:rPr>
          <w:sz w:val="24"/>
        </w:rPr>
        <w:t xml:space="preserve">. </w:t>
      </w:r>
    </w:p>
    <w:p w14:paraId="5F59FDA7" w14:textId="77777777" w:rsidR="006365D5" w:rsidRPr="00741C79" w:rsidRDefault="00202EFB" w:rsidP="006365D5">
      <w:pPr>
        <w:rPr>
          <w:sz w:val="24"/>
        </w:rPr>
      </w:pPr>
      <w:r w:rsidRPr="00741C79">
        <w:rPr>
          <w:sz w:val="24"/>
        </w:rPr>
        <w:t xml:space="preserve">Known </w:t>
      </w:r>
      <w:r w:rsidR="00CA6A47" w:rsidRPr="00741C79">
        <w:rPr>
          <w:sz w:val="24"/>
        </w:rPr>
        <w:t xml:space="preserve">more widely as </w:t>
      </w:r>
      <w:r w:rsidR="0008169D" w:rsidRPr="00741C79">
        <w:rPr>
          <w:sz w:val="24"/>
        </w:rPr>
        <w:t>“</w:t>
      </w:r>
      <w:hyperlink r:id="rId19" w:history="1">
        <w:r w:rsidR="00CA6A47" w:rsidRPr="00741C79">
          <w:rPr>
            <w:rStyle w:val="Hyperlink"/>
            <w:sz w:val="24"/>
          </w:rPr>
          <w:t>Bank On</w:t>
        </w:r>
      </w:hyperlink>
      <w:r w:rsidRPr="00741C79">
        <w:rPr>
          <w:sz w:val="24"/>
        </w:rPr>
        <w:t>,</w:t>
      </w:r>
      <w:r w:rsidR="0008169D" w:rsidRPr="00741C79">
        <w:rPr>
          <w:sz w:val="24"/>
        </w:rPr>
        <w:t>”</w:t>
      </w:r>
      <w:r w:rsidR="00CA6A47" w:rsidRPr="00741C79">
        <w:rPr>
          <w:sz w:val="24"/>
        </w:rPr>
        <w:t xml:space="preserve"> </w:t>
      </w:r>
      <w:r w:rsidRPr="00741C79">
        <w:rPr>
          <w:sz w:val="24"/>
        </w:rPr>
        <w:t xml:space="preserve">the effort </w:t>
      </w:r>
      <w:r w:rsidR="00CA6A47" w:rsidRPr="00741C79">
        <w:rPr>
          <w:sz w:val="24"/>
        </w:rPr>
        <w:t>engage</w:t>
      </w:r>
      <w:r w:rsidRPr="00741C79">
        <w:rPr>
          <w:sz w:val="24"/>
        </w:rPr>
        <w:t>s</w:t>
      </w:r>
      <w:r w:rsidR="00CA6A47" w:rsidRPr="00741C79">
        <w:rPr>
          <w:sz w:val="24"/>
        </w:rPr>
        <w:t xml:space="preserve"> job seekers</w:t>
      </w:r>
      <w:r w:rsidR="005875D4" w:rsidRPr="00741C79">
        <w:rPr>
          <w:sz w:val="24"/>
        </w:rPr>
        <w:t>, especially people with disabilities,</w:t>
      </w:r>
      <w:r w:rsidR="00CA6A47" w:rsidRPr="00741C79">
        <w:rPr>
          <w:sz w:val="24"/>
        </w:rPr>
        <w:t xml:space="preserve"> in:</w:t>
      </w:r>
    </w:p>
    <w:p w14:paraId="1A64CDA1" w14:textId="77777777" w:rsidR="00CA6A47" w:rsidRPr="00741C79" w:rsidRDefault="001A6F82" w:rsidP="006365D5">
      <w:pPr>
        <w:pStyle w:val="ListParagraph"/>
        <w:numPr>
          <w:ilvl w:val="0"/>
          <w:numId w:val="32"/>
        </w:numPr>
        <w:rPr>
          <w:sz w:val="24"/>
        </w:rPr>
      </w:pPr>
      <w:r w:rsidRPr="00741C79">
        <w:rPr>
          <w:sz w:val="24"/>
        </w:rPr>
        <w:t>F</w:t>
      </w:r>
      <w:r w:rsidR="00CA6A47" w:rsidRPr="00741C79">
        <w:rPr>
          <w:sz w:val="24"/>
        </w:rPr>
        <w:t xml:space="preserve">inancial </w:t>
      </w:r>
      <w:r w:rsidR="009657EB" w:rsidRPr="00741C79">
        <w:rPr>
          <w:sz w:val="24"/>
        </w:rPr>
        <w:t>c</w:t>
      </w:r>
      <w:r w:rsidR="00CA6A47" w:rsidRPr="00741C79">
        <w:rPr>
          <w:sz w:val="24"/>
        </w:rPr>
        <w:t>apability</w:t>
      </w:r>
      <w:r w:rsidR="005875D4" w:rsidRPr="00741C79">
        <w:rPr>
          <w:sz w:val="24"/>
        </w:rPr>
        <w:t xml:space="preserve"> </w:t>
      </w:r>
      <w:r w:rsidR="009657EB" w:rsidRPr="00741C79">
        <w:rPr>
          <w:sz w:val="24"/>
        </w:rPr>
        <w:t>w</w:t>
      </w:r>
      <w:r w:rsidR="005875D4" w:rsidRPr="00741C79">
        <w:rPr>
          <w:sz w:val="24"/>
        </w:rPr>
        <w:t>orkshops</w:t>
      </w:r>
      <w:r w:rsidR="00E263AB" w:rsidRPr="00741C79">
        <w:rPr>
          <w:sz w:val="24"/>
        </w:rPr>
        <w:t xml:space="preserve">, where </w:t>
      </w:r>
      <w:r w:rsidR="00CA6A47" w:rsidRPr="00741C79">
        <w:rPr>
          <w:sz w:val="24"/>
        </w:rPr>
        <w:t>volunteers from banks and credit unions join other professionals to provide training</w:t>
      </w:r>
      <w:r w:rsidRPr="00741C79">
        <w:rPr>
          <w:sz w:val="24"/>
        </w:rPr>
        <w:t>.</w:t>
      </w:r>
    </w:p>
    <w:p w14:paraId="28316ACA" w14:textId="77777777" w:rsidR="00CA6A47" w:rsidRPr="00741C79" w:rsidRDefault="00E263AB" w:rsidP="006365D5">
      <w:pPr>
        <w:pStyle w:val="ListParagraph"/>
        <w:numPr>
          <w:ilvl w:val="0"/>
          <w:numId w:val="32"/>
        </w:numPr>
        <w:rPr>
          <w:sz w:val="24"/>
        </w:rPr>
      </w:pPr>
      <w:r w:rsidRPr="00741C79">
        <w:rPr>
          <w:sz w:val="24"/>
        </w:rPr>
        <w:t xml:space="preserve">FECs, where </w:t>
      </w:r>
      <w:r w:rsidR="005875D4" w:rsidRPr="00741C79">
        <w:rPr>
          <w:sz w:val="24"/>
        </w:rPr>
        <w:t xml:space="preserve">staff from financial institutions volunteer and donate resources </w:t>
      </w:r>
      <w:r w:rsidR="00CA6A47" w:rsidRPr="00741C79">
        <w:rPr>
          <w:sz w:val="24"/>
        </w:rPr>
        <w:t>and strategies, including bank and credit union services</w:t>
      </w:r>
      <w:r w:rsidR="001A6F82" w:rsidRPr="00741C79">
        <w:rPr>
          <w:sz w:val="24"/>
        </w:rPr>
        <w:t>.</w:t>
      </w:r>
    </w:p>
    <w:p w14:paraId="0ADA7DEF" w14:textId="77777777" w:rsidR="00CA6A47" w:rsidRPr="00741C79" w:rsidRDefault="001A6F82" w:rsidP="006365D5">
      <w:pPr>
        <w:pStyle w:val="ListParagraph"/>
        <w:numPr>
          <w:ilvl w:val="0"/>
          <w:numId w:val="32"/>
        </w:numPr>
        <w:rPr>
          <w:sz w:val="24"/>
        </w:rPr>
      </w:pPr>
      <w:r w:rsidRPr="00741C79">
        <w:rPr>
          <w:sz w:val="24"/>
        </w:rPr>
        <w:t>F</w:t>
      </w:r>
      <w:r w:rsidR="00CA6A47" w:rsidRPr="00741C79">
        <w:rPr>
          <w:sz w:val="24"/>
        </w:rPr>
        <w:t xml:space="preserve">inancial </w:t>
      </w:r>
      <w:r w:rsidR="009657EB" w:rsidRPr="00741C79">
        <w:rPr>
          <w:sz w:val="24"/>
        </w:rPr>
        <w:t>c</w:t>
      </w:r>
      <w:r w:rsidR="00CA6A47" w:rsidRPr="00741C79">
        <w:rPr>
          <w:sz w:val="24"/>
        </w:rPr>
        <w:t>oaching</w:t>
      </w:r>
      <w:r w:rsidR="00E263AB" w:rsidRPr="00741C79">
        <w:rPr>
          <w:sz w:val="24"/>
        </w:rPr>
        <w:t xml:space="preserve">, where </w:t>
      </w:r>
      <w:r w:rsidR="00CA6A47" w:rsidRPr="00741C79">
        <w:rPr>
          <w:sz w:val="24"/>
        </w:rPr>
        <w:t>financial Institutions offer financial wellness</w:t>
      </w:r>
      <w:r w:rsidR="005875D4" w:rsidRPr="00741C79">
        <w:rPr>
          <w:sz w:val="24"/>
        </w:rPr>
        <w:t xml:space="preserve"> one-on-one</w:t>
      </w:r>
      <w:r w:rsidR="00CA6A47" w:rsidRPr="00741C79">
        <w:rPr>
          <w:sz w:val="24"/>
        </w:rPr>
        <w:t xml:space="preserve"> coaching in their own facilit</w:t>
      </w:r>
      <w:r w:rsidR="00E263AB" w:rsidRPr="00741C79">
        <w:rPr>
          <w:sz w:val="24"/>
        </w:rPr>
        <w:t>ies</w:t>
      </w:r>
      <w:r w:rsidR="00CA6A47" w:rsidRPr="00741C79">
        <w:rPr>
          <w:sz w:val="24"/>
        </w:rPr>
        <w:t xml:space="preserve"> upon referral</w:t>
      </w:r>
      <w:r w:rsidRPr="00741C79">
        <w:rPr>
          <w:sz w:val="24"/>
        </w:rPr>
        <w:t>.</w:t>
      </w:r>
    </w:p>
    <w:p w14:paraId="7B1DF64A" w14:textId="77777777" w:rsidR="00CA6A47" w:rsidRPr="00741C79" w:rsidRDefault="00CA6A47" w:rsidP="006365D5">
      <w:pPr>
        <w:pStyle w:val="ListParagraph"/>
        <w:numPr>
          <w:ilvl w:val="0"/>
          <w:numId w:val="32"/>
        </w:numPr>
        <w:rPr>
          <w:sz w:val="24"/>
        </w:rPr>
      </w:pPr>
      <w:r w:rsidRPr="00741C79">
        <w:rPr>
          <w:sz w:val="24"/>
        </w:rPr>
        <w:t xml:space="preserve">Volunteer </w:t>
      </w:r>
      <w:r w:rsidR="002F6879" w:rsidRPr="00741C79">
        <w:rPr>
          <w:sz w:val="24"/>
        </w:rPr>
        <w:t>i</w:t>
      </w:r>
      <w:r w:rsidRPr="00741C79">
        <w:rPr>
          <w:sz w:val="24"/>
        </w:rPr>
        <w:t xml:space="preserve">ncome </w:t>
      </w:r>
      <w:r w:rsidR="002F6879" w:rsidRPr="00741C79">
        <w:rPr>
          <w:sz w:val="24"/>
        </w:rPr>
        <w:t>t</w:t>
      </w:r>
      <w:r w:rsidRPr="00741C79">
        <w:rPr>
          <w:sz w:val="24"/>
        </w:rPr>
        <w:t xml:space="preserve">ax </w:t>
      </w:r>
      <w:r w:rsidR="002F6879" w:rsidRPr="00741C79">
        <w:rPr>
          <w:sz w:val="24"/>
        </w:rPr>
        <w:t>p</w:t>
      </w:r>
      <w:r w:rsidRPr="00741C79">
        <w:rPr>
          <w:sz w:val="24"/>
        </w:rPr>
        <w:t>rep</w:t>
      </w:r>
      <w:r w:rsidR="004669EF" w:rsidRPr="00741C79">
        <w:rPr>
          <w:sz w:val="24"/>
        </w:rPr>
        <w:t>aration</w:t>
      </w:r>
      <w:r w:rsidR="00E263AB" w:rsidRPr="00741C79">
        <w:rPr>
          <w:sz w:val="24"/>
        </w:rPr>
        <w:t xml:space="preserve">, where </w:t>
      </w:r>
      <w:r w:rsidRPr="00741C79">
        <w:rPr>
          <w:sz w:val="24"/>
        </w:rPr>
        <w:t xml:space="preserve">volunteers from the community, </w:t>
      </w:r>
      <w:r w:rsidR="004669EF" w:rsidRPr="00741C79">
        <w:rPr>
          <w:sz w:val="24"/>
        </w:rPr>
        <w:t>including</w:t>
      </w:r>
      <w:r w:rsidRPr="00741C79">
        <w:rPr>
          <w:sz w:val="24"/>
        </w:rPr>
        <w:t xml:space="preserve"> bank employees</w:t>
      </w:r>
      <w:r w:rsidR="004669EF" w:rsidRPr="00741C79">
        <w:rPr>
          <w:sz w:val="24"/>
        </w:rPr>
        <w:t xml:space="preserve">, with </w:t>
      </w:r>
      <w:r w:rsidRPr="00741C79">
        <w:rPr>
          <w:sz w:val="24"/>
        </w:rPr>
        <w:t>some funding support from the I</w:t>
      </w:r>
      <w:r w:rsidR="004669EF" w:rsidRPr="00741C79">
        <w:rPr>
          <w:sz w:val="24"/>
        </w:rPr>
        <w:t xml:space="preserve">nternal </w:t>
      </w:r>
      <w:r w:rsidRPr="00741C79">
        <w:rPr>
          <w:sz w:val="24"/>
        </w:rPr>
        <w:t>R</w:t>
      </w:r>
      <w:r w:rsidR="004669EF" w:rsidRPr="00741C79">
        <w:rPr>
          <w:sz w:val="24"/>
        </w:rPr>
        <w:t xml:space="preserve">evenue </w:t>
      </w:r>
      <w:r w:rsidRPr="00741C79">
        <w:rPr>
          <w:sz w:val="24"/>
        </w:rPr>
        <w:t>S</w:t>
      </w:r>
      <w:r w:rsidR="004669EF" w:rsidRPr="00741C79">
        <w:rPr>
          <w:sz w:val="24"/>
        </w:rPr>
        <w:t>ervice, help people complete their tax returns</w:t>
      </w:r>
      <w:r w:rsidRPr="00741C79">
        <w:rPr>
          <w:sz w:val="24"/>
        </w:rPr>
        <w:t>.</w:t>
      </w:r>
    </w:p>
    <w:p w14:paraId="477E6520" w14:textId="77777777" w:rsidR="00CA6A47" w:rsidRPr="00741C79" w:rsidRDefault="000D01AB" w:rsidP="00202EFB">
      <w:pPr>
        <w:rPr>
          <w:sz w:val="24"/>
        </w:rPr>
      </w:pPr>
      <w:r w:rsidRPr="00741C79">
        <w:rPr>
          <w:sz w:val="24"/>
        </w:rPr>
        <w:t xml:space="preserve">Banks that are part of the </w:t>
      </w:r>
      <w:r w:rsidR="00CA6A47" w:rsidRPr="00741C79">
        <w:rPr>
          <w:sz w:val="24"/>
        </w:rPr>
        <w:t>Bank</w:t>
      </w:r>
      <w:r w:rsidR="00E263AB" w:rsidRPr="00741C79">
        <w:rPr>
          <w:sz w:val="24"/>
        </w:rPr>
        <w:t xml:space="preserve"> </w:t>
      </w:r>
      <w:r w:rsidR="00CA6A47" w:rsidRPr="00741C79">
        <w:rPr>
          <w:sz w:val="24"/>
        </w:rPr>
        <w:t xml:space="preserve">On </w:t>
      </w:r>
      <w:r w:rsidRPr="00741C79">
        <w:rPr>
          <w:sz w:val="24"/>
        </w:rPr>
        <w:t xml:space="preserve">coalition </w:t>
      </w:r>
      <w:r w:rsidR="00202EFB" w:rsidRPr="00741C79">
        <w:rPr>
          <w:sz w:val="24"/>
        </w:rPr>
        <w:t>contribute</w:t>
      </w:r>
      <w:r w:rsidR="00CA6A47" w:rsidRPr="00741C79">
        <w:rPr>
          <w:sz w:val="24"/>
        </w:rPr>
        <w:t xml:space="preserve"> investments and services to the growth of this community.</w:t>
      </w:r>
    </w:p>
    <w:p w14:paraId="56FA5A5C" w14:textId="513517C8" w:rsidR="00CA6A47" w:rsidRPr="00741C79" w:rsidRDefault="00882487" w:rsidP="00A67D4C">
      <w:pPr>
        <w:rPr>
          <w:b/>
          <w:bCs/>
          <w:i/>
          <w:iCs/>
          <w:sz w:val="24"/>
        </w:rPr>
      </w:pPr>
      <w:r w:rsidRPr="00741C79">
        <w:rPr>
          <w:b/>
          <w:bCs/>
          <w:i/>
          <w:iCs/>
          <w:sz w:val="24"/>
        </w:rPr>
        <w:t xml:space="preserve">Multiple Banks and </w:t>
      </w:r>
      <w:r w:rsidR="00CA6A47" w:rsidRPr="00741C79">
        <w:rPr>
          <w:b/>
          <w:bCs/>
          <w:i/>
          <w:iCs/>
          <w:sz w:val="24"/>
        </w:rPr>
        <w:t>Arapahoe/Douglas Works</w:t>
      </w:r>
      <w:r w:rsidRPr="00741C79">
        <w:rPr>
          <w:b/>
          <w:bCs/>
          <w:i/>
          <w:iCs/>
          <w:sz w:val="24"/>
        </w:rPr>
        <w:t>!</w:t>
      </w:r>
      <w:r w:rsidR="00CA6A47" w:rsidRPr="00741C79">
        <w:rPr>
          <w:b/>
          <w:bCs/>
          <w:i/>
          <w:iCs/>
          <w:sz w:val="24"/>
        </w:rPr>
        <w:t xml:space="preserve"> (Denver, C</w:t>
      </w:r>
      <w:r w:rsidR="00E263AB" w:rsidRPr="00741C79">
        <w:rPr>
          <w:b/>
          <w:bCs/>
          <w:i/>
          <w:iCs/>
          <w:sz w:val="24"/>
        </w:rPr>
        <w:t>olorado</w:t>
      </w:r>
      <w:r w:rsidR="00CA6A47" w:rsidRPr="00741C79">
        <w:rPr>
          <w:b/>
          <w:bCs/>
          <w:i/>
          <w:iCs/>
          <w:sz w:val="24"/>
        </w:rPr>
        <w:t xml:space="preserve"> area)</w:t>
      </w:r>
    </w:p>
    <w:p w14:paraId="5D695E2D" w14:textId="77777777" w:rsidR="00CA6A47" w:rsidRPr="00741C79" w:rsidRDefault="00CA6A47" w:rsidP="01AA5188">
      <w:pPr>
        <w:rPr>
          <w:sz w:val="24"/>
          <w:szCs w:val="24"/>
        </w:rPr>
      </w:pPr>
      <w:r w:rsidRPr="00741C79">
        <w:rPr>
          <w:sz w:val="24"/>
          <w:szCs w:val="24"/>
        </w:rPr>
        <w:t xml:space="preserve">The workforce system in Arapahoe and Douglas Counties, Colorado, partnered with Goodwill Industries of Denver in their </w:t>
      </w:r>
      <w:hyperlink r:id="rId20">
        <w:r w:rsidRPr="00741C79">
          <w:rPr>
            <w:rStyle w:val="Hyperlink"/>
            <w:sz w:val="24"/>
            <w:szCs w:val="24"/>
          </w:rPr>
          <w:t>Bankwork$</w:t>
        </w:r>
      </w:hyperlink>
      <w:r w:rsidRPr="00741C79">
        <w:rPr>
          <w:sz w:val="24"/>
          <w:szCs w:val="24"/>
        </w:rPr>
        <w:t xml:space="preserve"> </w:t>
      </w:r>
      <w:r w:rsidR="00A672EA" w:rsidRPr="00741C79">
        <w:rPr>
          <w:sz w:val="24"/>
          <w:szCs w:val="24"/>
        </w:rPr>
        <w:t>program</w:t>
      </w:r>
      <w:r w:rsidRPr="00741C79">
        <w:rPr>
          <w:sz w:val="24"/>
          <w:szCs w:val="24"/>
        </w:rPr>
        <w:t xml:space="preserve">. Bankwork$ provides </w:t>
      </w:r>
      <w:r w:rsidR="009657EB" w:rsidRPr="00741C79">
        <w:rPr>
          <w:sz w:val="24"/>
          <w:szCs w:val="24"/>
        </w:rPr>
        <w:t xml:space="preserve">young adults with </w:t>
      </w:r>
      <w:r w:rsidRPr="00741C79">
        <w:rPr>
          <w:sz w:val="24"/>
          <w:szCs w:val="24"/>
        </w:rPr>
        <w:t>training</w:t>
      </w:r>
      <w:r w:rsidR="00A672EA" w:rsidRPr="00741C79">
        <w:rPr>
          <w:sz w:val="24"/>
          <w:szCs w:val="24"/>
        </w:rPr>
        <w:t xml:space="preserve"> for entry-level positions in banking</w:t>
      </w:r>
      <w:r w:rsidR="009657EB" w:rsidRPr="00741C79">
        <w:rPr>
          <w:sz w:val="24"/>
          <w:szCs w:val="24"/>
        </w:rPr>
        <w:t xml:space="preserve"> as well as</w:t>
      </w:r>
      <w:r w:rsidRPr="00741C79">
        <w:rPr>
          <w:sz w:val="24"/>
          <w:szCs w:val="24"/>
        </w:rPr>
        <w:t xml:space="preserve"> work experience</w:t>
      </w:r>
      <w:r w:rsidR="009657EB" w:rsidRPr="00741C79">
        <w:rPr>
          <w:sz w:val="24"/>
          <w:szCs w:val="24"/>
        </w:rPr>
        <w:t>,</w:t>
      </w:r>
      <w:r w:rsidRPr="00741C79">
        <w:rPr>
          <w:sz w:val="24"/>
          <w:szCs w:val="24"/>
        </w:rPr>
        <w:t xml:space="preserve"> coaching</w:t>
      </w:r>
      <w:r w:rsidR="009657EB" w:rsidRPr="00741C79">
        <w:rPr>
          <w:sz w:val="24"/>
          <w:szCs w:val="24"/>
        </w:rPr>
        <w:t>,</w:t>
      </w:r>
      <w:r w:rsidRPr="00741C79">
        <w:rPr>
          <w:sz w:val="24"/>
          <w:szCs w:val="24"/>
        </w:rPr>
        <w:t xml:space="preserve"> and </w:t>
      </w:r>
      <w:r w:rsidR="0010281A" w:rsidRPr="00741C79">
        <w:rPr>
          <w:sz w:val="24"/>
          <w:szCs w:val="24"/>
        </w:rPr>
        <w:t xml:space="preserve">support with </w:t>
      </w:r>
      <w:r w:rsidRPr="00741C79">
        <w:rPr>
          <w:sz w:val="24"/>
          <w:szCs w:val="24"/>
        </w:rPr>
        <w:t xml:space="preserve">placement into careers in the </w:t>
      </w:r>
      <w:r w:rsidR="00A672EA" w:rsidRPr="00741C79">
        <w:rPr>
          <w:sz w:val="24"/>
          <w:szCs w:val="24"/>
        </w:rPr>
        <w:t>f</w:t>
      </w:r>
      <w:r w:rsidRPr="00741C79">
        <w:rPr>
          <w:sz w:val="24"/>
          <w:szCs w:val="24"/>
        </w:rPr>
        <w:t xml:space="preserve">inancial </w:t>
      </w:r>
      <w:r w:rsidR="00A672EA" w:rsidRPr="00741C79">
        <w:rPr>
          <w:sz w:val="24"/>
          <w:szCs w:val="24"/>
        </w:rPr>
        <w:t>i</w:t>
      </w:r>
      <w:r w:rsidRPr="00741C79">
        <w:rPr>
          <w:sz w:val="24"/>
          <w:szCs w:val="24"/>
        </w:rPr>
        <w:t xml:space="preserve">ndustry. </w:t>
      </w:r>
      <w:r w:rsidR="009657EB" w:rsidRPr="00741C79">
        <w:rPr>
          <w:sz w:val="24"/>
          <w:szCs w:val="24"/>
        </w:rPr>
        <w:t>Wells Fargo and Bank of America support t</w:t>
      </w:r>
      <w:r w:rsidRPr="00741C79">
        <w:rPr>
          <w:sz w:val="24"/>
          <w:szCs w:val="24"/>
        </w:rPr>
        <w:t>his workforce development approach</w:t>
      </w:r>
      <w:r w:rsidR="009657EB" w:rsidRPr="00741C79">
        <w:rPr>
          <w:sz w:val="24"/>
          <w:szCs w:val="24"/>
        </w:rPr>
        <w:t xml:space="preserve"> </w:t>
      </w:r>
      <w:r w:rsidRPr="00741C79">
        <w:rPr>
          <w:sz w:val="24"/>
          <w:szCs w:val="24"/>
        </w:rPr>
        <w:t>nationally</w:t>
      </w:r>
      <w:r w:rsidR="009657EB" w:rsidRPr="00741C79">
        <w:rPr>
          <w:sz w:val="24"/>
          <w:szCs w:val="24"/>
        </w:rPr>
        <w:t>, and</w:t>
      </w:r>
      <w:r w:rsidRPr="00741C79">
        <w:rPr>
          <w:sz w:val="24"/>
          <w:szCs w:val="24"/>
        </w:rPr>
        <w:t xml:space="preserve"> the Colorado Bankers Association</w:t>
      </w:r>
      <w:r w:rsidR="009657EB" w:rsidRPr="00741C79">
        <w:rPr>
          <w:sz w:val="24"/>
          <w:szCs w:val="24"/>
        </w:rPr>
        <w:t xml:space="preserve"> endorses it. T</w:t>
      </w:r>
      <w:r w:rsidR="004669EF" w:rsidRPr="00741C79">
        <w:rPr>
          <w:sz w:val="24"/>
          <w:szCs w:val="24"/>
        </w:rPr>
        <w:t>he following local p</w:t>
      </w:r>
      <w:r w:rsidRPr="00741C79">
        <w:rPr>
          <w:sz w:val="24"/>
          <w:szCs w:val="24"/>
        </w:rPr>
        <w:t>artner banks</w:t>
      </w:r>
      <w:r w:rsidR="009657EB" w:rsidRPr="00741C79">
        <w:rPr>
          <w:sz w:val="24"/>
          <w:szCs w:val="24"/>
        </w:rPr>
        <w:t xml:space="preserve"> </w:t>
      </w:r>
      <w:r w:rsidR="000D01AB" w:rsidRPr="00741C79">
        <w:rPr>
          <w:sz w:val="24"/>
          <w:szCs w:val="24"/>
        </w:rPr>
        <w:t xml:space="preserve">also </w:t>
      </w:r>
      <w:r w:rsidR="009657EB" w:rsidRPr="00741C79">
        <w:rPr>
          <w:sz w:val="24"/>
          <w:szCs w:val="24"/>
        </w:rPr>
        <w:t>participate</w:t>
      </w:r>
      <w:r w:rsidR="004669EF" w:rsidRPr="00741C79">
        <w:rPr>
          <w:sz w:val="24"/>
          <w:szCs w:val="24"/>
        </w:rPr>
        <w:t xml:space="preserve">: </w:t>
      </w:r>
      <w:r w:rsidRPr="00741C79">
        <w:rPr>
          <w:sz w:val="24"/>
          <w:szCs w:val="24"/>
        </w:rPr>
        <w:t>U.S. Bank, Bank of America, Bank of the West, Young Americans Bank, KeyBank, Vectra Bank, Bank of Denver, Citywide Banks</w:t>
      </w:r>
      <w:r w:rsidR="00E263AB" w:rsidRPr="00741C79">
        <w:rPr>
          <w:sz w:val="24"/>
          <w:szCs w:val="24"/>
        </w:rPr>
        <w:t>,</w:t>
      </w:r>
      <w:r w:rsidRPr="00741C79">
        <w:rPr>
          <w:sz w:val="24"/>
          <w:szCs w:val="24"/>
        </w:rPr>
        <w:t xml:space="preserve"> and Academy Bank. </w:t>
      </w:r>
    </w:p>
    <w:p w14:paraId="2E4ECDA0" w14:textId="77777777" w:rsidR="00CA6A47" w:rsidRPr="00741C79" w:rsidRDefault="00CA6A47" w:rsidP="00202EFB">
      <w:pPr>
        <w:rPr>
          <w:sz w:val="24"/>
        </w:rPr>
      </w:pPr>
      <w:r w:rsidRPr="00741C79">
        <w:rPr>
          <w:sz w:val="24"/>
        </w:rPr>
        <w:t xml:space="preserve">The Bankwork$ model </w:t>
      </w:r>
      <w:r w:rsidR="0059642D" w:rsidRPr="00741C79">
        <w:rPr>
          <w:sz w:val="24"/>
        </w:rPr>
        <w:t xml:space="preserve">is </w:t>
      </w:r>
      <w:r w:rsidRPr="00741C79">
        <w:rPr>
          <w:sz w:val="24"/>
        </w:rPr>
        <w:t>a service and investment partnership between banks and the workforce system.</w:t>
      </w:r>
    </w:p>
    <w:p w14:paraId="20332E78" w14:textId="77777777" w:rsidR="004B7472" w:rsidRPr="004B4621" w:rsidRDefault="002369E8" w:rsidP="004B4621">
      <w:pPr>
        <w:pStyle w:val="Heading1"/>
        <w:rPr>
          <w:b/>
          <w:color w:val="1F4E79" w:themeColor="accent1" w:themeShade="80"/>
          <w:sz w:val="28"/>
          <w:szCs w:val="28"/>
        </w:rPr>
      </w:pPr>
      <w:bookmarkStart w:id="9" w:name="_Why_Focus_on"/>
      <w:bookmarkStart w:id="10" w:name="_What_are_the"/>
      <w:bookmarkEnd w:id="9"/>
      <w:bookmarkEnd w:id="10"/>
      <w:r w:rsidRPr="004B4621">
        <w:rPr>
          <w:b/>
          <w:color w:val="1F4E79" w:themeColor="accent1" w:themeShade="80"/>
          <w:sz w:val="28"/>
          <w:szCs w:val="28"/>
        </w:rPr>
        <w:lastRenderedPageBreak/>
        <w:t>What f</w:t>
      </w:r>
      <w:r w:rsidR="0080146B" w:rsidRPr="004B4621">
        <w:rPr>
          <w:b/>
          <w:color w:val="1F4E79" w:themeColor="accent1" w:themeShade="80"/>
          <w:sz w:val="28"/>
          <w:szCs w:val="28"/>
        </w:rPr>
        <w:t xml:space="preserve">inancial </w:t>
      </w:r>
      <w:r w:rsidR="00C9179F" w:rsidRPr="004B4621">
        <w:rPr>
          <w:b/>
          <w:color w:val="1F4E79" w:themeColor="accent1" w:themeShade="80"/>
          <w:sz w:val="28"/>
          <w:szCs w:val="28"/>
        </w:rPr>
        <w:t>e</w:t>
      </w:r>
      <w:r w:rsidR="0080146B" w:rsidRPr="004B4621">
        <w:rPr>
          <w:b/>
          <w:color w:val="1F4E79" w:themeColor="accent1" w:themeShade="80"/>
          <w:sz w:val="28"/>
          <w:szCs w:val="28"/>
        </w:rPr>
        <w:t xml:space="preserve">ducation </w:t>
      </w:r>
      <w:r w:rsidRPr="004B4621">
        <w:rPr>
          <w:b/>
          <w:color w:val="1F4E79" w:themeColor="accent1" w:themeShade="80"/>
          <w:sz w:val="28"/>
          <w:szCs w:val="28"/>
        </w:rPr>
        <w:t xml:space="preserve">benefits </w:t>
      </w:r>
      <w:r w:rsidR="0008169D" w:rsidRPr="004B4621">
        <w:rPr>
          <w:b/>
          <w:color w:val="1F4E79" w:themeColor="accent1" w:themeShade="80"/>
          <w:sz w:val="28"/>
          <w:szCs w:val="28"/>
        </w:rPr>
        <w:t xml:space="preserve">are </w:t>
      </w:r>
      <w:r w:rsidRPr="004B4621">
        <w:rPr>
          <w:b/>
          <w:color w:val="1F4E79" w:themeColor="accent1" w:themeShade="80"/>
          <w:sz w:val="28"/>
          <w:szCs w:val="28"/>
        </w:rPr>
        <w:t xml:space="preserve">possible </w:t>
      </w:r>
      <w:r w:rsidR="0080146B" w:rsidRPr="004B4621">
        <w:rPr>
          <w:b/>
          <w:color w:val="1F4E79" w:themeColor="accent1" w:themeShade="80"/>
          <w:sz w:val="28"/>
          <w:szCs w:val="28"/>
        </w:rPr>
        <w:t xml:space="preserve">under </w:t>
      </w:r>
      <w:r w:rsidR="004127C2" w:rsidRPr="004B4621">
        <w:rPr>
          <w:b/>
          <w:color w:val="1F4E79" w:themeColor="accent1" w:themeShade="80"/>
          <w:sz w:val="28"/>
          <w:szCs w:val="28"/>
        </w:rPr>
        <w:t>the Workforce Innovation and Opportunity Act</w:t>
      </w:r>
      <w:r w:rsidRPr="004B4621">
        <w:rPr>
          <w:b/>
          <w:color w:val="1F4E79" w:themeColor="accent1" w:themeShade="80"/>
          <w:sz w:val="28"/>
          <w:szCs w:val="28"/>
        </w:rPr>
        <w:t>?</w:t>
      </w:r>
    </w:p>
    <w:p w14:paraId="668A8609" w14:textId="6234B6B3" w:rsidR="00D6469B" w:rsidRPr="00741C79" w:rsidRDefault="00D579B6" w:rsidP="00D6469B">
      <w:pPr>
        <w:rPr>
          <w:rFonts w:cstheme="minorHAnsi"/>
          <w:sz w:val="24"/>
        </w:rPr>
      </w:pPr>
      <w:r w:rsidRPr="00741C79">
        <w:rPr>
          <w:rFonts w:cstheme="minorHAnsi"/>
          <w:sz w:val="24"/>
        </w:rPr>
        <w:t>The Workforce Innovation and Opportunity Act (</w:t>
      </w:r>
      <w:r w:rsidR="00857A79" w:rsidRPr="00741C79">
        <w:rPr>
          <w:rFonts w:cstheme="minorHAnsi"/>
          <w:sz w:val="24"/>
        </w:rPr>
        <w:t>WIOA</w:t>
      </w:r>
      <w:r w:rsidRPr="00741C79">
        <w:rPr>
          <w:rFonts w:cstheme="minorHAnsi"/>
          <w:sz w:val="24"/>
        </w:rPr>
        <w:t>)</w:t>
      </w:r>
      <w:r w:rsidR="00857A79" w:rsidRPr="00741C79">
        <w:rPr>
          <w:rFonts w:cstheme="minorHAnsi"/>
          <w:sz w:val="24"/>
        </w:rPr>
        <w:t xml:space="preserve"> </w:t>
      </w:r>
      <w:r w:rsidR="004B7472" w:rsidRPr="00741C79">
        <w:rPr>
          <w:rFonts w:cstheme="minorHAnsi"/>
          <w:sz w:val="24"/>
        </w:rPr>
        <w:t>supports the provision of financial education activities</w:t>
      </w:r>
      <w:r w:rsidR="004127C2" w:rsidRPr="00741C79">
        <w:rPr>
          <w:rFonts w:cstheme="minorHAnsi"/>
          <w:sz w:val="24"/>
        </w:rPr>
        <w:t xml:space="preserve"> for adults</w:t>
      </w:r>
      <w:r w:rsidR="00D6469B" w:rsidRPr="00741C79">
        <w:rPr>
          <w:rFonts w:cstheme="minorHAnsi"/>
          <w:sz w:val="24"/>
        </w:rPr>
        <w:t xml:space="preserve"> </w:t>
      </w:r>
      <w:r w:rsidR="00396466" w:rsidRPr="00741C79">
        <w:rPr>
          <w:rFonts w:cstheme="minorHAnsi"/>
          <w:sz w:val="24"/>
        </w:rPr>
        <w:t xml:space="preserve">and youth </w:t>
      </w:r>
      <w:r w:rsidR="00D6469B" w:rsidRPr="00741C79">
        <w:rPr>
          <w:rFonts w:cstheme="minorHAnsi"/>
          <w:sz w:val="24"/>
        </w:rPr>
        <w:t>and includes specific language intended to improve outcomes for individuals with disabilities and others with multiple challenges to employment.</w:t>
      </w:r>
      <w:r w:rsidR="000D3A46">
        <w:rPr>
          <w:rStyle w:val="EndnoteReference"/>
          <w:rFonts w:cstheme="minorHAnsi"/>
          <w:sz w:val="24"/>
        </w:rPr>
        <w:endnoteReference w:id="18"/>
      </w:r>
      <w:r w:rsidR="00D6469B" w:rsidRPr="00741C79">
        <w:rPr>
          <w:rFonts w:cstheme="minorHAnsi"/>
          <w:sz w:val="24"/>
        </w:rPr>
        <w:t xml:space="preserve"> </w:t>
      </w:r>
      <w:r w:rsidR="00002595" w:rsidRPr="00741C79">
        <w:rPr>
          <w:rFonts w:cstheme="minorHAnsi"/>
          <w:sz w:val="24"/>
        </w:rPr>
        <w:t>These</w:t>
      </w:r>
      <w:r w:rsidR="00D6469B" w:rsidRPr="00741C79">
        <w:rPr>
          <w:rFonts w:cstheme="minorHAnsi"/>
          <w:sz w:val="24"/>
        </w:rPr>
        <w:t xml:space="preserve"> provisions </w:t>
      </w:r>
      <w:r w:rsidR="00002595" w:rsidRPr="00741C79">
        <w:rPr>
          <w:rFonts w:cstheme="minorHAnsi"/>
          <w:sz w:val="24"/>
        </w:rPr>
        <w:t>p</w:t>
      </w:r>
      <w:r w:rsidR="00D6469B" w:rsidRPr="00741C79">
        <w:rPr>
          <w:rFonts w:cstheme="minorHAnsi"/>
          <w:sz w:val="24"/>
        </w:rPr>
        <w:t xml:space="preserve">romote financial empowerment, with the ultimate goal of enabling job seekers to increase their economic self-sufficiency and ability to participate in their communities. Promising career pathways programs also incorporate financial capability training to help people with disabilities successfully manage their finances once they obtain employment. </w:t>
      </w:r>
    </w:p>
    <w:p w14:paraId="6B44FC4E" w14:textId="77777777" w:rsidR="004B7472" w:rsidRPr="00741C79" w:rsidRDefault="002F6879" w:rsidP="004B7472">
      <w:pPr>
        <w:rPr>
          <w:rFonts w:cstheme="minorHAnsi"/>
          <w:sz w:val="24"/>
        </w:rPr>
      </w:pPr>
      <w:r w:rsidRPr="00741C79">
        <w:rPr>
          <w:rFonts w:cstheme="minorHAnsi"/>
          <w:sz w:val="24"/>
        </w:rPr>
        <w:t xml:space="preserve">In </w:t>
      </w:r>
      <w:r w:rsidR="00001E0F" w:rsidRPr="00741C79">
        <w:rPr>
          <w:rFonts w:cstheme="minorHAnsi"/>
          <w:b/>
          <w:sz w:val="24"/>
        </w:rPr>
        <w:t xml:space="preserve">WIOA </w:t>
      </w:r>
      <w:r w:rsidR="004B7472" w:rsidRPr="00741C79">
        <w:rPr>
          <w:rFonts w:cstheme="minorHAnsi"/>
          <w:b/>
          <w:sz w:val="24"/>
        </w:rPr>
        <w:t xml:space="preserve">Title I Adult </w:t>
      </w:r>
      <w:r w:rsidR="00C04F7A" w:rsidRPr="00741C79">
        <w:rPr>
          <w:rFonts w:cstheme="minorHAnsi"/>
          <w:b/>
          <w:sz w:val="24"/>
        </w:rPr>
        <w:t>P</w:t>
      </w:r>
      <w:r w:rsidR="004B7472" w:rsidRPr="00741C79">
        <w:rPr>
          <w:rFonts w:cstheme="minorHAnsi"/>
          <w:b/>
          <w:sz w:val="24"/>
        </w:rPr>
        <w:t>rograms</w:t>
      </w:r>
      <w:r w:rsidR="00001E0F" w:rsidRPr="00741C79">
        <w:rPr>
          <w:rFonts w:cstheme="minorHAnsi"/>
          <w:sz w:val="24"/>
        </w:rPr>
        <w:t xml:space="preserve">, </w:t>
      </w:r>
      <w:r w:rsidRPr="00741C79">
        <w:rPr>
          <w:rFonts w:cstheme="minorHAnsi"/>
          <w:sz w:val="24"/>
        </w:rPr>
        <w:t xml:space="preserve">adult job seekers can participate in </w:t>
      </w:r>
      <w:r w:rsidR="00001E0F" w:rsidRPr="00741C79">
        <w:rPr>
          <w:rFonts w:cstheme="minorHAnsi"/>
          <w:sz w:val="24"/>
        </w:rPr>
        <w:t>f</w:t>
      </w:r>
      <w:r w:rsidR="004B7472" w:rsidRPr="00741C79">
        <w:rPr>
          <w:rFonts w:cstheme="minorHAnsi"/>
          <w:sz w:val="24"/>
        </w:rPr>
        <w:t xml:space="preserve">inancial education activities </w:t>
      </w:r>
      <w:r w:rsidR="00943FBA" w:rsidRPr="00741C79">
        <w:rPr>
          <w:rFonts w:cstheme="minorHAnsi"/>
          <w:sz w:val="24"/>
        </w:rPr>
        <w:t>as</w:t>
      </w:r>
      <w:r w:rsidR="00C04F7A" w:rsidRPr="00741C79">
        <w:rPr>
          <w:rFonts w:cstheme="minorHAnsi"/>
          <w:sz w:val="24"/>
        </w:rPr>
        <w:t xml:space="preserve"> </w:t>
      </w:r>
      <w:r w:rsidR="004B7472" w:rsidRPr="00741C79">
        <w:rPr>
          <w:rFonts w:cstheme="minorHAnsi"/>
          <w:sz w:val="24"/>
        </w:rPr>
        <w:t>appropriate</w:t>
      </w:r>
      <w:r w:rsidR="00D16CB5" w:rsidRPr="00741C79">
        <w:rPr>
          <w:rFonts w:cstheme="minorHAnsi"/>
          <w:sz w:val="24"/>
        </w:rPr>
        <w:t>,</w:t>
      </w:r>
      <w:r w:rsidR="004B7472" w:rsidRPr="00741C79">
        <w:rPr>
          <w:rFonts w:cstheme="minorHAnsi"/>
          <w:sz w:val="24"/>
        </w:rPr>
        <w:t xml:space="preserve"> based on </w:t>
      </w:r>
      <w:r w:rsidR="00633448" w:rsidRPr="00741C79">
        <w:rPr>
          <w:rFonts w:cstheme="minorHAnsi"/>
          <w:sz w:val="24"/>
        </w:rPr>
        <w:t>their</w:t>
      </w:r>
      <w:r w:rsidR="004B7472" w:rsidRPr="00741C79">
        <w:rPr>
          <w:rFonts w:cstheme="minorHAnsi"/>
          <w:sz w:val="24"/>
        </w:rPr>
        <w:t xml:space="preserve"> </w:t>
      </w:r>
      <w:r w:rsidR="00AE2F2D" w:rsidRPr="00741C79">
        <w:rPr>
          <w:rFonts w:cstheme="minorHAnsi"/>
          <w:sz w:val="24"/>
        </w:rPr>
        <w:t>Individual Employment Plan</w:t>
      </w:r>
      <w:r w:rsidR="00943FBA" w:rsidRPr="00741C79">
        <w:rPr>
          <w:rFonts w:cstheme="minorHAnsi"/>
          <w:sz w:val="24"/>
        </w:rPr>
        <w:t>s</w:t>
      </w:r>
      <w:r w:rsidR="00AE2F2D" w:rsidRPr="00741C79">
        <w:rPr>
          <w:rFonts w:cstheme="minorHAnsi"/>
          <w:sz w:val="24"/>
        </w:rPr>
        <w:t xml:space="preserve"> (IEP</w:t>
      </w:r>
      <w:r w:rsidR="00943FBA" w:rsidRPr="00741C79">
        <w:rPr>
          <w:rFonts w:cstheme="minorHAnsi"/>
          <w:sz w:val="24"/>
        </w:rPr>
        <w:t>s</w:t>
      </w:r>
      <w:r w:rsidR="00AE2F2D" w:rsidRPr="00741C79">
        <w:rPr>
          <w:rFonts w:cstheme="minorHAnsi"/>
          <w:sz w:val="24"/>
        </w:rPr>
        <w:t>)</w:t>
      </w:r>
      <w:r w:rsidR="004B7472" w:rsidRPr="00741C79">
        <w:rPr>
          <w:rFonts w:cstheme="minorHAnsi"/>
          <w:sz w:val="24"/>
        </w:rPr>
        <w:t xml:space="preserve">. </w:t>
      </w:r>
      <w:r w:rsidR="00943FBA" w:rsidRPr="00741C79">
        <w:rPr>
          <w:rFonts w:cstheme="minorHAnsi"/>
          <w:sz w:val="24"/>
        </w:rPr>
        <w:t xml:space="preserve">An </w:t>
      </w:r>
      <w:r w:rsidR="00AE2F2D" w:rsidRPr="00741C79">
        <w:rPr>
          <w:rFonts w:cstheme="minorHAnsi"/>
          <w:sz w:val="24"/>
        </w:rPr>
        <w:t xml:space="preserve">IEP </w:t>
      </w:r>
      <w:r w:rsidR="004B7472" w:rsidRPr="00741C79">
        <w:rPr>
          <w:rFonts w:cstheme="minorHAnsi"/>
          <w:sz w:val="24"/>
        </w:rPr>
        <w:t xml:space="preserve">indicates the appropriate combination of services </w:t>
      </w:r>
      <w:r w:rsidR="00943FBA" w:rsidRPr="00741C79">
        <w:rPr>
          <w:rFonts w:cstheme="minorHAnsi"/>
          <w:sz w:val="24"/>
        </w:rPr>
        <w:t xml:space="preserve">a </w:t>
      </w:r>
      <w:r w:rsidR="004B7472" w:rsidRPr="00741C79">
        <w:rPr>
          <w:rFonts w:cstheme="minorHAnsi"/>
          <w:sz w:val="24"/>
        </w:rPr>
        <w:t>job</w:t>
      </w:r>
      <w:r w:rsidR="00EF7BD4" w:rsidRPr="00741C79">
        <w:rPr>
          <w:rFonts w:cstheme="minorHAnsi"/>
          <w:sz w:val="24"/>
        </w:rPr>
        <w:t xml:space="preserve"> </w:t>
      </w:r>
      <w:r w:rsidR="004B7472" w:rsidRPr="00741C79">
        <w:rPr>
          <w:rFonts w:cstheme="minorHAnsi"/>
          <w:sz w:val="24"/>
        </w:rPr>
        <w:t>seeker will receive to meet their employment goals and objectives</w:t>
      </w:r>
      <w:r w:rsidR="006D07CF" w:rsidRPr="00741C79">
        <w:rPr>
          <w:rFonts w:cstheme="minorHAnsi"/>
          <w:sz w:val="24"/>
        </w:rPr>
        <w:t>.</w:t>
      </w:r>
      <w:r w:rsidR="004B7472" w:rsidRPr="00741C79">
        <w:rPr>
          <w:rFonts w:cstheme="minorHAnsi"/>
          <w:sz w:val="24"/>
        </w:rPr>
        <w:t xml:space="preserve"> </w:t>
      </w:r>
      <w:r w:rsidR="006D07CF" w:rsidRPr="00741C79">
        <w:rPr>
          <w:rFonts w:cstheme="minorHAnsi"/>
          <w:sz w:val="24"/>
        </w:rPr>
        <w:t xml:space="preserve">This can </w:t>
      </w:r>
      <w:r w:rsidR="004B7472" w:rsidRPr="00741C79">
        <w:rPr>
          <w:rFonts w:cstheme="minorHAnsi"/>
          <w:sz w:val="24"/>
        </w:rPr>
        <w:t>includ</w:t>
      </w:r>
      <w:r w:rsidR="006D07CF" w:rsidRPr="00741C79">
        <w:rPr>
          <w:rFonts w:cstheme="minorHAnsi"/>
          <w:sz w:val="24"/>
        </w:rPr>
        <w:t>e</w:t>
      </w:r>
      <w:r w:rsidR="004B7472" w:rsidRPr="00741C79">
        <w:rPr>
          <w:rFonts w:cstheme="minorHAnsi"/>
          <w:sz w:val="24"/>
        </w:rPr>
        <w:t xml:space="preserve"> skills development to attain career objectives, individual and group counseling, short-term prevocational services, communication and interviewing skills, internships and work experience, </w:t>
      </w:r>
      <w:r w:rsidR="00857A79" w:rsidRPr="00741C79">
        <w:rPr>
          <w:rFonts w:cstheme="minorHAnsi"/>
          <w:sz w:val="24"/>
        </w:rPr>
        <w:t xml:space="preserve">as well as </w:t>
      </w:r>
      <w:r w:rsidR="004B7472" w:rsidRPr="00741C79">
        <w:rPr>
          <w:rFonts w:cstheme="minorHAnsi"/>
          <w:sz w:val="24"/>
        </w:rPr>
        <w:t xml:space="preserve">financial </w:t>
      </w:r>
      <w:r w:rsidR="002F7655" w:rsidRPr="00741C79">
        <w:rPr>
          <w:rFonts w:cstheme="minorHAnsi"/>
          <w:sz w:val="24"/>
        </w:rPr>
        <w:t xml:space="preserve">education </w:t>
      </w:r>
      <w:r w:rsidR="004B7472" w:rsidRPr="00741C79">
        <w:rPr>
          <w:rFonts w:cstheme="minorHAnsi"/>
          <w:sz w:val="24"/>
        </w:rPr>
        <w:t>services.</w:t>
      </w:r>
    </w:p>
    <w:p w14:paraId="509031E6" w14:textId="77777777" w:rsidR="00396466" w:rsidRPr="00741C79" w:rsidRDefault="00396466" w:rsidP="00396466">
      <w:pPr>
        <w:rPr>
          <w:rFonts w:cstheme="minorHAnsi"/>
          <w:sz w:val="24"/>
        </w:rPr>
      </w:pPr>
      <w:r w:rsidRPr="00741C79">
        <w:rPr>
          <w:rFonts w:cstheme="minorHAnsi"/>
          <w:sz w:val="24"/>
        </w:rPr>
        <w:t xml:space="preserve">The </w:t>
      </w:r>
      <w:r w:rsidRPr="00741C79">
        <w:rPr>
          <w:rFonts w:cstheme="minorHAnsi"/>
          <w:b/>
          <w:sz w:val="24"/>
        </w:rPr>
        <w:t>WIOA Title I Youth Program</w:t>
      </w:r>
      <w:r w:rsidRPr="00741C79">
        <w:rPr>
          <w:rFonts w:cstheme="minorHAnsi"/>
          <w:sz w:val="24"/>
        </w:rPr>
        <w:t xml:space="preserve"> includes financial literacy education as one of 14 services that must be available to youth participants. WIOA youth financial education provides youth with the</w:t>
      </w:r>
      <w:r w:rsidR="00D579B6" w:rsidRPr="00741C79">
        <w:rPr>
          <w:rFonts w:cstheme="minorHAnsi"/>
          <w:sz w:val="24"/>
        </w:rPr>
        <w:t xml:space="preserve"> skills and</w:t>
      </w:r>
      <w:r w:rsidRPr="00741C79">
        <w:rPr>
          <w:rFonts w:cstheme="minorHAnsi"/>
          <w:sz w:val="24"/>
        </w:rPr>
        <w:t xml:space="preserve"> knowledge they need to achieve long-term financial stability. In Section 129 of WIOA, th</w:t>
      </w:r>
      <w:r w:rsidR="00D579B6" w:rsidRPr="00741C79">
        <w:rPr>
          <w:rFonts w:cstheme="minorHAnsi"/>
          <w:sz w:val="24"/>
        </w:rPr>
        <w:t>ese</w:t>
      </w:r>
      <w:r w:rsidRPr="00741C79">
        <w:rPr>
          <w:rFonts w:cstheme="minorHAnsi"/>
          <w:sz w:val="24"/>
        </w:rPr>
        <w:t xml:space="preserve"> </w:t>
      </w:r>
      <w:r w:rsidR="00D579B6" w:rsidRPr="00741C79">
        <w:rPr>
          <w:rFonts w:cstheme="minorHAnsi"/>
          <w:sz w:val="24"/>
        </w:rPr>
        <w:t xml:space="preserve">skills and </w:t>
      </w:r>
      <w:r w:rsidRPr="00741C79">
        <w:rPr>
          <w:rFonts w:cstheme="minorHAnsi"/>
          <w:sz w:val="24"/>
        </w:rPr>
        <w:t xml:space="preserve">knowledge include making and using budgets, saving, planning effectively for education and retirement, </w:t>
      </w:r>
      <w:r w:rsidR="00174A99" w:rsidRPr="00741C79">
        <w:rPr>
          <w:rFonts w:cstheme="minorHAnsi"/>
          <w:sz w:val="24"/>
        </w:rPr>
        <w:t xml:space="preserve">and </w:t>
      </w:r>
      <w:r w:rsidRPr="00741C79">
        <w:rPr>
          <w:rFonts w:cstheme="minorHAnsi"/>
          <w:sz w:val="24"/>
        </w:rPr>
        <w:t xml:space="preserve">using credit </w:t>
      </w:r>
      <w:r w:rsidR="00174A99" w:rsidRPr="00741C79">
        <w:rPr>
          <w:rFonts w:cstheme="minorHAnsi"/>
          <w:sz w:val="24"/>
        </w:rPr>
        <w:t xml:space="preserve">as well as </w:t>
      </w:r>
      <w:r w:rsidRPr="00741C79">
        <w:rPr>
          <w:rFonts w:cstheme="minorHAnsi"/>
          <w:sz w:val="24"/>
        </w:rPr>
        <w:t xml:space="preserve">financial products and services effectively. </w:t>
      </w:r>
    </w:p>
    <w:p w14:paraId="46D71E3E" w14:textId="77777777" w:rsidR="00942750" w:rsidRPr="004B4621" w:rsidRDefault="002369E8" w:rsidP="004B4621">
      <w:pPr>
        <w:pStyle w:val="Heading1"/>
        <w:spacing w:after="60"/>
        <w:contextualSpacing/>
        <w:rPr>
          <w:b/>
          <w:bCs/>
          <w:color w:val="1F4E79" w:themeColor="accent1" w:themeShade="80"/>
          <w:sz w:val="28"/>
          <w:szCs w:val="26"/>
        </w:rPr>
      </w:pPr>
      <w:bookmarkStart w:id="11" w:name="_Resources"/>
      <w:bookmarkStart w:id="12" w:name="_What_are_some"/>
      <w:bookmarkEnd w:id="11"/>
      <w:bookmarkEnd w:id="12"/>
      <w:r w:rsidRPr="004B4621">
        <w:rPr>
          <w:b/>
          <w:bCs/>
          <w:color w:val="1F4E79" w:themeColor="accent1" w:themeShade="80"/>
          <w:sz w:val="28"/>
          <w:szCs w:val="26"/>
        </w:rPr>
        <w:t>What additional r</w:t>
      </w:r>
      <w:r w:rsidR="00942750" w:rsidRPr="004B4621">
        <w:rPr>
          <w:b/>
          <w:bCs/>
          <w:color w:val="1F4E79" w:themeColor="accent1" w:themeShade="80"/>
          <w:sz w:val="28"/>
          <w:szCs w:val="26"/>
        </w:rPr>
        <w:t>esources</w:t>
      </w:r>
      <w:r w:rsidRPr="004B4621">
        <w:rPr>
          <w:b/>
          <w:bCs/>
          <w:color w:val="1F4E79" w:themeColor="accent1" w:themeShade="80"/>
          <w:sz w:val="28"/>
          <w:szCs w:val="26"/>
        </w:rPr>
        <w:t xml:space="preserve"> </w:t>
      </w:r>
      <w:r w:rsidR="00EC05FA" w:rsidRPr="004B4621">
        <w:rPr>
          <w:b/>
          <w:bCs/>
          <w:color w:val="1F4E79" w:themeColor="accent1" w:themeShade="80"/>
          <w:sz w:val="28"/>
          <w:szCs w:val="26"/>
        </w:rPr>
        <w:t xml:space="preserve">can </w:t>
      </w:r>
      <w:r w:rsidR="00D579B6" w:rsidRPr="004B4621">
        <w:rPr>
          <w:b/>
          <w:bCs/>
          <w:color w:val="1F4E79" w:themeColor="accent1" w:themeShade="80"/>
          <w:sz w:val="28"/>
          <w:szCs w:val="26"/>
        </w:rPr>
        <w:t>facilitate</w:t>
      </w:r>
      <w:r w:rsidRPr="004B4621">
        <w:rPr>
          <w:b/>
          <w:bCs/>
          <w:color w:val="1F4E79" w:themeColor="accent1" w:themeShade="80"/>
          <w:sz w:val="28"/>
          <w:szCs w:val="26"/>
        </w:rPr>
        <w:t xml:space="preserve"> understand</w:t>
      </w:r>
      <w:r w:rsidR="00D579B6" w:rsidRPr="004B4621">
        <w:rPr>
          <w:b/>
          <w:bCs/>
          <w:color w:val="1F4E79" w:themeColor="accent1" w:themeShade="80"/>
          <w:sz w:val="28"/>
          <w:szCs w:val="26"/>
        </w:rPr>
        <w:t>ing of</w:t>
      </w:r>
      <w:r w:rsidRPr="004B4621">
        <w:rPr>
          <w:b/>
          <w:bCs/>
          <w:color w:val="1F4E79" w:themeColor="accent1" w:themeShade="80"/>
          <w:sz w:val="28"/>
          <w:szCs w:val="26"/>
        </w:rPr>
        <w:t xml:space="preserve"> and access </w:t>
      </w:r>
      <w:r w:rsidR="00D579B6" w:rsidRPr="004B4621">
        <w:rPr>
          <w:b/>
          <w:bCs/>
          <w:color w:val="1F4E79" w:themeColor="accent1" w:themeShade="80"/>
          <w:sz w:val="28"/>
          <w:szCs w:val="26"/>
        </w:rPr>
        <w:t xml:space="preserve">to </w:t>
      </w:r>
      <w:r w:rsidRPr="004B4621">
        <w:rPr>
          <w:b/>
          <w:bCs/>
          <w:color w:val="1F4E79" w:themeColor="accent1" w:themeShade="80"/>
          <w:sz w:val="28"/>
          <w:szCs w:val="26"/>
        </w:rPr>
        <w:t xml:space="preserve">the benefits of </w:t>
      </w:r>
      <w:r w:rsidR="009B74F4" w:rsidRPr="004B4621">
        <w:rPr>
          <w:b/>
          <w:bCs/>
          <w:color w:val="1F4E79" w:themeColor="accent1" w:themeShade="80"/>
          <w:sz w:val="28"/>
          <w:szCs w:val="26"/>
        </w:rPr>
        <w:t xml:space="preserve">the </w:t>
      </w:r>
      <w:r w:rsidRPr="004B4621">
        <w:rPr>
          <w:b/>
          <w:bCs/>
          <w:color w:val="1F4E79" w:themeColor="accent1" w:themeShade="80"/>
          <w:sz w:val="28"/>
          <w:szCs w:val="26"/>
        </w:rPr>
        <w:t>C</w:t>
      </w:r>
      <w:r w:rsidR="00EC05FA" w:rsidRPr="004B4621">
        <w:rPr>
          <w:b/>
          <w:bCs/>
          <w:color w:val="1F4E79" w:themeColor="accent1" w:themeShade="80"/>
          <w:sz w:val="28"/>
          <w:szCs w:val="26"/>
        </w:rPr>
        <w:t xml:space="preserve">ommunity </w:t>
      </w:r>
      <w:r w:rsidRPr="004B4621">
        <w:rPr>
          <w:b/>
          <w:bCs/>
          <w:color w:val="1F4E79" w:themeColor="accent1" w:themeShade="80"/>
          <w:sz w:val="28"/>
          <w:szCs w:val="26"/>
        </w:rPr>
        <w:t>R</w:t>
      </w:r>
      <w:r w:rsidR="00EC05FA" w:rsidRPr="004B4621">
        <w:rPr>
          <w:b/>
          <w:bCs/>
          <w:color w:val="1F4E79" w:themeColor="accent1" w:themeShade="80"/>
          <w:sz w:val="28"/>
          <w:szCs w:val="26"/>
        </w:rPr>
        <w:t xml:space="preserve">einvestment </w:t>
      </w:r>
      <w:r w:rsidRPr="004B4621">
        <w:rPr>
          <w:b/>
          <w:bCs/>
          <w:color w:val="1F4E79" w:themeColor="accent1" w:themeShade="80"/>
          <w:sz w:val="28"/>
          <w:szCs w:val="26"/>
        </w:rPr>
        <w:t>A</w:t>
      </w:r>
      <w:r w:rsidR="00EC05FA" w:rsidRPr="004B4621">
        <w:rPr>
          <w:b/>
          <w:bCs/>
          <w:color w:val="1F4E79" w:themeColor="accent1" w:themeShade="80"/>
          <w:sz w:val="28"/>
          <w:szCs w:val="26"/>
        </w:rPr>
        <w:t>ct</w:t>
      </w:r>
      <w:r w:rsidRPr="004B4621">
        <w:rPr>
          <w:b/>
          <w:bCs/>
          <w:color w:val="1F4E79" w:themeColor="accent1" w:themeShade="80"/>
          <w:sz w:val="28"/>
          <w:szCs w:val="26"/>
        </w:rPr>
        <w:t>?</w:t>
      </w:r>
    </w:p>
    <w:p w14:paraId="45B01A9F" w14:textId="09290E4D" w:rsidR="00FC2974" w:rsidRPr="00741C79" w:rsidRDefault="00FC2974" w:rsidP="004B4621">
      <w:pPr>
        <w:spacing w:after="0"/>
        <w:contextualSpacing/>
        <w:rPr>
          <w:sz w:val="24"/>
        </w:rPr>
      </w:pPr>
      <w:r w:rsidRPr="00741C79">
        <w:rPr>
          <w:b/>
          <w:sz w:val="24"/>
        </w:rPr>
        <w:t xml:space="preserve">Center for Disability-Inclusive Community Development (CDICD) </w:t>
      </w:r>
      <w:hyperlink r:id="rId21" w:history="1">
        <w:r w:rsidRPr="00741C79">
          <w:rPr>
            <w:rStyle w:val="Hyperlink"/>
            <w:sz w:val="24"/>
          </w:rPr>
          <w:t>nationaldisabilityinstitute.org/disability-inclusive-community-development</w:t>
        </w:r>
      </w:hyperlink>
    </w:p>
    <w:p w14:paraId="0FFA2766" w14:textId="77777777" w:rsidR="00FC2974" w:rsidRPr="00741C79" w:rsidRDefault="00FC2974" w:rsidP="00715DD3">
      <w:pPr>
        <w:rPr>
          <w:rFonts w:cstheme="minorHAnsi"/>
          <w:sz w:val="24"/>
        </w:rPr>
      </w:pPr>
      <w:r w:rsidRPr="00741C79">
        <w:rPr>
          <w:rFonts w:cstheme="minorHAnsi"/>
          <w:sz w:val="24"/>
        </w:rPr>
        <w:t xml:space="preserve">The CDICD works to improve the financial health and well-being of </w:t>
      </w:r>
      <w:r w:rsidR="0032025B" w:rsidRPr="00741C79">
        <w:rPr>
          <w:rFonts w:cstheme="minorHAnsi"/>
          <w:sz w:val="24"/>
        </w:rPr>
        <w:t>low- and moderate-income</w:t>
      </w:r>
      <w:r w:rsidRPr="00741C79">
        <w:rPr>
          <w:rFonts w:cstheme="minorHAnsi"/>
          <w:sz w:val="24"/>
        </w:rPr>
        <w:t xml:space="preserve"> individuals with disabilities and their families by increasing awareness and usage of the opportunities and resources available under the </w:t>
      </w:r>
      <w:r w:rsidR="00061E7E" w:rsidRPr="00741C79">
        <w:rPr>
          <w:rFonts w:cstheme="minorHAnsi"/>
          <w:sz w:val="24"/>
        </w:rPr>
        <w:t>CRA</w:t>
      </w:r>
      <w:r w:rsidRPr="00741C79">
        <w:rPr>
          <w:rFonts w:cstheme="minorHAnsi"/>
          <w:sz w:val="24"/>
        </w:rPr>
        <w:t>.</w:t>
      </w:r>
    </w:p>
    <w:p w14:paraId="0AC61B2C" w14:textId="77777777" w:rsidR="00FC2974" w:rsidRPr="00741C79" w:rsidRDefault="00D579B6" w:rsidP="00715DD3">
      <w:pPr>
        <w:spacing w:after="0"/>
        <w:rPr>
          <w:sz w:val="24"/>
        </w:rPr>
      </w:pPr>
      <w:r w:rsidRPr="00741C79">
        <w:rPr>
          <w:sz w:val="24"/>
        </w:rPr>
        <w:t>In its webinar</w:t>
      </w:r>
      <w:r w:rsidR="00986CC8" w:rsidRPr="00741C79">
        <w:rPr>
          <w:sz w:val="24"/>
        </w:rPr>
        <w:t>,</w:t>
      </w:r>
      <w:r w:rsidRPr="00741C79">
        <w:rPr>
          <w:sz w:val="24"/>
        </w:rPr>
        <w:t xml:space="preserve"> </w:t>
      </w:r>
      <w:hyperlink r:id="rId22" w:history="1">
        <w:r w:rsidR="00685434" w:rsidRPr="00741C79">
          <w:rPr>
            <w:rStyle w:val="Hyperlink"/>
            <w:sz w:val="24"/>
          </w:rPr>
          <w:t>Workforce Development and Meeting Obligations Under CRA</w:t>
        </w:r>
      </w:hyperlink>
      <w:r w:rsidRPr="00741C79">
        <w:rPr>
          <w:sz w:val="24"/>
        </w:rPr>
        <w:t>, the CDICD e</w:t>
      </w:r>
      <w:r w:rsidR="00685434" w:rsidRPr="00741C79">
        <w:rPr>
          <w:sz w:val="24"/>
        </w:rPr>
        <w:t xml:space="preserve">xplores how the CRA can support workforce development outcomes for people with disabilities. </w:t>
      </w:r>
      <w:r w:rsidRPr="00741C79">
        <w:rPr>
          <w:sz w:val="24"/>
        </w:rPr>
        <w:t xml:space="preserve">The webinar </w:t>
      </w:r>
      <w:r w:rsidR="00F93C84" w:rsidRPr="00741C79">
        <w:rPr>
          <w:sz w:val="24"/>
        </w:rPr>
        <w:t xml:space="preserve">presents </w:t>
      </w:r>
      <w:r w:rsidR="00685434" w:rsidRPr="00741C79">
        <w:rPr>
          <w:sz w:val="24"/>
        </w:rPr>
        <w:t xml:space="preserve">an overview of the CRA and its connection to workforce development followed by a discussion of how partnerships can be developed and strengthened from </w:t>
      </w:r>
      <w:r w:rsidR="002F6879" w:rsidRPr="00741C79">
        <w:rPr>
          <w:sz w:val="24"/>
        </w:rPr>
        <w:t>the</w:t>
      </w:r>
      <w:r w:rsidRPr="00741C79">
        <w:rPr>
          <w:sz w:val="24"/>
        </w:rPr>
        <w:t xml:space="preserve"> </w:t>
      </w:r>
      <w:r w:rsidR="00685434" w:rsidRPr="00741C79">
        <w:rPr>
          <w:sz w:val="24"/>
        </w:rPr>
        <w:t xml:space="preserve">perspective of an organization serving people with disabilities and </w:t>
      </w:r>
      <w:r w:rsidR="002F6879" w:rsidRPr="00741C79">
        <w:rPr>
          <w:sz w:val="24"/>
        </w:rPr>
        <w:t>the perspective</w:t>
      </w:r>
      <w:r w:rsidRPr="00741C79">
        <w:rPr>
          <w:sz w:val="24"/>
        </w:rPr>
        <w:t xml:space="preserve"> </w:t>
      </w:r>
      <w:r w:rsidR="008A6BAC" w:rsidRPr="00741C79">
        <w:rPr>
          <w:sz w:val="24"/>
        </w:rPr>
        <w:t xml:space="preserve">of </w:t>
      </w:r>
      <w:r w:rsidR="00685434" w:rsidRPr="00741C79">
        <w:rPr>
          <w:sz w:val="24"/>
        </w:rPr>
        <w:t>a bank partner.</w:t>
      </w:r>
    </w:p>
    <w:p w14:paraId="7C04B527" w14:textId="77777777" w:rsidR="004B4621" w:rsidRPr="00741C79" w:rsidRDefault="004B4621" w:rsidP="00685434">
      <w:pPr>
        <w:pStyle w:val="ListParagraph"/>
        <w:spacing w:after="0"/>
        <w:rPr>
          <w:sz w:val="24"/>
        </w:rPr>
      </w:pPr>
    </w:p>
    <w:p w14:paraId="29AEBEB3" w14:textId="77777777" w:rsidR="00FC2974" w:rsidRPr="00741C79" w:rsidRDefault="0008169D" w:rsidP="00DF5754">
      <w:pPr>
        <w:spacing w:after="0"/>
        <w:rPr>
          <w:b/>
          <w:sz w:val="24"/>
        </w:rPr>
      </w:pPr>
      <w:r w:rsidRPr="00741C79">
        <w:rPr>
          <w:b/>
          <w:sz w:val="24"/>
        </w:rPr>
        <w:lastRenderedPageBreak/>
        <w:t>“</w:t>
      </w:r>
      <w:r w:rsidR="00FC2974" w:rsidRPr="00741C79">
        <w:rPr>
          <w:b/>
          <w:sz w:val="24"/>
        </w:rPr>
        <w:t xml:space="preserve">Hands </w:t>
      </w:r>
      <w:r w:rsidR="00061E7E" w:rsidRPr="00741C79">
        <w:rPr>
          <w:b/>
          <w:sz w:val="24"/>
        </w:rPr>
        <w:t>O</w:t>
      </w:r>
      <w:r w:rsidR="00FC2974" w:rsidRPr="00741C79">
        <w:rPr>
          <w:b/>
          <w:sz w:val="24"/>
        </w:rPr>
        <w:t>n Banking</w:t>
      </w:r>
      <w:r w:rsidRPr="00741C79">
        <w:rPr>
          <w:b/>
          <w:sz w:val="24"/>
        </w:rPr>
        <w:t>”</w:t>
      </w:r>
      <w:r w:rsidR="00FC2974" w:rsidRPr="00741C79">
        <w:rPr>
          <w:b/>
          <w:sz w:val="24"/>
        </w:rPr>
        <w:t xml:space="preserve"> Quick</w:t>
      </w:r>
      <w:r w:rsidR="008A6BAC" w:rsidRPr="00741C79">
        <w:rPr>
          <w:b/>
          <w:sz w:val="24"/>
        </w:rPr>
        <w:t>-</w:t>
      </w:r>
      <w:r w:rsidR="00FC2974" w:rsidRPr="00741C79">
        <w:rPr>
          <w:b/>
          <w:sz w:val="24"/>
        </w:rPr>
        <w:t xml:space="preserve">Reference Guides and Disability </w:t>
      </w:r>
      <w:r w:rsidR="006E6D30" w:rsidRPr="00741C79">
        <w:rPr>
          <w:b/>
          <w:sz w:val="24"/>
        </w:rPr>
        <w:t xml:space="preserve">Supplemental </w:t>
      </w:r>
      <w:r w:rsidR="00FC2974" w:rsidRPr="00741C79">
        <w:rPr>
          <w:b/>
          <w:sz w:val="24"/>
        </w:rPr>
        <w:t>Guides</w:t>
      </w:r>
    </w:p>
    <w:p w14:paraId="2FD68FCD" w14:textId="10831A14" w:rsidR="00FC2974" w:rsidRPr="00741C79" w:rsidRDefault="002C790F" w:rsidP="00DF5754">
      <w:pPr>
        <w:spacing w:after="0"/>
        <w:rPr>
          <w:sz w:val="24"/>
        </w:rPr>
      </w:pPr>
      <w:hyperlink r:id="rId23" w:history="1">
        <w:r w:rsidR="00DF5754" w:rsidRPr="00741C79">
          <w:rPr>
            <w:rStyle w:val="Hyperlink"/>
            <w:sz w:val="24"/>
          </w:rPr>
          <w:t>nationaldisabilityinstitute.org/resources/hob-qrg-and-supplemental-guides</w:t>
        </w:r>
      </w:hyperlink>
    </w:p>
    <w:p w14:paraId="55577CD8" w14:textId="77777777" w:rsidR="00A42024" w:rsidRPr="00741C79" w:rsidRDefault="00FC2974" w:rsidP="00A42024">
      <w:pPr>
        <w:spacing w:after="0"/>
        <w:rPr>
          <w:sz w:val="24"/>
        </w:rPr>
      </w:pPr>
      <w:r w:rsidRPr="00741C79">
        <w:rPr>
          <w:sz w:val="24"/>
        </w:rPr>
        <w:t xml:space="preserve">Hands </w:t>
      </w:r>
      <w:r w:rsidR="00061E7E" w:rsidRPr="00741C79">
        <w:rPr>
          <w:sz w:val="24"/>
        </w:rPr>
        <w:t>O</w:t>
      </w:r>
      <w:r w:rsidRPr="00741C79">
        <w:rPr>
          <w:sz w:val="24"/>
        </w:rPr>
        <w:t>n Banking quick</w:t>
      </w:r>
      <w:r w:rsidR="00174A99" w:rsidRPr="00741C79">
        <w:rPr>
          <w:sz w:val="24"/>
        </w:rPr>
        <w:t>-</w:t>
      </w:r>
      <w:r w:rsidRPr="00741C79">
        <w:rPr>
          <w:sz w:val="24"/>
        </w:rPr>
        <w:t xml:space="preserve">reference guides provide information and resources that cover 15 different barriers that individuals may experience. The disability supplemental guides cover disability sensitivity and information to complement the Hands </w:t>
      </w:r>
      <w:r w:rsidR="00061E7E" w:rsidRPr="00741C79">
        <w:rPr>
          <w:sz w:val="24"/>
        </w:rPr>
        <w:t>O</w:t>
      </w:r>
      <w:r w:rsidRPr="00741C79">
        <w:rPr>
          <w:sz w:val="24"/>
        </w:rPr>
        <w:t>n Banking instructor guides for adults, young adults</w:t>
      </w:r>
      <w:r w:rsidR="00061E7E" w:rsidRPr="00741C79">
        <w:rPr>
          <w:sz w:val="24"/>
        </w:rPr>
        <w:t>,</w:t>
      </w:r>
      <w:r w:rsidRPr="00741C79">
        <w:rPr>
          <w:sz w:val="24"/>
        </w:rPr>
        <w:t xml:space="preserve"> and entrepreneurs. </w:t>
      </w:r>
      <w:r w:rsidR="006E6D30" w:rsidRPr="00741C79">
        <w:rPr>
          <w:sz w:val="24"/>
        </w:rPr>
        <w:t xml:space="preserve">Subjects </w:t>
      </w:r>
      <w:r w:rsidRPr="00741C79">
        <w:rPr>
          <w:sz w:val="24"/>
        </w:rPr>
        <w:t>include employment, money management, protected savings, work supports</w:t>
      </w:r>
      <w:r w:rsidR="00061E7E" w:rsidRPr="00741C79">
        <w:rPr>
          <w:sz w:val="24"/>
        </w:rPr>
        <w:t xml:space="preserve"> </w:t>
      </w:r>
      <w:r w:rsidRPr="00741C79">
        <w:rPr>
          <w:sz w:val="24"/>
        </w:rPr>
        <w:t xml:space="preserve">and other </w:t>
      </w:r>
      <w:r w:rsidR="006E6D30" w:rsidRPr="00741C79">
        <w:rPr>
          <w:sz w:val="24"/>
        </w:rPr>
        <w:t xml:space="preserve">financial capability topics </w:t>
      </w:r>
      <w:r w:rsidRPr="00741C79">
        <w:rPr>
          <w:sz w:val="24"/>
        </w:rPr>
        <w:t xml:space="preserve">relevant to people who have disabilities. </w:t>
      </w:r>
      <w:r w:rsidR="00174A99" w:rsidRPr="00741C79">
        <w:rPr>
          <w:sz w:val="24"/>
        </w:rPr>
        <w:t>These guides also provide n</w:t>
      </w:r>
      <w:r w:rsidRPr="00741C79">
        <w:rPr>
          <w:sz w:val="24"/>
        </w:rPr>
        <w:t xml:space="preserve">umerous tips, tools, resources and links to Hands </w:t>
      </w:r>
      <w:r w:rsidR="00061E7E" w:rsidRPr="00741C79">
        <w:rPr>
          <w:sz w:val="24"/>
        </w:rPr>
        <w:t>O</w:t>
      </w:r>
      <w:r w:rsidRPr="00741C79">
        <w:rPr>
          <w:sz w:val="24"/>
        </w:rPr>
        <w:t>n Banking materials.</w:t>
      </w:r>
    </w:p>
    <w:p w14:paraId="185D4E5A" w14:textId="77777777" w:rsidR="00A42024" w:rsidRPr="00741C79" w:rsidRDefault="00A42024" w:rsidP="00A67D4C">
      <w:pPr>
        <w:spacing w:after="0"/>
        <w:rPr>
          <w:sz w:val="24"/>
        </w:rPr>
      </w:pPr>
    </w:p>
    <w:p w14:paraId="4E938B0A" w14:textId="77777777" w:rsidR="00EA4709" w:rsidRPr="00741C79" w:rsidRDefault="00EA4709" w:rsidP="00DF5754">
      <w:pPr>
        <w:spacing w:after="0" w:line="240" w:lineRule="auto"/>
        <w:rPr>
          <w:b/>
          <w:i/>
          <w:iCs/>
          <w:sz w:val="24"/>
        </w:rPr>
      </w:pPr>
      <w:r w:rsidRPr="00741C79">
        <w:rPr>
          <w:b/>
          <w:i/>
          <w:iCs/>
          <w:sz w:val="24"/>
        </w:rPr>
        <w:t>Banks</w:t>
      </w:r>
      <w:r w:rsidR="0008169D" w:rsidRPr="00741C79">
        <w:rPr>
          <w:b/>
          <w:i/>
          <w:iCs/>
          <w:sz w:val="24"/>
        </w:rPr>
        <w:t>’</w:t>
      </w:r>
      <w:r w:rsidRPr="00741C79">
        <w:rPr>
          <w:b/>
          <w:i/>
          <w:iCs/>
          <w:sz w:val="24"/>
        </w:rPr>
        <w:t xml:space="preserve"> Community Reinvestment Act (CRA) Opportunities for Promoting Job Creation, Workforc</w:t>
      </w:r>
      <w:r w:rsidR="00DF5754" w:rsidRPr="00741C79">
        <w:rPr>
          <w:b/>
          <w:i/>
          <w:iCs/>
          <w:sz w:val="24"/>
        </w:rPr>
        <w:t xml:space="preserve">e </w:t>
      </w:r>
      <w:r w:rsidRPr="00741C79">
        <w:rPr>
          <w:b/>
          <w:i/>
          <w:iCs/>
          <w:sz w:val="24"/>
        </w:rPr>
        <w:t>Development, and Place-Based Investments</w:t>
      </w:r>
    </w:p>
    <w:p w14:paraId="0D49EF41" w14:textId="2FE2D3FF" w:rsidR="00EA4709" w:rsidRPr="00741C79" w:rsidRDefault="002C790F" w:rsidP="00AE2F2D">
      <w:pPr>
        <w:spacing w:after="0" w:line="240" w:lineRule="auto"/>
        <w:rPr>
          <w:sz w:val="24"/>
        </w:rPr>
      </w:pPr>
      <w:hyperlink r:id="rId24" w:history="1">
        <w:r w:rsidR="003075DF" w:rsidRPr="00741C79">
          <w:rPr>
            <w:rStyle w:val="Hyperlink"/>
            <w:sz w:val="24"/>
          </w:rPr>
          <w:t>philadelphiafed.org/community-development/credit-and-capital/banks-community-reinvestment-act-opportunities</w:t>
        </w:r>
      </w:hyperlink>
      <w:r w:rsidR="003075DF" w:rsidRPr="00741C79">
        <w:rPr>
          <w:sz w:val="24"/>
        </w:rPr>
        <w:t xml:space="preserve"> </w:t>
      </w:r>
    </w:p>
    <w:p w14:paraId="686C4450" w14:textId="77777777" w:rsidR="00EA4709" w:rsidRPr="00741C79" w:rsidRDefault="00EA4709" w:rsidP="00AE2F2D">
      <w:pPr>
        <w:spacing w:after="0" w:line="240" w:lineRule="auto"/>
        <w:rPr>
          <w:sz w:val="24"/>
        </w:rPr>
      </w:pPr>
      <w:r w:rsidRPr="00741C79">
        <w:rPr>
          <w:sz w:val="24"/>
        </w:rPr>
        <w:t xml:space="preserve">This </w:t>
      </w:r>
      <w:r w:rsidR="009B5B42" w:rsidRPr="00741C79">
        <w:rPr>
          <w:sz w:val="24"/>
        </w:rPr>
        <w:t>report, published by the Federal Reserve Bank of Philadelphia in October 2017,</w:t>
      </w:r>
      <w:r w:rsidRPr="00741C79">
        <w:rPr>
          <w:sz w:val="24"/>
        </w:rPr>
        <w:t xml:space="preserve"> summarizes innovative activities from banks</w:t>
      </w:r>
      <w:r w:rsidR="0008169D" w:rsidRPr="00741C79">
        <w:rPr>
          <w:sz w:val="24"/>
        </w:rPr>
        <w:t>’</w:t>
      </w:r>
      <w:r w:rsidRPr="00741C79">
        <w:rPr>
          <w:sz w:val="24"/>
        </w:rPr>
        <w:t xml:space="preserve"> </w:t>
      </w:r>
      <w:r w:rsidR="00DB394B" w:rsidRPr="00741C79">
        <w:rPr>
          <w:sz w:val="24"/>
        </w:rPr>
        <w:t xml:space="preserve">CRA </w:t>
      </w:r>
      <w:r w:rsidRPr="00741C79">
        <w:rPr>
          <w:sz w:val="24"/>
        </w:rPr>
        <w:t>performance evaluations in the areas of job creation, education</w:t>
      </w:r>
      <w:r w:rsidR="00A4195F" w:rsidRPr="00741C79">
        <w:rPr>
          <w:sz w:val="24"/>
        </w:rPr>
        <w:t>,</w:t>
      </w:r>
      <w:r w:rsidRPr="00741C79">
        <w:rPr>
          <w:sz w:val="24"/>
        </w:rPr>
        <w:t xml:space="preserve"> workforce development, transportation and affordable housing. </w:t>
      </w:r>
      <w:r w:rsidR="00DB394B" w:rsidRPr="00741C79">
        <w:rPr>
          <w:sz w:val="24"/>
        </w:rPr>
        <w:t>It highlights</w:t>
      </w:r>
      <w:r w:rsidRPr="00741C79">
        <w:rPr>
          <w:sz w:val="24"/>
        </w:rPr>
        <w:t xml:space="preserve"> real-world situations in which banks received CRA credit in these areas</w:t>
      </w:r>
      <w:r w:rsidR="00DB394B" w:rsidRPr="00741C79">
        <w:rPr>
          <w:sz w:val="24"/>
        </w:rPr>
        <w:t xml:space="preserve"> to promote</w:t>
      </w:r>
      <w:r w:rsidRPr="00741C79">
        <w:rPr>
          <w:sz w:val="24"/>
        </w:rPr>
        <w:t xml:space="preserve"> economic growth and prosperity in th</w:t>
      </w:r>
      <w:r w:rsidR="006E6D30" w:rsidRPr="00741C79">
        <w:rPr>
          <w:sz w:val="24"/>
        </w:rPr>
        <w:t>e</w:t>
      </w:r>
      <w:r w:rsidR="00756F2B" w:rsidRPr="00741C79">
        <w:rPr>
          <w:sz w:val="24"/>
        </w:rPr>
        <w:t>ir</w:t>
      </w:r>
      <w:r w:rsidRPr="00741C79">
        <w:rPr>
          <w:sz w:val="24"/>
        </w:rPr>
        <w:t xml:space="preserve"> communit</w:t>
      </w:r>
      <w:r w:rsidR="00756F2B" w:rsidRPr="00741C79">
        <w:rPr>
          <w:sz w:val="24"/>
        </w:rPr>
        <w:t>ies</w:t>
      </w:r>
      <w:r w:rsidRPr="00741C79">
        <w:rPr>
          <w:sz w:val="24"/>
        </w:rPr>
        <w:t>.</w:t>
      </w:r>
    </w:p>
    <w:p w14:paraId="0500E023" w14:textId="0DA357BD" w:rsidR="005272C1" w:rsidRDefault="005272C1" w:rsidP="00AE2F2D">
      <w:pPr>
        <w:spacing w:after="0" w:line="240" w:lineRule="auto"/>
        <w:rPr>
          <w:sz w:val="24"/>
        </w:rPr>
      </w:pPr>
    </w:p>
    <w:p w14:paraId="4E69A9E7" w14:textId="77777777" w:rsidR="005272C1" w:rsidRPr="00741C79" w:rsidRDefault="005272C1" w:rsidP="00AE2F2D">
      <w:pPr>
        <w:spacing w:after="0" w:line="240" w:lineRule="auto"/>
        <w:rPr>
          <w:sz w:val="24"/>
        </w:rPr>
      </w:pPr>
    </w:p>
    <w:sectPr w:rsidR="005272C1" w:rsidRPr="00741C79" w:rsidSect="0013525E">
      <w:headerReference w:type="default" r:id="rId25"/>
      <w:footerReference w:type="default" r:id="rId26"/>
      <w:headerReference w:type="first" r:id="rId27"/>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3745DF" w14:textId="77777777" w:rsidR="008A17D1" w:rsidRDefault="008A17D1" w:rsidP="00D71AA5">
      <w:pPr>
        <w:spacing w:after="0" w:line="240" w:lineRule="auto"/>
      </w:pPr>
      <w:r>
        <w:separator/>
      </w:r>
    </w:p>
  </w:endnote>
  <w:endnote w:type="continuationSeparator" w:id="0">
    <w:p w14:paraId="31F120C5" w14:textId="77777777" w:rsidR="008A17D1" w:rsidRDefault="008A17D1" w:rsidP="00D71AA5">
      <w:pPr>
        <w:spacing w:after="0" w:line="240" w:lineRule="auto"/>
      </w:pPr>
      <w:r>
        <w:continuationSeparator/>
      </w:r>
    </w:p>
  </w:endnote>
  <w:endnote w:id="1">
    <w:p w14:paraId="4C46E28E" w14:textId="72C7B41C" w:rsidR="00326FBB" w:rsidRPr="008F03A8" w:rsidRDefault="00326FBB">
      <w:pPr>
        <w:pStyle w:val="EndnoteText"/>
        <w:rPr>
          <w:sz w:val="18"/>
          <w:szCs w:val="18"/>
        </w:rPr>
      </w:pPr>
      <w:r w:rsidRPr="008F03A8">
        <w:rPr>
          <w:rStyle w:val="EndnoteReference"/>
          <w:sz w:val="18"/>
          <w:szCs w:val="18"/>
        </w:rPr>
        <w:endnoteRef/>
      </w:r>
      <w:r w:rsidRPr="008F03A8">
        <w:rPr>
          <w:sz w:val="18"/>
          <w:szCs w:val="18"/>
        </w:rPr>
        <w:t xml:space="preserve"> Goodman, N., &amp; Morris, M. (2019). </w:t>
      </w:r>
      <w:hyperlink r:id="rId1" w:history="1">
        <w:r w:rsidRPr="008F03A8">
          <w:rPr>
            <w:rStyle w:val="Hyperlink"/>
            <w:i/>
            <w:iCs/>
            <w:sz w:val="18"/>
            <w:szCs w:val="18"/>
          </w:rPr>
          <w:t>Banking Status and Financial Behaviors of Adults with Disabilities: Findings from the 2017 FDIC National Survey of Unbanked and Underbanked Households and Focus Group Research</w:t>
        </w:r>
      </w:hyperlink>
      <w:r w:rsidRPr="008F03A8">
        <w:rPr>
          <w:sz w:val="18"/>
          <w:szCs w:val="18"/>
        </w:rPr>
        <w:t>. National Disability Institute.</w:t>
      </w:r>
    </w:p>
  </w:endnote>
  <w:endnote w:id="2">
    <w:p w14:paraId="563E54EA" w14:textId="664A42CD" w:rsidR="00326FBB" w:rsidRPr="008F03A8" w:rsidRDefault="00326FBB">
      <w:pPr>
        <w:pStyle w:val="EndnoteText"/>
        <w:rPr>
          <w:sz w:val="18"/>
          <w:szCs w:val="18"/>
        </w:rPr>
      </w:pPr>
      <w:r w:rsidRPr="008F03A8">
        <w:rPr>
          <w:rStyle w:val="EndnoteReference"/>
          <w:sz w:val="18"/>
          <w:szCs w:val="18"/>
        </w:rPr>
        <w:endnoteRef/>
      </w:r>
      <w:r w:rsidRPr="008F03A8">
        <w:rPr>
          <w:sz w:val="18"/>
          <w:szCs w:val="18"/>
        </w:rPr>
        <w:t xml:space="preserve"> Ibid.</w:t>
      </w:r>
    </w:p>
  </w:endnote>
  <w:endnote w:id="3">
    <w:p w14:paraId="2BF99AE3" w14:textId="233CAE0A" w:rsidR="00326FBB" w:rsidRPr="008F03A8" w:rsidRDefault="00326FBB">
      <w:pPr>
        <w:pStyle w:val="EndnoteText"/>
        <w:rPr>
          <w:sz w:val="18"/>
          <w:szCs w:val="18"/>
        </w:rPr>
      </w:pPr>
      <w:r w:rsidRPr="008F03A8">
        <w:rPr>
          <w:rStyle w:val="EndnoteReference"/>
          <w:sz w:val="18"/>
          <w:szCs w:val="18"/>
        </w:rPr>
        <w:endnoteRef/>
      </w:r>
      <w:r w:rsidRPr="008F03A8">
        <w:rPr>
          <w:sz w:val="18"/>
          <w:szCs w:val="18"/>
        </w:rPr>
        <w:t xml:space="preserve"> Ibid.</w:t>
      </w:r>
    </w:p>
  </w:endnote>
  <w:endnote w:id="4">
    <w:p w14:paraId="4893B695" w14:textId="0AB5E1A7" w:rsidR="00326FBB" w:rsidRPr="008F03A8" w:rsidRDefault="00326FBB">
      <w:pPr>
        <w:pStyle w:val="EndnoteText"/>
        <w:rPr>
          <w:sz w:val="18"/>
          <w:szCs w:val="18"/>
        </w:rPr>
      </w:pPr>
      <w:r w:rsidRPr="008F03A8">
        <w:rPr>
          <w:rStyle w:val="EndnoteReference"/>
          <w:sz w:val="18"/>
          <w:szCs w:val="18"/>
        </w:rPr>
        <w:endnoteRef/>
      </w:r>
      <w:r w:rsidRPr="008F03A8">
        <w:rPr>
          <w:sz w:val="18"/>
          <w:szCs w:val="18"/>
        </w:rPr>
        <w:t xml:space="preserve"> Goodman, N., &amp; Morris, M (2017). </w:t>
      </w:r>
      <w:hyperlink r:id="rId2" w:history="1">
        <w:r w:rsidRPr="008F03A8">
          <w:rPr>
            <w:rStyle w:val="Hyperlink"/>
            <w:i/>
            <w:iCs/>
            <w:sz w:val="18"/>
            <w:szCs w:val="18"/>
          </w:rPr>
          <w:t>FINANCIAL INEQUALITY: Disability, Race and Poverty in America</w:t>
        </w:r>
      </w:hyperlink>
      <w:r w:rsidRPr="008F03A8">
        <w:rPr>
          <w:sz w:val="18"/>
          <w:szCs w:val="18"/>
        </w:rPr>
        <w:t>. National Disability Institute.</w:t>
      </w:r>
    </w:p>
  </w:endnote>
  <w:endnote w:id="5">
    <w:p w14:paraId="20C9EABA" w14:textId="244232AF" w:rsidR="00326FBB" w:rsidRPr="008F03A8" w:rsidRDefault="00326FBB" w:rsidP="00F06AE4">
      <w:pPr>
        <w:pStyle w:val="CommentText"/>
        <w:spacing w:after="0"/>
        <w:rPr>
          <w:sz w:val="18"/>
          <w:szCs w:val="18"/>
        </w:rPr>
      </w:pPr>
      <w:r w:rsidRPr="008F03A8">
        <w:rPr>
          <w:rStyle w:val="EndnoteReference"/>
          <w:sz w:val="18"/>
          <w:szCs w:val="18"/>
        </w:rPr>
        <w:endnoteRef/>
      </w:r>
      <w:r w:rsidRPr="008F03A8">
        <w:rPr>
          <w:sz w:val="18"/>
          <w:szCs w:val="18"/>
        </w:rPr>
        <w:t xml:space="preserve"> Community Reinvestment Act, 12 U.S.C. § 2901 </w:t>
      </w:r>
      <w:r w:rsidRPr="008F03A8">
        <w:rPr>
          <w:i/>
          <w:sz w:val="18"/>
          <w:szCs w:val="18"/>
        </w:rPr>
        <w:t>et seq.</w:t>
      </w:r>
      <w:r w:rsidRPr="008F03A8">
        <w:rPr>
          <w:sz w:val="18"/>
          <w:szCs w:val="18"/>
        </w:rPr>
        <w:t>; 12 C.F.R. § 25.04</w:t>
      </w:r>
      <w:r w:rsidR="00405C12" w:rsidRPr="008F03A8">
        <w:rPr>
          <w:sz w:val="18"/>
          <w:szCs w:val="18"/>
        </w:rPr>
        <w:t>.</w:t>
      </w:r>
    </w:p>
  </w:endnote>
  <w:endnote w:id="6">
    <w:p w14:paraId="411802F5" w14:textId="02A950BB" w:rsidR="00055F71" w:rsidRPr="008F03A8" w:rsidRDefault="00055F71" w:rsidP="00F06AE4">
      <w:pPr>
        <w:pStyle w:val="EndnoteText"/>
        <w:rPr>
          <w:sz w:val="18"/>
          <w:szCs w:val="18"/>
        </w:rPr>
      </w:pPr>
      <w:r w:rsidRPr="008F03A8">
        <w:rPr>
          <w:rStyle w:val="EndnoteReference"/>
          <w:sz w:val="18"/>
          <w:szCs w:val="18"/>
        </w:rPr>
        <w:endnoteRef/>
      </w:r>
      <w:r w:rsidRPr="008F03A8">
        <w:rPr>
          <w:sz w:val="18"/>
          <w:szCs w:val="18"/>
        </w:rPr>
        <w:t xml:space="preserve"> </w:t>
      </w:r>
      <w:r w:rsidR="008E36AF" w:rsidRPr="008F03A8">
        <w:rPr>
          <w:sz w:val="18"/>
          <w:szCs w:val="18"/>
        </w:rPr>
        <w:t xml:space="preserve">Federal Reserve Bank of Dallas &amp; Federal Reserve Bank of Kansas City (2016). </w:t>
      </w:r>
      <w:hyperlink r:id="rId3" w:history="1">
        <w:r w:rsidR="008E36AF" w:rsidRPr="008F03A8">
          <w:rPr>
            <w:rStyle w:val="Hyperlink"/>
            <w:i/>
            <w:sz w:val="18"/>
            <w:szCs w:val="18"/>
          </w:rPr>
          <w:t>Engaging Workforce Development: A Framework for Meeting CRA Obligations</w:t>
        </w:r>
      </w:hyperlink>
      <w:r w:rsidR="00405C12" w:rsidRPr="008F03A8">
        <w:rPr>
          <w:rStyle w:val="Hyperlink"/>
          <w:color w:val="auto"/>
          <w:sz w:val="18"/>
          <w:szCs w:val="18"/>
          <w:u w:val="none"/>
        </w:rPr>
        <w:t>.</w:t>
      </w:r>
    </w:p>
  </w:endnote>
  <w:endnote w:id="7">
    <w:p w14:paraId="476D4146" w14:textId="51DBA6C8" w:rsidR="008E36AF" w:rsidRPr="008F03A8" w:rsidRDefault="008E36AF">
      <w:pPr>
        <w:pStyle w:val="EndnoteText"/>
        <w:rPr>
          <w:sz w:val="18"/>
          <w:szCs w:val="18"/>
        </w:rPr>
      </w:pPr>
      <w:r w:rsidRPr="008F03A8">
        <w:rPr>
          <w:rStyle w:val="EndnoteReference"/>
          <w:sz w:val="18"/>
          <w:szCs w:val="18"/>
        </w:rPr>
        <w:endnoteRef/>
      </w:r>
      <w:r w:rsidRPr="008F03A8">
        <w:rPr>
          <w:sz w:val="18"/>
          <w:szCs w:val="18"/>
        </w:rPr>
        <w:t xml:space="preserve"> CRA Newswire (2018, June 25)</w:t>
      </w:r>
      <w:r w:rsidR="008F03A8">
        <w:rPr>
          <w:sz w:val="18"/>
          <w:szCs w:val="18"/>
        </w:rPr>
        <w:t xml:space="preserve"> </w:t>
      </w:r>
      <w:hyperlink r:id="rId4" w:history="1">
        <w:r w:rsidR="008F03A8" w:rsidRPr="008F03A8">
          <w:rPr>
            <w:rStyle w:val="Hyperlink"/>
            <w:i/>
            <w:iCs/>
            <w:sz w:val="18"/>
            <w:szCs w:val="18"/>
          </w:rPr>
          <w:t>Ever Wondered “What is Low- and Moderate-Income or LMI?” Here’s Your Answer</w:t>
        </w:r>
      </w:hyperlink>
      <w:r w:rsidR="008F03A8">
        <w:rPr>
          <w:sz w:val="18"/>
          <w:szCs w:val="18"/>
        </w:rPr>
        <w:t>.</w:t>
      </w:r>
      <w:r w:rsidRPr="008F03A8">
        <w:rPr>
          <w:sz w:val="18"/>
          <w:szCs w:val="18"/>
        </w:rPr>
        <w:t xml:space="preserve"> </w:t>
      </w:r>
    </w:p>
  </w:endnote>
  <w:endnote w:id="8">
    <w:p w14:paraId="7B6E0070" w14:textId="205DF5FD" w:rsidR="008E36AF" w:rsidRPr="008F03A8" w:rsidRDefault="008E36AF">
      <w:pPr>
        <w:pStyle w:val="EndnoteText"/>
        <w:rPr>
          <w:sz w:val="18"/>
          <w:szCs w:val="18"/>
        </w:rPr>
      </w:pPr>
      <w:r w:rsidRPr="008F03A8">
        <w:rPr>
          <w:rStyle w:val="EndnoteReference"/>
          <w:sz w:val="18"/>
          <w:szCs w:val="18"/>
        </w:rPr>
        <w:endnoteRef/>
      </w:r>
      <w:r w:rsidRPr="008F03A8">
        <w:rPr>
          <w:sz w:val="18"/>
          <w:szCs w:val="18"/>
        </w:rPr>
        <w:t xml:space="preserve"> Ibid.</w:t>
      </w:r>
    </w:p>
  </w:endnote>
  <w:endnote w:id="9">
    <w:p w14:paraId="472FE0CF" w14:textId="6431C089" w:rsidR="008E36AF" w:rsidRPr="008F03A8" w:rsidRDefault="008E36AF">
      <w:pPr>
        <w:pStyle w:val="EndnoteText"/>
        <w:contextualSpacing/>
        <w:rPr>
          <w:sz w:val="18"/>
          <w:szCs w:val="18"/>
        </w:rPr>
      </w:pPr>
      <w:r w:rsidRPr="008F03A8">
        <w:rPr>
          <w:rStyle w:val="EndnoteReference"/>
          <w:sz w:val="18"/>
          <w:szCs w:val="18"/>
        </w:rPr>
        <w:endnoteRef/>
      </w:r>
      <w:r w:rsidRPr="008F03A8">
        <w:rPr>
          <w:sz w:val="18"/>
          <w:szCs w:val="18"/>
        </w:rPr>
        <w:t xml:space="preserve"> Goldstein, S &amp; Ding, L Federal Reserve Bank of Philadelphia (2017)</w:t>
      </w:r>
      <w:r w:rsidRPr="008F03A8">
        <w:rPr>
          <w:i/>
          <w:sz w:val="18"/>
          <w:szCs w:val="18"/>
        </w:rPr>
        <w:t xml:space="preserve">. </w:t>
      </w:r>
      <w:hyperlink r:id="rId5" w:history="1">
        <w:r w:rsidRPr="008F03A8">
          <w:rPr>
            <w:rStyle w:val="Hyperlink"/>
            <w:i/>
            <w:iCs/>
            <w:sz w:val="18"/>
            <w:szCs w:val="18"/>
          </w:rPr>
          <w:t>Banks’ Community Reinvestment Act (CRA) Opportunities for Promoting Job Creation, Workforce Development, and Place-Based Investments</w:t>
        </w:r>
      </w:hyperlink>
      <w:r w:rsidRPr="008F03A8">
        <w:rPr>
          <w:sz w:val="18"/>
          <w:szCs w:val="18"/>
        </w:rPr>
        <w:t>.</w:t>
      </w:r>
    </w:p>
  </w:endnote>
  <w:endnote w:id="10">
    <w:p w14:paraId="62353284" w14:textId="3EE47991" w:rsidR="008E36AF" w:rsidRPr="008F03A8" w:rsidRDefault="008E36AF">
      <w:pPr>
        <w:pStyle w:val="EndnoteText"/>
        <w:contextualSpacing/>
        <w:rPr>
          <w:sz w:val="18"/>
          <w:szCs w:val="18"/>
        </w:rPr>
      </w:pPr>
      <w:r w:rsidRPr="008F03A8">
        <w:rPr>
          <w:rStyle w:val="EndnoteReference"/>
          <w:sz w:val="18"/>
          <w:szCs w:val="18"/>
        </w:rPr>
        <w:endnoteRef/>
      </w:r>
      <w:r w:rsidRPr="008F03A8">
        <w:rPr>
          <w:sz w:val="18"/>
          <w:szCs w:val="18"/>
        </w:rPr>
        <w:t xml:space="preserve"> </w:t>
      </w:r>
      <w:r w:rsidR="00F06AE4" w:rsidRPr="008F03A8">
        <w:rPr>
          <w:sz w:val="18"/>
          <w:szCs w:val="18"/>
        </w:rPr>
        <w:t xml:space="preserve">Community Reinvestment Act, </w:t>
      </w:r>
      <w:r w:rsidRPr="008F03A8">
        <w:rPr>
          <w:sz w:val="18"/>
          <w:szCs w:val="18"/>
        </w:rPr>
        <w:t>12 C.F.R. § 25.04(c).</w:t>
      </w:r>
    </w:p>
  </w:endnote>
  <w:endnote w:id="11">
    <w:p w14:paraId="72D46BB9" w14:textId="396CF6BB" w:rsidR="008E36AF" w:rsidRPr="008F03A8" w:rsidRDefault="008E36AF">
      <w:pPr>
        <w:pStyle w:val="EndnoteText"/>
        <w:contextualSpacing/>
        <w:rPr>
          <w:sz w:val="18"/>
          <w:szCs w:val="18"/>
        </w:rPr>
      </w:pPr>
      <w:r w:rsidRPr="008F03A8">
        <w:rPr>
          <w:rStyle w:val="EndnoteReference"/>
          <w:sz w:val="18"/>
          <w:szCs w:val="18"/>
        </w:rPr>
        <w:endnoteRef/>
      </w:r>
      <w:r w:rsidRPr="008F03A8">
        <w:rPr>
          <w:sz w:val="18"/>
          <w:szCs w:val="18"/>
        </w:rPr>
        <w:t xml:space="preserve"> Goodman, N., &amp; Morris, M. (2019). </w:t>
      </w:r>
      <w:hyperlink r:id="rId6" w:history="1">
        <w:r w:rsidRPr="008F03A8">
          <w:rPr>
            <w:rStyle w:val="Hyperlink"/>
            <w:i/>
            <w:iCs/>
            <w:sz w:val="18"/>
            <w:szCs w:val="18"/>
          </w:rPr>
          <w:t>Banking Status and Financial Behaviors of Adults with Disabilities: Findings from the 2017 FDIC National Survey of Unbanked and Underbanked Households and Focus Group Research</w:t>
        </w:r>
      </w:hyperlink>
      <w:r w:rsidR="00405C12" w:rsidRPr="008F03A8">
        <w:rPr>
          <w:rStyle w:val="Hyperlink"/>
          <w:color w:val="auto"/>
          <w:sz w:val="18"/>
          <w:szCs w:val="18"/>
          <w:u w:val="none"/>
        </w:rPr>
        <w:t>.</w:t>
      </w:r>
    </w:p>
  </w:endnote>
  <w:endnote w:id="12">
    <w:p w14:paraId="2E48459E" w14:textId="40549B82" w:rsidR="008E36AF" w:rsidRPr="008F03A8" w:rsidRDefault="008E36AF">
      <w:pPr>
        <w:pStyle w:val="EndnoteText"/>
        <w:rPr>
          <w:sz w:val="18"/>
          <w:szCs w:val="18"/>
        </w:rPr>
      </w:pPr>
      <w:r w:rsidRPr="008F03A8">
        <w:rPr>
          <w:rStyle w:val="EndnoteReference"/>
          <w:sz w:val="18"/>
          <w:szCs w:val="18"/>
        </w:rPr>
        <w:endnoteRef/>
      </w:r>
      <w:r w:rsidRPr="008F03A8">
        <w:rPr>
          <w:sz w:val="18"/>
          <w:szCs w:val="18"/>
        </w:rPr>
        <w:t xml:space="preserve"> Bureau of Labor Statistics. (2021, February 26). </w:t>
      </w:r>
      <w:hyperlink r:id="rId7" w:history="1">
        <w:r w:rsidRPr="008F03A8">
          <w:rPr>
            <w:rStyle w:val="Hyperlink"/>
            <w:i/>
            <w:sz w:val="18"/>
            <w:szCs w:val="18"/>
          </w:rPr>
          <w:t>Persons with a disability: Labor force characteristics – 2020</w:t>
        </w:r>
      </w:hyperlink>
      <w:r w:rsidRPr="008F03A8">
        <w:rPr>
          <w:sz w:val="18"/>
          <w:szCs w:val="18"/>
        </w:rPr>
        <w:t xml:space="preserve"> [Press release]. U.S. Department of Labor.</w:t>
      </w:r>
    </w:p>
  </w:endnote>
  <w:endnote w:id="13">
    <w:p w14:paraId="3543FAAA" w14:textId="3CDF95A7" w:rsidR="008E36AF" w:rsidRPr="008F03A8" w:rsidRDefault="008E36AF">
      <w:pPr>
        <w:pStyle w:val="EndnoteText"/>
        <w:rPr>
          <w:sz w:val="18"/>
          <w:szCs w:val="18"/>
        </w:rPr>
      </w:pPr>
      <w:r w:rsidRPr="008F03A8">
        <w:rPr>
          <w:rStyle w:val="EndnoteReference"/>
          <w:sz w:val="18"/>
          <w:szCs w:val="18"/>
        </w:rPr>
        <w:endnoteRef/>
      </w:r>
      <w:r w:rsidRPr="008F03A8">
        <w:rPr>
          <w:sz w:val="18"/>
          <w:szCs w:val="18"/>
        </w:rPr>
        <w:t xml:space="preserve">  Ibid.</w:t>
      </w:r>
    </w:p>
  </w:endnote>
  <w:endnote w:id="14">
    <w:p w14:paraId="74715269" w14:textId="091644A4" w:rsidR="000D3A46" w:rsidRPr="008F03A8" w:rsidRDefault="000D3A46">
      <w:pPr>
        <w:pStyle w:val="EndnoteText"/>
        <w:rPr>
          <w:sz w:val="18"/>
          <w:szCs w:val="18"/>
        </w:rPr>
      </w:pPr>
      <w:r w:rsidRPr="008F03A8">
        <w:rPr>
          <w:rStyle w:val="EndnoteReference"/>
          <w:sz w:val="18"/>
          <w:szCs w:val="18"/>
        </w:rPr>
        <w:endnoteRef/>
      </w:r>
      <w:r w:rsidRPr="008F03A8">
        <w:rPr>
          <w:sz w:val="18"/>
          <w:szCs w:val="18"/>
        </w:rPr>
        <w:t xml:space="preserve"> </w:t>
      </w:r>
      <w:r w:rsidR="00405C12" w:rsidRPr="008F03A8">
        <w:rPr>
          <w:sz w:val="18"/>
          <w:szCs w:val="18"/>
        </w:rPr>
        <w:t xml:space="preserve">A “householder”refers to: 1) the person (or one of the people) in whose name the housing unit is owned or maintained, and (2) someone who specified that they had some level of participation in their household finances. </w:t>
      </w:r>
      <w:r w:rsidRPr="008F03A8">
        <w:rPr>
          <w:sz w:val="18"/>
          <w:szCs w:val="18"/>
        </w:rPr>
        <w:t xml:space="preserve">Federal Deposit Insurance Corporation. (2020, October). </w:t>
      </w:r>
      <w:hyperlink r:id="rId8" w:history="1">
        <w:r w:rsidRPr="008F03A8">
          <w:rPr>
            <w:rStyle w:val="Hyperlink"/>
            <w:i/>
            <w:iCs/>
            <w:sz w:val="18"/>
            <w:szCs w:val="18"/>
          </w:rPr>
          <w:t>How America banks: Household use of banking and financial services—2019 FDIC survey</w:t>
        </w:r>
      </w:hyperlink>
      <w:r w:rsidRPr="008F03A8">
        <w:rPr>
          <w:sz w:val="18"/>
          <w:szCs w:val="18"/>
        </w:rPr>
        <w:t xml:space="preserve">. </w:t>
      </w:r>
    </w:p>
  </w:endnote>
  <w:endnote w:id="15">
    <w:p w14:paraId="36BE5F9E" w14:textId="7DF6B3BC" w:rsidR="000D3A46" w:rsidRPr="008F03A8" w:rsidRDefault="000D3A46" w:rsidP="00405C12">
      <w:pPr>
        <w:pStyle w:val="CommentText"/>
        <w:spacing w:after="0"/>
        <w:rPr>
          <w:rFonts w:ascii="Calibri" w:hAnsi="Calibri" w:cs="Calibri"/>
          <w:color w:val="0070C0"/>
          <w:sz w:val="18"/>
          <w:szCs w:val="18"/>
        </w:rPr>
      </w:pPr>
      <w:r w:rsidRPr="008F03A8">
        <w:rPr>
          <w:rStyle w:val="EndnoteReference"/>
          <w:sz w:val="18"/>
          <w:szCs w:val="18"/>
        </w:rPr>
        <w:endnoteRef/>
      </w:r>
      <w:r w:rsidRPr="008F03A8">
        <w:rPr>
          <w:sz w:val="18"/>
          <w:szCs w:val="18"/>
        </w:rPr>
        <w:t xml:space="preserve"> Analysis of 2019 FDIC Survey of Household Use of Banking and Financial Services. National Disability Institute. Data sets can be found at: </w:t>
      </w:r>
      <w:hyperlink r:id="rId9" w:anchor="yearly" w:history="1">
        <w:r w:rsidRPr="008F03A8">
          <w:rPr>
            <w:rStyle w:val="Hyperlink"/>
            <w:rFonts w:ascii="Calibri" w:hAnsi="Calibri" w:cs="Calibri"/>
            <w:sz w:val="18"/>
            <w:szCs w:val="18"/>
          </w:rPr>
          <w:t>https://www.economicinclusion.gov/downloads/index.html#yearly</w:t>
        </w:r>
      </w:hyperlink>
      <w:r w:rsidR="00405C12" w:rsidRPr="008F03A8">
        <w:rPr>
          <w:rStyle w:val="Hyperlink"/>
          <w:rFonts w:ascii="Calibri" w:hAnsi="Calibri" w:cs="Calibri"/>
          <w:color w:val="auto"/>
          <w:sz w:val="18"/>
          <w:szCs w:val="18"/>
          <w:u w:val="none"/>
        </w:rPr>
        <w:t>.</w:t>
      </w:r>
      <w:r w:rsidRPr="008F03A8">
        <w:rPr>
          <w:rFonts w:ascii="Calibri" w:hAnsi="Calibri" w:cs="Calibri"/>
          <w:color w:val="0070C0"/>
          <w:sz w:val="18"/>
          <w:szCs w:val="18"/>
        </w:rPr>
        <w:t xml:space="preserve">  </w:t>
      </w:r>
    </w:p>
  </w:endnote>
  <w:endnote w:id="16">
    <w:p w14:paraId="25B5BC8F" w14:textId="4D639F2B" w:rsidR="000D3A46" w:rsidRPr="008F03A8" w:rsidRDefault="000D3A46" w:rsidP="00405C12">
      <w:pPr>
        <w:pStyle w:val="EndnoteText"/>
        <w:rPr>
          <w:sz w:val="18"/>
          <w:szCs w:val="18"/>
        </w:rPr>
      </w:pPr>
      <w:r w:rsidRPr="008F03A8">
        <w:rPr>
          <w:rStyle w:val="EndnoteReference"/>
          <w:sz w:val="18"/>
          <w:szCs w:val="18"/>
        </w:rPr>
        <w:endnoteRef/>
      </w:r>
      <w:r w:rsidRPr="008F03A8">
        <w:rPr>
          <w:sz w:val="18"/>
          <w:szCs w:val="18"/>
        </w:rPr>
        <w:t xml:space="preserve"> Goodman, N., &amp; Morris, M. (2019). </w:t>
      </w:r>
      <w:hyperlink r:id="rId10" w:history="1">
        <w:r w:rsidRPr="008F03A8">
          <w:rPr>
            <w:rStyle w:val="Hyperlink"/>
            <w:i/>
            <w:iCs/>
            <w:sz w:val="18"/>
            <w:szCs w:val="18"/>
          </w:rPr>
          <w:t>Banking status and financial behaviors of adults with disabilities: Findings from the 2017 FDIC National Survey of Unbanked and Underbanked Households and focus group research. National Disability Institute</w:t>
        </w:r>
      </w:hyperlink>
      <w:r w:rsidRPr="008F03A8">
        <w:rPr>
          <w:sz w:val="18"/>
          <w:szCs w:val="18"/>
        </w:rPr>
        <w:t>.</w:t>
      </w:r>
    </w:p>
  </w:endnote>
  <w:endnote w:id="17">
    <w:p w14:paraId="53228659" w14:textId="77FBFD19" w:rsidR="000D3A46" w:rsidRPr="008F03A8" w:rsidRDefault="000D3A46" w:rsidP="000D3A46">
      <w:pPr>
        <w:pStyle w:val="CommentText"/>
        <w:contextualSpacing/>
        <w:rPr>
          <w:color w:val="0563C1" w:themeColor="hyperlink"/>
          <w:sz w:val="18"/>
          <w:szCs w:val="18"/>
          <w:u w:val="single"/>
        </w:rPr>
      </w:pPr>
      <w:r w:rsidRPr="008F03A8">
        <w:rPr>
          <w:rStyle w:val="EndnoteReference"/>
          <w:sz w:val="18"/>
          <w:szCs w:val="18"/>
        </w:rPr>
        <w:endnoteRef/>
      </w:r>
      <w:r w:rsidRPr="008F03A8">
        <w:rPr>
          <w:sz w:val="18"/>
          <w:szCs w:val="18"/>
        </w:rPr>
        <w:t xml:space="preserve"> Lazarus, D. (2021, April 9). </w:t>
      </w:r>
      <w:hyperlink r:id="rId11" w:history="1">
        <w:r w:rsidRPr="005272C1">
          <w:rPr>
            <w:rStyle w:val="Hyperlink"/>
            <w:i/>
            <w:iCs/>
            <w:sz w:val="18"/>
            <w:szCs w:val="18"/>
          </w:rPr>
          <w:t>There’s a racial gap in marketing by banks and payday lenders, study finds</w:t>
        </w:r>
      </w:hyperlink>
      <w:r w:rsidRPr="008F03A8">
        <w:rPr>
          <w:sz w:val="18"/>
          <w:szCs w:val="18"/>
        </w:rPr>
        <w:t xml:space="preserve">. </w:t>
      </w:r>
      <w:r w:rsidRPr="008F03A8">
        <w:rPr>
          <w:i/>
          <w:iCs/>
          <w:sz w:val="18"/>
          <w:szCs w:val="18"/>
        </w:rPr>
        <w:t xml:space="preserve">Los Angeles Times. </w:t>
      </w:r>
    </w:p>
  </w:endnote>
  <w:endnote w:id="18">
    <w:p w14:paraId="6972BCD4" w14:textId="104A6E19" w:rsidR="000D3A46" w:rsidRPr="000D3A46" w:rsidRDefault="000D3A46" w:rsidP="000D3A46">
      <w:pPr>
        <w:pStyle w:val="CommentText"/>
        <w:contextualSpacing/>
        <w:rPr>
          <w:color w:val="0563C1" w:themeColor="hyperlink"/>
          <w:u w:val="single"/>
        </w:rPr>
      </w:pPr>
      <w:r w:rsidRPr="008F03A8">
        <w:rPr>
          <w:rStyle w:val="EndnoteReference"/>
          <w:sz w:val="18"/>
          <w:szCs w:val="18"/>
        </w:rPr>
        <w:endnoteRef/>
      </w:r>
      <w:r w:rsidRPr="008F03A8">
        <w:rPr>
          <w:sz w:val="18"/>
          <w:szCs w:val="18"/>
        </w:rPr>
        <w:t xml:space="preserve"> </w:t>
      </w:r>
      <w:r w:rsidRPr="008F03A8">
        <w:rPr>
          <w:rStyle w:val="Hyperlink"/>
          <w:color w:val="auto"/>
          <w:sz w:val="18"/>
          <w:szCs w:val="18"/>
          <w:u w:val="none"/>
        </w:rPr>
        <w:t xml:space="preserve">Workforce Innovation and Opportunity Act (WIOA), </w:t>
      </w:r>
      <w:r w:rsidRPr="008F03A8">
        <w:rPr>
          <w:sz w:val="18"/>
          <w:szCs w:val="18"/>
        </w:rPr>
        <w:t xml:space="preserve">29 U.S.C. § 3101 </w:t>
      </w:r>
      <w:r w:rsidRPr="008F03A8">
        <w:rPr>
          <w:i/>
          <w:sz w:val="18"/>
          <w:szCs w:val="18"/>
        </w:rPr>
        <w:t>et seq</w:t>
      </w:r>
      <w:r w:rsidRPr="008F03A8">
        <w:rPr>
          <w:sz w:val="18"/>
          <w:szCs w:val="18"/>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C08A4" w14:textId="28FDC637" w:rsidR="00F249D7" w:rsidRPr="00A96E78" w:rsidRDefault="0013525E" w:rsidP="00A96E78">
    <w:pPr>
      <w:pStyle w:val="Footer"/>
      <w:jc w:val="right"/>
      <w:rPr>
        <w:noProof/>
      </w:rPr>
    </w:pPr>
    <w:r w:rsidRPr="0013525E">
      <w:rPr>
        <w:i/>
        <w:iCs/>
        <w:sz w:val="18"/>
        <w:szCs w:val="18"/>
      </w:rPr>
      <w:t xml:space="preserve">The </w:t>
    </w:r>
    <w:hyperlink r:id="rId1" w:history="1">
      <w:r w:rsidRPr="00405C12">
        <w:rPr>
          <w:rStyle w:val="Hyperlink"/>
          <w:i/>
          <w:iCs/>
          <w:sz w:val="18"/>
          <w:szCs w:val="18"/>
        </w:rPr>
        <w:t>LEAD Center</w:t>
      </w:r>
    </w:hyperlink>
    <w:r w:rsidRPr="0013525E">
      <w:rPr>
        <w:i/>
        <w:iCs/>
        <w:sz w:val="18"/>
        <w:szCs w:val="18"/>
      </w:rPr>
      <w:t xml:space="preserve"> is led by Social Policy Research Associates and National Disability Institute and is funded by the </w:t>
    </w:r>
    <w:r w:rsidR="00F249D7">
      <w:rPr>
        <w:i/>
        <w:iCs/>
        <w:sz w:val="18"/>
        <w:szCs w:val="18"/>
      </w:rPr>
      <w:tab/>
    </w:r>
    <w:sdt>
      <w:sdtPr>
        <w:id w:val="1095746016"/>
        <w:docPartObj>
          <w:docPartGallery w:val="Page Numbers (Bottom of Page)"/>
          <w:docPartUnique/>
        </w:docPartObj>
      </w:sdtPr>
      <w:sdtEndPr>
        <w:rPr>
          <w:noProof/>
        </w:rPr>
      </w:sdtEndPr>
      <w:sdtContent>
        <w:r w:rsidR="00F249D7">
          <w:fldChar w:fldCharType="begin"/>
        </w:r>
        <w:r w:rsidR="00F249D7">
          <w:instrText xml:space="preserve"> PAGE   \* MERGEFORMAT </w:instrText>
        </w:r>
        <w:r w:rsidR="00F249D7">
          <w:fldChar w:fldCharType="separate"/>
        </w:r>
        <w:r w:rsidR="002C790F">
          <w:rPr>
            <w:noProof/>
          </w:rPr>
          <w:t>2</w:t>
        </w:r>
        <w:r w:rsidR="00F249D7">
          <w:rPr>
            <w:noProof/>
          </w:rPr>
          <w:fldChar w:fldCharType="end"/>
        </w:r>
      </w:sdtContent>
    </w:sdt>
  </w:p>
  <w:p w14:paraId="2DB44024" w14:textId="77777777" w:rsidR="001937C6" w:rsidRPr="0013525E" w:rsidRDefault="0013525E" w:rsidP="0013525E">
    <w:pPr>
      <w:pStyle w:val="Footer"/>
      <w:rPr>
        <w:sz w:val="18"/>
        <w:szCs w:val="18"/>
      </w:rPr>
    </w:pPr>
    <w:r w:rsidRPr="0013525E">
      <w:rPr>
        <w:i/>
        <w:iCs/>
        <w:sz w:val="18"/>
        <w:szCs w:val="18"/>
      </w:rPr>
      <w:t>Office of Disability Employment Policy, U.S. Department of Labor, Contract No. GS-10F-0281S.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A60191" w14:textId="77777777" w:rsidR="008A17D1" w:rsidRDefault="008A17D1" w:rsidP="00D71AA5">
      <w:pPr>
        <w:spacing w:after="0" w:line="240" w:lineRule="auto"/>
      </w:pPr>
      <w:r>
        <w:separator/>
      </w:r>
    </w:p>
  </w:footnote>
  <w:footnote w:type="continuationSeparator" w:id="0">
    <w:p w14:paraId="03E0800A" w14:textId="77777777" w:rsidR="008A17D1" w:rsidRDefault="008A17D1" w:rsidP="00D71A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06B03" w14:textId="77777777" w:rsidR="0013525E" w:rsidRDefault="0013525E">
    <w:pPr>
      <w:pStyle w:val="Header"/>
    </w:pPr>
    <w:r>
      <w:rPr>
        <w:noProof/>
      </w:rPr>
      <w:drawing>
        <wp:inline distT="0" distB="0" distL="0" distR="0" wp14:anchorId="7297CD86" wp14:editId="44B47408">
          <wp:extent cx="1375258" cy="337638"/>
          <wp:effectExtent l="0" t="0" r="0" b="5715"/>
          <wp:docPr id="5" name="Picture 5" descr="LEAD Center, WIOA Policy Develop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EAD Center, WIOA Policy Developmen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6688" cy="345354"/>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323F0" w14:textId="77777777" w:rsidR="0013525E" w:rsidRDefault="0013525E" w:rsidP="0013525E">
    <w:pPr>
      <w:pStyle w:val="Header"/>
      <w:jc w:val="right"/>
    </w:pPr>
    <w:r>
      <w:rPr>
        <w:noProof/>
      </w:rPr>
      <w:drawing>
        <wp:inline distT="0" distB="0" distL="0" distR="0" wp14:anchorId="59D4358A" wp14:editId="3D16D8C8">
          <wp:extent cx="1657350" cy="406635"/>
          <wp:effectExtent l="0" t="0" r="0" b="0"/>
          <wp:docPr id="4" name="Picture 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5315" cy="43067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0314A"/>
    <w:multiLevelType w:val="hybridMultilevel"/>
    <w:tmpl w:val="399A1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30323"/>
    <w:multiLevelType w:val="hybridMultilevel"/>
    <w:tmpl w:val="17F4406E"/>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 w15:restartNumberingAfterBreak="0">
    <w:nsid w:val="021D416F"/>
    <w:multiLevelType w:val="hybridMultilevel"/>
    <w:tmpl w:val="DDD60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8D556D"/>
    <w:multiLevelType w:val="hybridMultilevel"/>
    <w:tmpl w:val="0B228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6C433A"/>
    <w:multiLevelType w:val="hybridMultilevel"/>
    <w:tmpl w:val="81C254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2003DA6"/>
    <w:multiLevelType w:val="hybridMultilevel"/>
    <w:tmpl w:val="AC605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0E5F03"/>
    <w:multiLevelType w:val="hybridMultilevel"/>
    <w:tmpl w:val="9C76E1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BE54BB"/>
    <w:multiLevelType w:val="hybridMultilevel"/>
    <w:tmpl w:val="AA5E6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EB14FB"/>
    <w:multiLevelType w:val="hybridMultilevel"/>
    <w:tmpl w:val="70E0D3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132E52"/>
    <w:multiLevelType w:val="hybridMultilevel"/>
    <w:tmpl w:val="74B4A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6D6043"/>
    <w:multiLevelType w:val="hybridMultilevel"/>
    <w:tmpl w:val="790640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1" w15:restartNumberingAfterBreak="0">
    <w:nsid w:val="2D9A3801"/>
    <w:multiLevelType w:val="hybridMultilevel"/>
    <w:tmpl w:val="9EBC1C7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12753B3"/>
    <w:multiLevelType w:val="hybridMultilevel"/>
    <w:tmpl w:val="A454C654"/>
    <w:lvl w:ilvl="0" w:tplc="04090001">
      <w:start w:val="1"/>
      <w:numFmt w:val="bullet"/>
      <w:lvlText w:val=""/>
      <w:lvlJc w:val="left"/>
      <w:pPr>
        <w:ind w:left="720" w:hanging="360"/>
      </w:pPr>
      <w:rPr>
        <w:rFonts w:ascii="Symbol" w:hAnsi="Symbol" w:cs="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DC0AD4"/>
    <w:multiLevelType w:val="hybridMultilevel"/>
    <w:tmpl w:val="8B280C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533EA3"/>
    <w:multiLevelType w:val="hybridMultilevel"/>
    <w:tmpl w:val="49689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590E6F"/>
    <w:multiLevelType w:val="hybridMultilevel"/>
    <w:tmpl w:val="E94E0632"/>
    <w:lvl w:ilvl="0" w:tplc="04090011">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ACB17B9"/>
    <w:multiLevelType w:val="hybridMultilevel"/>
    <w:tmpl w:val="4A02839C"/>
    <w:lvl w:ilvl="0" w:tplc="04090001">
      <w:start w:val="1"/>
      <w:numFmt w:val="bullet"/>
      <w:lvlText w:val=""/>
      <w:lvlJc w:val="left"/>
      <w:pPr>
        <w:ind w:left="360" w:hanging="360"/>
      </w:pPr>
      <w:rPr>
        <w:rFonts w:ascii="Symbol" w:hAnsi="Symbol" w:hint="default"/>
      </w:rPr>
    </w:lvl>
    <w:lvl w:ilvl="1" w:tplc="55EEE13C">
      <w:numFmt w:val="bullet"/>
      <w:lvlText w:val="•"/>
      <w:lvlJc w:val="left"/>
      <w:pPr>
        <w:ind w:left="1080" w:hanging="360"/>
      </w:pPr>
      <w:rPr>
        <w:rFonts w:ascii="Arial" w:eastAsiaTheme="minorHAnsi"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BD571B8"/>
    <w:multiLevelType w:val="hybridMultilevel"/>
    <w:tmpl w:val="EE98E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AF775C"/>
    <w:multiLevelType w:val="hybridMultilevel"/>
    <w:tmpl w:val="C1C2D9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15:restartNumberingAfterBreak="0">
    <w:nsid w:val="51986B41"/>
    <w:multiLevelType w:val="hybridMultilevel"/>
    <w:tmpl w:val="DACA2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BB4CEA"/>
    <w:multiLevelType w:val="hybridMultilevel"/>
    <w:tmpl w:val="5798DF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F63C0D"/>
    <w:multiLevelType w:val="hybridMultilevel"/>
    <w:tmpl w:val="D5361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5E32DD"/>
    <w:multiLevelType w:val="hybridMultilevel"/>
    <w:tmpl w:val="D52EC250"/>
    <w:lvl w:ilvl="0" w:tplc="04090015">
      <w:start w:val="3"/>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E70357B"/>
    <w:multiLevelType w:val="hybridMultilevel"/>
    <w:tmpl w:val="BFCA4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8F06F8"/>
    <w:multiLevelType w:val="hybridMultilevel"/>
    <w:tmpl w:val="316662B8"/>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5" w15:restartNumberingAfterBreak="0">
    <w:nsid w:val="67B00A16"/>
    <w:multiLevelType w:val="hybridMultilevel"/>
    <w:tmpl w:val="43265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B21AFA"/>
    <w:multiLevelType w:val="hybridMultilevel"/>
    <w:tmpl w:val="3528A5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783FF5"/>
    <w:multiLevelType w:val="hybridMultilevel"/>
    <w:tmpl w:val="D918F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20051C"/>
    <w:multiLevelType w:val="hybridMultilevel"/>
    <w:tmpl w:val="44EC8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8"/>
  </w:num>
  <w:num w:numId="3">
    <w:abstractNumId w:val="24"/>
  </w:num>
  <w:num w:numId="4">
    <w:abstractNumId w:val="1"/>
  </w:num>
  <w:num w:numId="5">
    <w:abstractNumId w:val="2"/>
  </w:num>
  <w:num w:numId="6">
    <w:abstractNumId w:val="21"/>
  </w:num>
  <w:num w:numId="7">
    <w:abstractNumId w:val="0"/>
  </w:num>
  <w:num w:numId="8">
    <w:abstractNumId w:val="10"/>
  </w:num>
  <w:num w:numId="9">
    <w:abstractNumId w:val="28"/>
  </w:num>
  <w:num w:numId="10">
    <w:abstractNumId w:val="16"/>
  </w:num>
  <w:num w:numId="11">
    <w:abstractNumId w:val="9"/>
  </w:num>
  <w:num w:numId="12">
    <w:abstractNumId w:val="15"/>
  </w:num>
  <w:num w:numId="13">
    <w:abstractNumId w:val="23"/>
  </w:num>
  <w:num w:numId="14">
    <w:abstractNumId w:val="25"/>
  </w:num>
  <w:num w:numId="15">
    <w:abstractNumId w:val="3"/>
  </w:num>
  <w:num w:numId="16">
    <w:abstractNumId w:val="6"/>
  </w:num>
  <w:num w:numId="17">
    <w:abstractNumId w:val="20"/>
  </w:num>
  <w:num w:numId="18">
    <w:abstractNumId w:val="5"/>
  </w:num>
  <w:num w:numId="19">
    <w:abstractNumId w:val="12"/>
  </w:num>
  <w:num w:numId="20">
    <w:abstractNumId w:val="11"/>
  </w:num>
  <w:num w:numId="21">
    <w:abstractNumId w:val="8"/>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3"/>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4"/>
  </w:num>
  <w:num w:numId="28">
    <w:abstractNumId w:val="17"/>
  </w:num>
  <w:num w:numId="29">
    <w:abstractNumId w:val="19"/>
  </w:num>
  <w:num w:numId="30">
    <w:abstractNumId w:val="26"/>
  </w:num>
  <w:num w:numId="31">
    <w:abstractNumId w:val="27"/>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20"/>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c0NjQzNDYwNjO3NDNT0lEKTi0uzszPAykwrgUAsjkT/iwAAAA="/>
  </w:docVars>
  <w:rsids>
    <w:rsidRoot w:val="00051268"/>
    <w:rsid w:val="00001E0F"/>
    <w:rsid w:val="00002078"/>
    <w:rsid w:val="00002595"/>
    <w:rsid w:val="0000328A"/>
    <w:rsid w:val="000038F6"/>
    <w:rsid w:val="00014472"/>
    <w:rsid w:val="0001701A"/>
    <w:rsid w:val="00022566"/>
    <w:rsid w:val="00026BE7"/>
    <w:rsid w:val="00030386"/>
    <w:rsid w:val="0003162D"/>
    <w:rsid w:val="0003173F"/>
    <w:rsid w:val="0003204C"/>
    <w:rsid w:val="00033E4A"/>
    <w:rsid w:val="0003447A"/>
    <w:rsid w:val="0004111A"/>
    <w:rsid w:val="00047682"/>
    <w:rsid w:val="00051268"/>
    <w:rsid w:val="00051C08"/>
    <w:rsid w:val="00051FAA"/>
    <w:rsid w:val="000537C6"/>
    <w:rsid w:val="00055F71"/>
    <w:rsid w:val="00060B0B"/>
    <w:rsid w:val="00061E7E"/>
    <w:rsid w:val="00070B67"/>
    <w:rsid w:val="00070FD7"/>
    <w:rsid w:val="00080287"/>
    <w:rsid w:val="0008169D"/>
    <w:rsid w:val="000827DC"/>
    <w:rsid w:val="00082948"/>
    <w:rsid w:val="00083B40"/>
    <w:rsid w:val="00085DDB"/>
    <w:rsid w:val="00086786"/>
    <w:rsid w:val="00094221"/>
    <w:rsid w:val="000A1D68"/>
    <w:rsid w:val="000A6AD7"/>
    <w:rsid w:val="000B0096"/>
    <w:rsid w:val="000B07D6"/>
    <w:rsid w:val="000B1F40"/>
    <w:rsid w:val="000B4B12"/>
    <w:rsid w:val="000B64A2"/>
    <w:rsid w:val="000B6B1F"/>
    <w:rsid w:val="000C3905"/>
    <w:rsid w:val="000D01AB"/>
    <w:rsid w:val="000D2B9D"/>
    <w:rsid w:val="000D3A46"/>
    <w:rsid w:val="000E5110"/>
    <w:rsid w:val="000F3281"/>
    <w:rsid w:val="000F51A2"/>
    <w:rsid w:val="001017F8"/>
    <w:rsid w:val="00102640"/>
    <w:rsid w:val="0010281A"/>
    <w:rsid w:val="00103EC8"/>
    <w:rsid w:val="001047E6"/>
    <w:rsid w:val="00106B71"/>
    <w:rsid w:val="00111A55"/>
    <w:rsid w:val="00112708"/>
    <w:rsid w:val="00134A2C"/>
    <w:rsid w:val="0013525E"/>
    <w:rsid w:val="001372FB"/>
    <w:rsid w:val="00141BE2"/>
    <w:rsid w:val="00147812"/>
    <w:rsid w:val="001508FE"/>
    <w:rsid w:val="001563A6"/>
    <w:rsid w:val="00157DA2"/>
    <w:rsid w:val="00161E58"/>
    <w:rsid w:val="0016589B"/>
    <w:rsid w:val="00166BDE"/>
    <w:rsid w:val="00170FC5"/>
    <w:rsid w:val="00171959"/>
    <w:rsid w:val="00174A99"/>
    <w:rsid w:val="00177527"/>
    <w:rsid w:val="00177975"/>
    <w:rsid w:val="00183F47"/>
    <w:rsid w:val="00186D0A"/>
    <w:rsid w:val="001937C6"/>
    <w:rsid w:val="001A1CDC"/>
    <w:rsid w:val="001A3128"/>
    <w:rsid w:val="001A5008"/>
    <w:rsid w:val="001A6F82"/>
    <w:rsid w:val="001A7AC3"/>
    <w:rsid w:val="001B0755"/>
    <w:rsid w:val="001B2DE7"/>
    <w:rsid w:val="001B56E1"/>
    <w:rsid w:val="001C080D"/>
    <w:rsid w:val="001C4EA1"/>
    <w:rsid w:val="001D6DCA"/>
    <w:rsid w:val="001E334D"/>
    <w:rsid w:val="001F25E6"/>
    <w:rsid w:val="001F57C8"/>
    <w:rsid w:val="00202EFB"/>
    <w:rsid w:val="00206375"/>
    <w:rsid w:val="00211AEB"/>
    <w:rsid w:val="00227630"/>
    <w:rsid w:val="002369E8"/>
    <w:rsid w:val="002435B5"/>
    <w:rsid w:val="00246535"/>
    <w:rsid w:val="00247BCD"/>
    <w:rsid w:val="002606DD"/>
    <w:rsid w:val="002638A1"/>
    <w:rsid w:val="002644E0"/>
    <w:rsid w:val="00266664"/>
    <w:rsid w:val="00271180"/>
    <w:rsid w:val="002744BD"/>
    <w:rsid w:val="00280FBE"/>
    <w:rsid w:val="00291485"/>
    <w:rsid w:val="00292287"/>
    <w:rsid w:val="00295100"/>
    <w:rsid w:val="002961A5"/>
    <w:rsid w:val="002A50DC"/>
    <w:rsid w:val="002B3AF7"/>
    <w:rsid w:val="002B5EB4"/>
    <w:rsid w:val="002C070E"/>
    <w:rsid w:val="002C6D3E"/>
    <w:rsid w:val="002C790F"/>
    <w:rsid w:val="002D377A"/>
    <w:rsid w:val="002E1F11"/>
    <w:rsid w:val="002F6879"/>
    <w:rsid w:val="002F6C2E"/>
    <w:rsid w:val="002F7655"/>
    <w:rsid w:val="003075DF"/>
    <w:rsid w:val="00314067"/>
    <w:rsid w:val="00315D7C"/>
    <w:rsid w:val="0032025B"/>
    <w:rsid w:val="00320478"/>
    <w:rsid w:val="00320818"/>
    <w:rsid w:val="00323DFF"/>
    <w:rsid w:val="00326FBB"/>
    <w:rsid w:val="003275CE"/>
    <w:rsid w:val="003276B3"/>
    <w:rsid w:val="0033697E"/>
    <w:rsid w:val="00341370"/>
    <w:rsid w:val="0035543D"/>
    <w:rsid w:val="0036401B"/>
    <w:rsid w:val="003655D0"/>
    <w:rsid w:val="003923EB"/>
    <w:rsid w:val="00393993"/>
    <w:rsid w:val="003945B3"/>
    <w:rsid w:val="00396466"/>
    <w:rsid w:val="003A7778"/>
    <w:rsid w:val="003B3C16"/>
    <w:rsid w:val="003B472E"/>
    <w:rsid w:val="003B6400"/>
    <w:rsid w:val="003C7829"/>
    <w:rsid w:val="003D11E8"/>
    <w:rsid w:val="003D4449"/>
    <w:rsid w:val="003D5E5F"/>
    <w:rsid w:val="003E691C"/>
    <w:rsid w:val="00405C12"/>
    <w:rsid w:val="00407B10"/>
    <w:rsid w:val="00407D16"/>
    <w:rsid w:val="004127C2"/>
    <w:rsid w:val="00414067"/>
    <w:rsid w:val="00414157"/>
    <w:rsid w:val="00427360"/>
    <w:rsid w:val="00431E58"/>
    <w:rsid w:val="00443519"/>
    <w:rsid w:val="00443AF1"/>
    <w:rsid w:val="004466D0"/>
    <w:rsid w:val="0045436F"/>
    <w:rsid w:val="00454D75"/>
    <w:rsid w:val="0045720C"/>
    <w:rsid w:val="00460530"/>
    <w:rsid w:val="004632A0"/>
    <w:rsid w:val="00463516"/>
    <w:rsid w:val="004662B8"/>
    <w:rsid w:val="004669EF"/>
    <w:rsid w:val="00471D2F"/>
    <w:rsid w:val="00472C2A"/>
    <w:rsid w:val="00473509"/>
    <w:rsid w:val="0048029F"/>
    <w:rsid w:val="00486460"/>
    <w:rsid w:val="0048747A"/>
    <w:rsid w:val="004876C8"/>
    <w:rsid w:val="00490E9E"/>
    <w:rsid w:val="00492364"/>
    <w:rsid w:val="004A6FC6"/>
    <w:rsid w:val="004A773A"/>
    <w:rsid w:val="004B3136"/>
    <w:rsid w:val="004B3664"/>
    <w:rsid w:val="004B4621"/>
    <w:rsid w:val="004B7472"/>
    <w:rsid w:val="004C23FD"/>
    <w:rsid w:val="004C5DAA"/>
    <w:rsid w:val="004D2D05"/>
    <w:rsid w:val="004F157F"/>
    <w:rsid w:val="004F4ACF"/>
    <w:rsid w:val="005007AB"/>
    <w:rsid w:val="0051055D"/>
    <w:rsid w:val="0051108B"/>
    <w:rsid w:val="005142AA"/>
    <w:rsid w:val="005174DD"/>
    <w:rsid w:val="00522D30"/>
    <w:rsid w:val="00522DAF"/>
    <w:rsid w:val="00526DDB"/>
    <w:rsid w:val="005272C1"/>
    <w:rsid w:val="00533422"/>
    <w:rsid w:val="0053492A"/>
    <w:rsid w:val="00543AA5"/>
    <w:rsid w:val="00543B38"/>
    <w:rsid w:val="00547E9B"/>
    <w:rsid w:val="005538DC"/>
    <w:rsid w:val="005540D4"/>
    <w:rsid w:val="00556F5C"/>
    <w:rsid w:val="00561416"/>
    <w:rsid w:val="00561E79"/>
    <w:rsid w:val="0056344E"/>
    <w:rsid w:val="00564C53"/>
    <w:rsid w:val="00571019"/>
    <w:rsid w:val="00575C8F"/>
    <w:rsid w:val="00575CC4"/>
    <w:rsid w:val="00575D31"/>
    <w:rsid w:val="005762AE"/>
    <w:rsid w:val="00581E3B"/>
    <w:rsid w:val="0058212F"/>
    <w:rsid w:val="005875D4"/>
    <w:rsid w:val="005920BF"/>
    <w:rsid w:val="00593808"/>
    <w:rsid w:val="0059599F"/>
    <w:rsid w:val="0059642D"/>
    <w:rsid w:val="00597314"/>
    <w:rsid w:val="005A4692"/>
    <w:rsid w:val="005A46CF"/>
    <w:rsid w:val="005A577F"/>
    <w:rsid w:val="005A6E22"/>
    <w:rsid w:val="005B4C96"/>
    <w:rsid w:val="005B66D2"/>
    <w:rsid w:val="005C0A46"/>
    <w:rsid w:val="005C4792"/>
    <w:rsid w:val="005C7907"/>
    <w:rsid w:val="005D0B45"/>
    <w:rsid w:val="005E19FF"/>
    <w:rsid w:val="005E1BDE"/>
    <w:rsid w:val="005F0A1C"/>
    <w:rsid w:val="005F4776"/>
    <w:rsid w:val="00600363"/>
    <w:rsid w:val="006010CE"/>
    <w:rsid w:val="0060537F"/>
    <w:rsid w:val="006150E2"/>
    <w:rsid w:val="006153C6"/>
    <w:rsid w:val="006235F9"/>
    <w:rsid w:val="00625F91"/>
    <w:rsid w:val="006303C1"/>
    <w:rsid w:val="0063170C"/>
    <w:rsid w:val="00633448"/>
    <w:rsid w:val="006365D5"/>
    <w:rsid w:val="00644E5A"/>
    <w:rsid w:val="00645C87"/>
    <w:rsid w:val="00647FBA"/>
    <w:rsid w:val="0065300F"/>
    <w:rsid w:val="0065640C"/>
    <w:rsid w:val="006611A3"/>
    <w:rsid w:val="00662646"/>
    <w:rsid w:val="00664564"/>
    <w:rsid w:val="00666275"/>
    <w:rsid w:val="0067042D"/>
    <w:rsid w:val="00670E1C"/>
    <w:rsid w:val="0067233E"/>
    <w:rsid w:val="006747FD"/>
    <w:rsid w:val="006760E6"/>
    <w:rsid w:val="00680F3A"/>
    <w:rsid w:val="00685434"/>
    <w:rsid w:val="00685DA1"/>
    <w:rsid w:val="00691508"/>
    <w:rsid w:val="00692C69"/>
    <w:rsid w:val="0069389A"/>
    <w:rsid w:val="00694223"/>
    <w:rsid w:val="00694DFC"/>
    <w:rsid w:val="00695EF4"/>
    <w:rsid w:val="006A24CD"/>
    <w:rsid w:val="006A38BF"/>
    <w:rsid w:val="006A4DB1"/>
    <w:rsid w:val="006B68B7"/>
    <w:rsid w:val="006C0D69"/>
    <w:rsid w:val="006D07CF"/>
    <w:rsid w:val="006D55D5"/>
    <w:rsid w:val="006D7AE7"/>
    <w:rsid w:val="006E46C3"/>
    <w:rsid w:val="006E48D3"/>
    <w:rsid w:val="006E4A98"/>
    <w:rsid w:val="006E6D30"/>
    <w:rsid w:val="006F0FEE"/>
    <w:rsid w:val="0070014C"/>
    <w:rsid w:val="00705546"/>
    <w:rsid w:val="00715DD3"/>
    <w:rsid w:val="0071685D"/>
    <w:rsid w:val="00721C93"/>
    <w:rsid w:val="00737744"/>
    <w:rsid w:val="00741C79"/>
    <w:rsid w:val="00744957"/>
    <w:rsid w:val="007530B0"/>
    <w:rsid w:val="00756F2B"/>
    <w:rsid w:val="00760D65"/>
    <w:rsid w:val="00762C47"/>
    <w:rsid w:val="00774F62"/>
    <w:rsid w:val="007834F6"/>
    <w:rsid w:val="0078422A"/>
    <w:rsid w:val="0078422F"/>
    <w:rsid w:val="007842FB"/>
    <w:rsid w:val="00786BD8"/>
    <w:rsid w:val="007960B7"/>
    <w:rsid w:val="007A0758"/>
    <w:rsid w:val="007A3F1F"/>
    <w:rsid w:val="007A5F81"/>
    <w:rsid w:val="007A711D"/>
    <w:rsid w:val="007A7175"/>
    <w:rsid w:val="007A7BC4"/>
    <w:rsid w:val="007C499E"/>
    <w:rsid w:val="007C5402"/>
    <w:rsid w:val="007D0130"/>
    <w:rsid w:val="007D036F"/>
    <w:rsid w:val="007E2A21"/>
    <w:rsid w:val="007E6E1E"/>
    <w:rsid w:val="007F3452"/>
    <w:rsid w:val="007F36B3"/>
    <w:rsid w:val="007F6F3D"/>
    <w:rsid w:val="007F7561"/>
    <w:rsid w:val="0080146B"/>
    <w:rsid w:val="0080365E"/>
    <w:rsid w:val="00806232"/>
    <w:rsid w:val="00811C41"/>
    <w:rsid w:val="00816407"/>
    <w:rsid w:val="008253D6"/>
    <w:rsid w:val="008278E6"/>
    <w:rsid w:val="00831D85"/>
    <w:rsid w:val="00841983"/>
    <w:rsid w:val="00852327"/>
    <w:rsid w:val="0085419A"/>
    <w:rsid w:val="00857A79"/>
    <w:rsid w:val="00862BA3"/>
    <w:rsid w:val="0086527C"/>
    <w:rsid w:val="00867A90"/>
    <w:rsid w:val="008706BE"/>
    <w:rsid w:val="00873897"/>
    <w:rsid w:val="008803D3"/>
    <w:rsid w:val="00882487"/>
    <w:rsid w:val="008905C4"/>
    <w:rsid w:val="0089251D"/>
    <w:rsid w:val="00892566"/>
    <w:rsid w:val="008A17D1"/>
    <w:rsid w:val="008A227A"/>
    <w:rsid w:val="008A29B2"/>
    <w:rsid w:val="008A5C1F"/>
    <w:rsid w:val="008A6BAC"/>
    <w:rsid w:val="008D07E8"/>
    <w:rsid w:val="008D0C77"/>
    <w:rsid w:val="008D3BF1"/>
    <w:rsid w:val="008D49F6"/>
    <w:rsid w:val="008D50CA"/>
    <w:rsid w:val="008D7AED"/>
    <w:rsid w:val="008E2211"/>
    <w:rsid w:val="008E36AF"/>
    <w:rsid w:val="008E3703"/>
    <w:rsid w:val="008F03A8"/>
    <w:rsid w:val="008F0FF7"/>
    <w:rsid w:val="008F66FF"/>
    <w:rsid w:val="00900ED0"/>
    <w:rsid w:val="00900F75"/>
    <w:rsid w:val="00916207"/>
    <w:rsid w:val="00916815"/>
    <w:rsid w:val="00921DA7"/>
    <w:rsid w:val="00930470"/>
    <w:rsid w:val="00932D3F"/>
    <w:rsid w:val="00936511"/>
    <w:rsid w:val="00936D41"/>
    <w:rsid w:val="00937872"/>
    <w:rsid w:val="00941F9C"/>
    <w:rsid w:val="00942750"/>
    <w:rsid w:val="00943901"/>
    <w:rsid w:val="00943C6C"/>
    <w:rsid w:val="00943FBA"/>
    <w:rsid w:val="00947A57"/>
    <w:rsid w:val="00952648"/>
    <w:rsid w:val="009536E0"/>
    <w:rsid w:val="00953959"/>
    <w:rsid w:val="009657EB"/>
    <w:rsid w:val="0097156B"/>
    <w:rsid w:val="009731D0"/>
    <w:rsid w:val="00974E9A"/>
    <w:rsid w:val="00986381"/>
    <w:rsid w:val="00986CC8"/>
    <w:rsid w:val="009A165D"/>
    <w:rsid w:val="009A39D6"/>
    <w:rsid w:val="009A54D0"/>
    <w:rsid w:val="009B036C"/>
    <w:rsid w:val="009B07DB"/>
    <w:rsid w:val="009B23CB"/>
    <w:rsid w:val="009B51DB"/>
    <w:rsid w:val="009B53E7"/>
    <w:rsid w:val="009B5B42"/>
    <w:rsid w:val="009B74F4"/>
    <w:rsid w:val="009C5445"/>
    <w:rsid w:val="009C7C3F"/>
    <w:rsid w:val="009D18F0"/>
    <w:rsid w:val="009D1ED5"/>
    <w:rsid w:val="009D322C"/>
    <w:rsid w:val="009D38AA"/>
    <w:rsid w:val="009D4481"/>
    <w:rsid w:val="009E5E5D"/>
    <w:rsid w:val="00A0051F"/>
    <w:rsid w:val="00A01448"/>
    <w:rsid w:val="00A04495"/>
    <w:rsid w:val="00A06558"/>
    <w:rsid w:val="00A125F2"/>
    <w:rsid w:val="00A12E69"/>
    <w:rsid w:val="00A172AC"/>
    <w:rsid w:val="00A22717"/>
    <w:rsid w:val="00A22B6A"/>
    <w:rsid w:val="00A257FA"/>
    <w:rsid w:val="00A4195F"/>
    <w:rsid w:val="00A42024"/>
    <w:rsid w:val="00A4657C"/>
    <w:rsid w:val="00A52B2F"/>
    <w:rsid w:val="00A53A71"/>
    <w:rsid w:val="00A53F5B"/>
    <w:rsid w:val="00A664A2"/>
    <w:rsid w:val="00A672EA"/>
    <w:rsid w:val="00A67D4C"/>
    <w:rsid w:val="00A7011C"/>
    <w:rsid w:val="00A711FF"/>
    <w:rsid w:val="00A73337"/>
    <w:rsid w:val="00A801AB"/>
    <w:rsid w:val="00A826FA"/>
    <w:rsid w:val="00A83AC2"/>
    <w:rsid w:val="00A878F0"/>
    <w:rsid w:val="00A93D88"/>
    <w:rsid w:val="00A94D5E"/>
    <w:rsid w:val="00A96E78"/>
    <w:rsid w:val="00AA25E6"/>
    <w:rsid w:val="00AA28C5"/>
    <w:rsid w:val="00AA67CE"/>
    <w:rsid w:val="00AB1F19"/>
    <w:rsid w:val="00AC6C92"/>
    <w:rsid w:val="00AD098B"/>
    <w:rsid w:val="00AD3DF9"/>
    <w:rsid w:val="00AE2F2D"/>
    <w:rsid w:val="00AE4BAA"/>
    <w:rsid w:val="00AF58F7"/>
    <w:rsid w:val="00B03F16"/>
    <w:rsid w:val="00B04E5E"/>
    <w:rsid w:val="00B14A1B"/>
    <w:rsid w:val="00B210D9"/>
    <w:rsid w:val="00B239BD"/>
    <w:rsid w:val="00B33A70"/>
    <w:rsid w:val="00B349D7"/>
    <w:rsid w:val="00B36FEF"/>
    <w:rsid w:val="00B47DE9"/>
    <w:rsid w:val="00B5372E"/>
    <w:rsid w:val="00B575E1"/>
    <w:rsid w:val="00B60B88"/>
    <w:rsid w:val="00B641ED"/>
    <w:rsid w:val="00B643F0"/>
    <w:rsid w:val="00B7327D"/>
    <w:rsid w:val="00B7410C"/>
    <w:rsid w:val="00B76190"/>
    <w:rsid w:val="00B80329"/>
    <w:rsid w:val="00B83210"/>
    <w:rsid w:val="00B86C0A"/>
    <w:rsid w:val="00B9615B"/>
    <w:rsid w:val="00B96460"/>
    <w:rsid w:val="00B96803"/>
    <w:rsid w:val="00BA2576"/>
    <w:rsid w:val="00BA3C3D"/>
    <w:rsid w:val="00BB071C"/>
    <w:rsid w:val="00BB10AD"/>
    <w:rsid w:val="00BB193F"/>
    <w:rsid w:val="00BC188E"/>
    <w:rsid w:val="00BC1955"/>
    <w:rsid w:val="00BC6A66"/>
    <w:rsid w:val="00BD4304"/>
    <w:rsid w:val="00BF0B38"/>
    <w:rsid w:val="00BF4536"/>
    <w:rsid w:val="00C0361F"/>
    <w:rsid w:val="00C03685"/>
    <w:rsid w:val="00C03962"/>
    <w:rsid w:val="00C04F7A"/>
    <w:rsid w:val="00C130A9"/>
    <w:rsid w:val="00C202B0"/>
    <w:rsid w:val="00C372AA"/>
    <w:rsid w:val="00C44485"/>
    <w:rsid w:val="00C46688"/>
    <w:rsid w:val="00C50EF7"/>
    <w:rsid w:val="00C5371E"/>
    <w:rsid w:val="00C602C1"/>
    <w:rsid w:val="00C76FDC"/>
    <w:rsid w:val="00C77A80"/>
    <w:rsid w:val="00C841E8"/>
    <w:rsid w:val="00C84BB6"/>
    <w:rsid w:val="00C9179F"/>
    <w:rsid w:val="00C918F6"/>
    <w:rsid w:val="00C97E06"/>
    <w:rsid w:val="00CA279F"/>
    <w:rsid w:val="00CA2BA9"/>
    <w:rsid w:val="00CA508E"/>
    <w:rsid w:val="00CA6A47"/>
    <w:rsid w:val="00CA7135"/>
    <w:rsid w:val="00CB15A6"/>
    <w:rsid w:val="00CB37E9"/>
    <w:rsid w:val="00CB4CBD"/>
    <w:rsid w:val="00CB5505"/>
    <w:rsid w:val="00CB7FE4"/>
    <w:rsid w:val="00CC448D"/>
    <w:rsid w:val="00CD6EFD"/>
    <w:rsid w:val="00CE1C6E"/>
    <w:rsid w:val="00CF02DD"/>
    <w:rsid w:val="00CF1B99"/>
    <w:rsid w:val="00CF2724"/>
    <w:rsid w:val="00CF6D57"/>
    <w:rsid w:val="00D028E4"/>
    <w:rsid w:val="00D0469C"/>
    <w:rsid w:val="00D16CB5"/>
    <w:rsid w:val="00D24C7B"/>
    <w:rsid w:val="00D338E5"/>
    <w:rsid w:val="00D347EE"/>
    <w:rsid w:val="00D35430"/>
    <w:rsid w:val="00D35D49"/>
    <w:rsid w:val="00D378B9"/>
    <w:rsid w:val="00D45948"/>
    <w:rsid w:val="00D50EBD"/>
    <w:rsid w:val="00D52427"/>
    <w:rsid w:val="00D52C11"/>
    <w:rsid w:val="00D52F56"/>
    <w:rsid w:val="00D579B6"/>
    <w:rsid w:val="00D6469B"/>
    <w:rsid w:val="00D716B9"/>
    <w:rsid w:val="00D71AA5"/>
    <w:rsid w:val="00D72094"/>
    <w:rsid w:val="00D74086"/>
    <w:rsid w:val="00D75929"/>
    <w:rsid w:val="00D761D8"/>
    <w:rsid w:val="00D91A04"/>
    <w:rsid w:val="00D9457F"/>
    <w:rsid w:val="00D96EA6"/>
    <w:rsid w:val="00DA203C"/>
    <w:rsid w:val="00DA4F76"/>
    <w:rsid w:val="00DB0EDE"/>
    <w:rsid w:val="00DB394B"/>
    <w:rsid w:val="00DC0D96"/>
    <w:rsid w:val="00DD03F1"/>
    <w:rsid w:val="00DD5399"/>
    <w:rsid w:val="00DD64D1"/>
    <w:rsid w:val="00DE5663"/>
    <w:rsid w:val="00DE58D6"/>
    <w:rsid w:val="00DE5B87"/>
    <w:rsid w:val="00DE65B8"/>
    <w:rsid w:val="00DE725C"/>
    <w:rsid w:val="00DF40C3"/>
    <w:rsid w:val="00DF56D2"/>
    <w:rsid w:val="00DF5754"/>
    <w:rsid w:val="00DF5CE4"/>
    <w:rsid w:val="00E019A8"/>
    <w:rsid w:val="00E03D06"/>
    <w:rsid w:val="00E05609"/>
    <w:rsid w:val="00E06642"/>
    <w:rsid w:val="00E21AB2"/>
    <w:rsid w:val="00E25EA6"/>
    <w:rsid w:val="00E262A8"/>
    <w:rsid w:val="00E263AB"/>
    <w:rsid w:val="00E331F8"/>
    <w:rsid w:val="00E3757E"/>
    <w:rsid w:val="00E375A8"/>
    <w:rsid w:val="00E53F29"/>
    <w:rsid w:val="00E54250"/>
    <w:rsid w:val="00E60692"/>
    <w:rsid w:val="00E62ACE"/>
    <w:rsid w:val="00E7191A"/>
    <w:rsid w:val="00E84A00"/>
    <w:rsid w:val="00E87629"/>
    <w:rsid w:val="00E94FB6"/>
    <w:rsid w:val="00EA022E"/>
    <w:rsid w:val="00EA38B6"/>
    <w:rsid w:val="00EA4709"/>
    <w:rsid w:val="00EA4C20"/>
    <w:rsid w:val="00EC05FA"/>
    <w:rsid w:val="00EC358C"/>
    <w:rsid w:val="00ED23E5"/>
    <w:rsid w:val="00ED4898"/>
    <w:rsid w:val="00ED5AF0"/>
    <w:rsid w:val="00EE4116"/>
    <w:rsid w:val="00EE5BA8"/>
    <w:rsid w:val="00EE6B73"/>
    <w:rsid w:val="00EF12E6"/>
    <w:rsid w:val="00EF3527"/>
    <w:rsid w:val="00EF7BD4"/>
    <w:rsid w:val="00F06396"/>
    <w:rsid w:val="00F06AE4"/>
    <w:rsid w:val="00F07111"/>
    <w:rsid w:val="00F20515"/>
    <w:rsid w:val="00F205F2"/>
    <w:rsid w:val="00F21874"/>
    <w:rsid w:val="00F21EF4"/>
    <w:rsid w:val="00F249D7"/>
    <w:rsid w:val="00F27766"/>
    <w:rsid w:val="00F304DF"/>
    <w:rsid w:val="00F33C09"/>
    <w:rsid w:val="00F361C9"/>
    <w:rsid w:val="00F4112B"/>
    <w:rsid w:val="00F4294B"/>
    <w:rsid w:val="00F437FE"/>
    <w:rsid w:val="00F47EA1"/>
    <w:rsid w:val="00F51AE5"/>
    <w:rsid w:val="00F51C68"/>
    <w:rsid w:val="00F55D1E"/>
    <w:rsid w:val="00F565D6"/>
    <w:rsid w:val="00F72606"/>
    <w:rsid w:val="00F74B5D"/>
    <w:rsid w:val="00F8344A"/>
    <w:rsid w:val="00F84BDC"/>
    <w:rsid w:val="00F85E19"/>
    <w:rsid w:val="00F93C84"/>
    <w:rsid w:val="00F94A36"/>
    <w:rsid w:val="00FA21D8"/>
    <w:rsid w:val="00FA3DB5"/>
    <w:rsid w:val="00FB1370"/>
    <w:rsid w:val="00FB44E3"/>
    <w:rsid w:val="00FB4781"/>
    <w:rsid w:val="00FB62EE"/>
    <w:rsid w:val="00FC2974"/>
    <w:rsid w:val="00FC6202"/>
    <w:rsid w:val="00FC69AA"/>
    <w:rsid w:val="00FD1BD7"/>
    <w:rsid w:val="00FD1DC0"/>
    <w:rsid w:val="00FD6EE6"/>
    <w:rsid w:val="00FE5612"/>
    <w:rsid w:val="00FF56B1"/>
    <w:rsid w:val="01AA5188"/>
    <w:rsid w:val="0A2528F6"/>
    <w:rsid w:val="0F094A06"/>
    <w:rsid w:val="11AB64BC"/>
    <w:rsid w:val="11AEDF35"/>
    <w:rsid w:val="1BAB4D0C"/>
    <w:rsid w:val="23A50F98"/>
    <w:rsid w:val="299108E1"/>
    <w:rsid w:val="299A9351"/>
    <w:rsid w:val="2E21C7A3"/>
    <w:rsid w:val="3AE8D9CF"/>
    <w:rsid w:val="3FD1C2C9"/>
    <w:rsid w:val="40449AA1"/>
    <w:rsid w:val="46651865"/>
    <w:rsid w:val="49A4BE82"/>
    <w:rsid w:val="50758BB8"/>
    <w:rsid w:val="51FEEB91"/>
    <w:rsid w:val="5ABB415F"/>
    <w:rsid w:val="7AF2904D"/>
    <w:rsid w:val="7D3F8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AEAFB52"/>
  <w15:chartTrackingRefBased/>
  <w15:docId w15:val="{9E639DC7-F0DA-421E-9615-667840FE8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208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71AA5"/>
    <w:pPr>
      <w:spacing w:before="240"/>
      <w:outlineLvl w:val="1"/>
    </w:pPr>
    <w:rPr>
      <w:rFonts w:asciiTheme="majorHAnsi" w:hAnsiTheme="majorHAnsi" w:cstheme="majorHAnsi"/>
      <w:color w:val="1F4E79" w:themeColor="accent1" w:themeShade="80"/>
      <w:sz w:val="26"/>
      <w:szCs w:val="26"/>
    </w:rPr>
  </w:style>
  <w:style w:type="paragraph" w:styleId="Heading3">
    <w:name w:val="heading 3"/>
    <w:basedOn w:val="Normal"/>
    <w:next w:val="Normal"/>
    <w:link w:val="Heading3Char"/>
    <w:uiPriority w:val="9"/>
    <w:unhideWhenUsed/>
    <w:qFormat/>
    <w:rsid w:val="00CB15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71AA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051268"/>
    <w:pPr>
      <w:spacing w:before="120" w:after="120" w:line="276" w:lineRule="auto"/>
    </w:pPr>
    <w:rPr>
      <w:rFonts w:ascii="Calibri" w:hAnsi="Calibri" w:cs="Calibri"/>
      <w:sz w:val="24"/>
      <w:szCs w:val="24"/>
    </w:rPr>
  </w:style>
  <w:style w:type="character" w:customStyle="1" w:styleId="BodyTextChar">
    <w:name w:val="Body Text Char"/>
    <w:basedOn w:val="DefaultParagraphFont"/>
    <w:link w:val="BodyText"/>
    <w:uiPriority w:val="99"/>
    <w:semiHidden/>
    <w:rsid w:val="00051268"/>
    <w:rPr>
      <w:rFonts w:ascii="Calibri" w:hAnsi="Calibri" w:cs="Calibri"/>
      <w:sz w:val="24"/>
      <w:szCs w:val="24"/>
    </w:rPr>
  </w:style>
  <w:style w:type="paragraph" w:styleId="ListParagraph">
    <w:name w:val="List Paragraph"/>
    <w:basedOn w:val="Normal"/>
    <w:uiPriority w:val="34"/>
    <w:qFormat/>
    <w:rsid w:val="004632A0"/>
    <w:pPr>
      <w:ind w:left="720"/>
      <w:contextualSpacing/>
    </w:pPr>
  </w:style>
  <w:style w:type="character" w:customStyle="1" w:styleId="Heading2Char">
    <w:name w:val="Heading 2 Char"/>
    <w:basedOn w:val="DefaultParagraphFont"/>
    <w:link w:val="Heading2"/>
    <w:uiPriority w:val="9"/>
    <w:rsid w:val="00D71AA5"/>
    <w:rPr>
      <w:rFonts w:asciiTheme="majorHAnsi" w:hAnsiTheme="majorHAnsi" w:cstheme="majorHAnsi"/>
      <w:color w:val="1F4E79" w:themeColor="accent1" w:themeShade="80"/>
      <w:sz w:val="26"/>
      <w:szCs w:val="26"/>
    </w:rPr>
  </w:style>
  <w:style w:type="paragraph" w:styleId="FootnoteText">
    <w:name w:val="footnote text"/>
    <w:basedOn w:val="Normal"/>
    <w:link w:val="FootnoteTextChar"/>
    <w:uiPriority w:val="99"/>
    <w:unhideWhenUsed/>
    <w:rsid w:val="00D71AA5"/>
    <w:pPr>
      <w:spacing w:after="0" w:line="240" w:lineRule="auto"/>
    </w:pPr>
    <w:rPr>
      <w:sz w:val="20"/>
      <w:szCs w:val="20"/>
    </w:rPr>
  </w:style>
  <w:style w:type="character" w:customStyle="1" w:styleId="FootnoteTextChar">
    <w:name w:val="Footnote Text Char"/>
    <w:basedOn w:val="DefaultParagraphFont"/>
    <w:link w:val="FootnoteText"/>
    <w:uiPriority w:val="99"/>
    <w:rsid w:val="00D71AA5"/>
    <w:rPr>
      <w:sz w:val="20"/>
      <w:szCs w:val="20"/>
    </w:rPr>
  </w:style>
  <w:style w:type="character" w:styleId="FootnoteReference">
    <w:name w:val="footnote reference"/>
    <w:basedOn w:val="DefaultParagraphFont"/>
    <w:uiPriority w:val="99"/>
    <w:semiHidden/>
    <w:unhideWhenUsed/>
    <w:rsid w:val="00D71AA5"/>
    <w:rPr>
      <w:vertAlign w:val="superscript"/>
    </w:rPr>
  </w:style>
  <w:style w:type="character" w:styleId="IntenseEmphasis">
    <w:name w:val="Intense Emphasis"/>
    <w:basedOn w:val="DefaultParagraphFont"/>
    <w:uiPriority w:val="21"/>
    <w:qFormat/>
    <w:rsid w:val="00D71AA5"/>
    <w:rPr>
      <w:i/>
      <w:iCs/>
      <w:color w:val="1F3864" w:themeColor="accent5" w:themeShade="80"/>
    </w:rPr>
  </w:style>
  <w:style w:type="character" w:customStyle="1" w:styleId="Heading4Char">
    <w:name w:val="Heading 4 Char"/>
    <w:basedOn w:val="DefaultParagraphFont"/>
    <w:link w:val="Heading4"/>
    <w:uiPriority w:val="9"/>
    <w:semiHidden/>
    <w:rsid w:val="00D71AA5"/>
    <w:rPr>
      <w:rFonts w:asciiTheme="majorHAnsi" w:eastAsiaTheme="majorEastAsia" w:hAnsiTheme="majorHAnsi" w:cstheme="majorBidi"/>
      <w:i/>
      <w:iCs/>
      <w:color w:val="2E74B5" w:themeColor="accent1" w:themeShade="BF"/>
    </w:rPr>
  </w:style>
  <w:style w:type="character" w:styleId="Emphasis">
    <w:name w:val="Emphasis"/>
    <w:uiPriority w:val="20"/>
    <w:qFormat/>
    <w:rsid w:val="00D71AA5"/>
    <w:rPr>
      <w:b/>
    </w:rPr>
  </w:style>
  <w:style w:type="table" w:styleId="TableGrid">
    <w:name w:val="Table Grid"/>
    <w:basedOn w:val="TableNormal"/>
    <w:uiPriority w:val="39"/>
    <w:rsid w:val="00D71A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71AA5"/>
    <w:rPr>
      <w:color w:val="0563C1" w:themeColor="hyperlink"/>
      <w:u w:val="single"/>
    </w:rPr>
  </w:style>
  <w:style w:type="character" w:customStyle="1" w:styleId="Heading3Char">
    <w:name w:val="Heading 3 Char"/>
    <w:basedOn w:val="DefaultParagraphFont"/>
    <w:link w:val="Heading3"/>
    <w:uiPriority w:val="9"/>
    <w:rsid w:val="00CB15A6"/>
    <w:rPr>
      <w:rFonts w:asciiTheme="majorHAnsi" w:eastAsiaTheme="majorEastAsia" w:hAnsiTheme="majorHAnsi" w:cstheme="majorBidi"/>
      <w:color w:val="1F4D78" w:themeColor="accent1" w:themeShade="7F"/>
      <w:sz w:val="24"/>
      <w:szCs w:val="24"/>
    </w:rPr>
  </w:style>
  <w:style w:type="paragraph" w:customStyle="1" w:styleId="fz-ms">
    <w:name w:val="fz-ms"/>
    <w:basedOn w:val="Normal"/>
    <w:rsid w:val="00EC35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basedOn w:val="Normal"/>
    <w:rsid w:val="00051FAA"/>
    <w:pPr>
      <w:autoSpaceDE w:val="0"/>
      <w:autoSpaceDN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5920BF"/>
    <w:rPr>
      <w:b/>
      <w:bCs/>
    </w:rPr>
  </w:style>
  <w:style w:type="paragraph" w:styleId="NormalWeb">
    <w:name w:val="Normal (Web)"/>
    <w:basedOn w:val="Normal"/>
    <w:uiPriority w:val="99"/>
    <w:semiHidden/>
    <w:unhideWhenUsed/>
    <w:rsid w:val="005920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5920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20818"/>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3D5E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5E5F"/>
    <w:rPr>
      <w:rFonts w:ascii="Segoe UI" w:hAnsi="Segoe UI" w:cs="Segoe UI"/>
      <w:sz w:val="18"/>
      <w:szCs w:val="18"/>
    </w:rPr>
  </w:style>
  <w:style w:type="character" w:styleId="FollowedHyperlink">
    <w:name w:val="FollowedHyperlink"/>
    <w:basedOn w:val="DefaultParagraphFont"/>
    <w:uiPriority w:val="99"/>
    <w:semiHidden/>
    <w:unhideWhenUsed/>
    <w:rsid w:val="00FC2974"/>
    <w:rPr>
      <w:color w:val="954F72" w:themeColor="followedHyperlink"/>
      <w:u w:val="single"/>
    </w:rPr>
  </w:style>
  <w:style w:type="character" w:styleId="CommentReference">
    <w:name w:val="annotation reference"/>
    <w:basedOn w:val="DefaultParagraphFont"/>
    <w:uiPriority w:val="99"/>
    <w:semiHidden/>
    <w:unhideWhenUsed/>
    <w:rsid w:val="00F21EF4"/>
    <w:rPr>
      <w:sz w:val="16"/>
      <w:szCs w:val="16"/>
    </w:rPr>
  </w:style>
  <w:style w:type="paragraph" w:styleId="CommentText">
    <w:name w:val="annotation text"/>
    <w:basedOn w:val="Normal"/>
    <w:link w:val="CommentTextChar"/>
    <w:uiPriority w:val="99"/>
    <w:unhideWhenUsed/>
    <w:rsid w:val="00F21EF4"/>
    <w:pPr>
      <w:spacing w:line="240" w:lineRule="auto"/>
    </w:pPr>
    <w:rPr>
      <w:sz w:val="20"/>
      <w:szCs w:val="20"/>
    </w:rPr>
  </w:style>
  <w:style w:type="character" w:customStyle="1" w:styleId="CommentTextChar">
    <w:name w:val="Comment Text Char"/>
    <w:basedOn w:val="DefaultParagraphFont"/>
    <w:link w:val="CommentText"/>
    <w:uiPriority w:val="99"/>
    <w:rsid w:val="00F21EF4"/>
    <w:rPr>
      <w:sz w:val="20"/>
      <w:szCs w:val="20"/>
    </w:rPr>
  </w:style>
  <w:style w:type="paragraph" w:styleId="CommentSubject">
    <w:name w:val="annotation subject"/>
    <w:basedOn w:val="CommentText"/>
    <w:next w:val="CommentText"/>
    <w:link w:val="CommentSubjectChar"/>
    <w:uiPriority w:val="99"/>
    <w:semiHidden/>
    <w:unhideWhenUsed/>
    <w:rsid w:val="00F21EF4"/>
    <w:rPr>
      <w:b/>
      <w:bCs/>
    </w:rPr>
  </w:style>
  <w:style w:type="character" w:customStyle="1" w:styleId="CommentSubjectChar">
    <w:name w:val="Comment Subject Char"/>
    <w:basedOn w:val="CommentTextChar"/>
    <w:link w:val="CommentSubject"/>
    <w:uiPriority w:val="99"/>
    <w:semiHidden/>
    <w:rsid w:val="00F21EF4"/>
    <w:rPr>
      <w:b/>
      <w:bCs/>
      <w:sz w:val="20"/>
      <w:szCs w:val="20"/>
    </w:rPr>
  </w:style>
  <w:style w:type="paragraph" w:styleId="Revision">
    <w:name w:val="Revision"/>
    <w:hidden/>
    <w:uiPriority w:val="99"/>
    <w:semiHidden/>
    <w:rsid w:val="00CA508E"/>
    <w:pPr>
      <w:spacing w:after="0" w:line="240" w:lineRule="auto"/>
    </w:pPr>
  </w:style>
  <w:style w:type="character" w:customStyle="1" w:styleId="UnresolvedMention1">
    <w:name w:val="Unresolved Mention1"/>
    <w:basedOn w:val="DefaultParagraphFont"/>
    <w:uiPriority w:val="99"/>
    <w:semiHidden/>
    <w:unhideWhenUsed/>
    <w:rsid w:val="0063170C"/>
    <w:rPr>
      <w:color w:val="605E5C"/>
      <w:shd w:val="clear" w:color="auto" w:fill="E1DFDD"/>
    </w:rPr>
  </w:style>
  <w:style w:type="paragraph" w:styleId="NoSpacing">
    <w:name w:val="No Spacing"/>
    <w:link w:val="NoSpacingChar"/>
    <w:uiPriority w:val="1"/>
    <w:qFormat/>
    <w:rsid w:val="004F4ACF"/>
    <w:pPr>
      <w:spacing w:after="0" w:line="240" w:lineRule="auto"/>
    </w:pPr>
    <w:rPr>
      <w:rFonts w:eastAsiaTheme="minorEastAsia"/>
    </w:rPr>
  </w:style>
  <w:style w:type="character" w:customStyle="1" w:styleId="NoSpacingChar">
    <w:name w:val="No Spacing Char"/>
    <w:basedOn w:val="DefaultParagraphFont"/>
    <w:link w:val="NoSpacing"/>
    <w:uiPriority w:val="1"/>
    <w:rsid w:val="004F4ACF"/>
    <w:rPr>
      <w:rFonts w:eastAsiaTheme="minorEastAsia"/>
    </w:rPr>
  </w:style>
  <w:style w:type="paragraph" w:styleId="IntenseQuote">
    <w:name w:val="Intense Quote"/>
    <w:basedOn w:val="Normal"/>
    <w:next w:val="Normal"/>
    <w:link w:val="IntenseQuoteChar"/>
    <w:uiPriority w:val="30"/>
    <w:qFormat/>
    <w:rsid w:val="008803D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803D3"/>
    <w:rPr>
      <w:i/>
      <w:iCs/>
      <w:color w:val="5B9BD5" w:themeColor="accent1"/>
    </w:rPr>
  </w:style>
  <w:style w:type="character" w:customStyle="1" w:styleId="UnresolvedMention2">
    <w:name w:val="Unresolved Mention2"/>
    <w:basedOn w:val="DefaultParagraphFont"/>
    <w:uiPriority w:val="99"/>
    <w:semiHidden/>
    <w:unhideWhenUsed/>
    <w:rsid w:val="001A1CDC"/>
    <w:rPr>
      <w:color w:val="605E5C"/>
      <w:shd w:val="clear" w:color="auto" w:fill="E1DFDD"/>
    </w:rPr>
  </w:style>
  <w:style w:type="table" w:styleId="ListTable3-Accent6">
    <w:name w:val="List Table 3 Accent 6"/>
    <w:basedOn w:val="TableNormal"/>
    <w:uiPriority w:val="48"/>
    <w:rsid w:val="00002595"/>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3-Accent5">
    <w:name w:val="List Table 3 Accent 5"/>
    <w:basedOn w:val="TableNormal"/>
    <w:uiPriority w:val="48"/>
    <w:rsid w:val="00002595"/>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le3-Accent1">
    <w:name w:val="List Table 3 Accent 1"/>
    <w:basedOn w:val="TableNormal"/>
    <w:uiPriority w:val="48"/>
    <w:rsid w:val="00002595"/>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Header">
    <w:name w:val="header"/>
    <w:basedOn w:val="Normal"/>
    <w:link w:val="HeaderChar"/>
    <w:uiPriority w:val="99"/>
    <w:unhideWhenUsed/>
    <w:rsid w:val="00900F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0F75"/>
  </w:style>
  <w:style w:type="paragraph" w:styleId="Footer">
    <w:name w:val="footer"/>
    <w:basedOn w:val="Normal"/>
    <w:link w:val="FooterChar"/>
    <w:uiPriority w:val="99"/>
    <w:unhideWhenUsed/>
    <w:rsid w:val="00900F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F75"/>
  </w:style>
  <w:style w:type="paragraph" w:customStyle="1" w:styleId="paragraph">
    <w:name w:val="paragraph"/>
    <w:basedOn w:val="Normal"/>
    <w:rsid w:val="00CA6A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CA6A47"/>
  </w:style>
  <w:style w:type="character" w:customStyle="1" w:styleId="tabletitle">
    <w:name w:val="tabletitle"/>
    <w:basedOn w:val="DefaultParagraphFont"/>
    <w:rsid w:val="00D0469C"/>
  </w:style>
  <w:style w:type="character" w:customStyle="1" w:styleId="headnote">
    <w:name w:val="headnote"/>
    <w:basedOn w:val="DefaultParagraphFont"/>
    <w:rsid w:val="00D0469C"/>
  </w:style>
  <w:style w:type="paragraph" w:styleId="Title">
    <w:name w:val="Title"/>
    <w:basedOn w:val="Normal"/>
    <w:next w:val="Normal"/>
    <w:link w:val="TitleChar"/>
    <w:uiPriority w:val="10"/>
    <w:qFormat/>
    <w:rsid w:val="00F4294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294B"/>
    <w:rPr>
      <w:rFonts w:asciiTheme="majorHAnsi" w:eastAsiaTheme="majorEastAsia" w:hAnsiTheme="majorHAnsi" w:cstheme="majorBidi"/>
      <w:spacing w:val="-10"/>
      <w:kern w:val="28"/>
      <w:sz w:val="56"/>
      <w:szCs w:val="56"/>
    </w:rPr>
  </w:style>
  <w:style w:type="table" w:styleId="ListTable7Colorful-Accent5">
    <w:name w:val="List Table 7 Colorful Accent 5"/>
    <w:basedOn w:val="TableNormal"/>
    <w:uiPriority w:val="52"/>
    <w:rsid w:val="00F4294B"/>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3">
    <w:name w:val="Unresolved Mention3"/>
    <w:basedOn w:val="DefaultParagraphFont"/>
    <w:uiPriority w:val="99"/>
    <w:semiHidden/>
    <w:unhideWhenUsed/>
    <w:rsid w:val="008F0FF7"/>
    <w:rPr>
      <w:color w:val="605E5C"/>
      <w:shd w:val="clear" w:color="auto" w:fill="E1DFDD"/>
    </w:rPr>
  </w:style>
  <w:style w:type="paragraph" w:styleId="EndnoteText">
    <w:name w:val="endnote text"/>
    <w:basedOn w:val="Normal"/>
    <w:link w:val="EndnoteTextChar"/>
    <w:uiPriority w:val="99"/>
    <w:semiHidden/>
    <w:unhideWhenUsed/>
    <w:rsid w:val="00B8321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83210"/>
    <w:rPr>
      <w:sz w:val="20"/>
      <w:szCs w:val="20"/>
    </w:rPr>
  </w:style>
  <w:style w:type="character" w:styleId="EndnoteReference">
    <w:name w:val="endnote reference"/>
    <w:basedOn w:val="DefaultParagraphFont"/>
    <w:uiPriority w:val="99"/>
    <w:semiHidden/>
    <w:unhideWhenUsed/>
    <w:rsid w:val="00B83210"/>
    <w:rPr>
      <w:vertAlign w:val="superscript"/>
    </w:rPr>
  </w:style>
  <w:style w:type="character" w:styleId="PlaceholderText">
    <w:name w:val="Placeholder Text"/>
    <w:basedOn w:val="DefaultParagraphFont"/>
    <w:uiPriority w:val="99"/>
    <w:semiHidden/>
    <w:rsid w:val="000D2B9D"/>
    <w:rPr>
      <w:color w:val="808080"/>
    </w:rPr>
  </w:style>
  <w:style w:type="character" w:customStyle="1" w:styleId="UnresolvedMention">
    <w:name w:val="Unresolved Mention"/>
    <w:basedOn w:val="DefaultParagraphFont"/>
    <w:uiPriority w:val="99"/>
    <w:semiHidden/>
    <w:unhideWhenUsed/>
    <w:rsid w:val="00405C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764457">
      <w:bodyDiv w:val="1"/>
      <w:marLeft w:val="0"/>
      <w:marRight w:val="0"/>
      <w:marTop w:val="0"/>
      <w:marBottom w:val="0"/>
      <w:divBdr>
        <w:top w:val="none" w:sz="0" w:space="0" w:color="auto"/>
        <w:left w:val="none" w:sz="0" w:space="0" w:color="auto"/>
        <w:bottom w:val="none" w:sz="0" w:space="0" w:color="auto"/>
        <w:right w:val="none" w:sz="0" w:space="0" w:color="auto"/>
      </w:divBdr>
    </w:div>
    <w:div w:id="156727201">
      <w:bodyDiv w:val="1"/>
      <w:marLeft w:val="0"/>
      <w:marRight w:val="0"/>
      <w:marTop w:val="0"/>
      <w:marBottom w:val="0"/>
      <w:divBdr>
        <w:top w:val="none" w:sz="0" w:space="0" w:color="auto"/>
        <w:left w:val="none" w:sz="0" w:space="0" w:color="auto"/>
        <w:bottom w:val="none" w:sz="0" w:space="0" w:color="auto"/>
        <w:right w:val="none" w:sz="0" w:space="0" w:color="auto"/>
      </w:divBdr>
    </w:div>
    <w:div w:id="595553248">
      <w:bodyDiv w:val="1"/>
      <w:marLeft w:val="0"/>
      <w:marRight w:val="0"/>
      <w:marTop w:val="0"/>
      <w:marBottom w:val="0"/>
      <w:divBdr>
        <w:top w:val="none" w:sz="0" w:space="0" w:color="auto"/>
        <w:left w:val="none" w:sz="0" w:space="0" w:color="auto"/>
        <w:bottom w:val="none" w:sz="0" w:space="0" w:color="auto"/>
        <w:right w:val="none" w:sz="0" w:space="0" w:color="auto"/>
      </w:divBdr>
    </w:div>
    <w:div w:id="659507138">
      <w:bodyDiv w:val="1"/>
      <w:marLeft w:val="0"/>
      <w:marRight w:val="0"/>
      <w:marTop w:val="0"/>
      <w:marBottom w:val="0"/>
      <w:divBdr>
        <w:top w:val="none" w:sz="0" w:space="0" w:color="auto"/>
        <w:left w:val="none" w:sz="0" w:space="0" w:color="auto"/>
        <w:bottom w:val="none" w:sz="0" w:space="0" w:color="auto"/>
        <w:right w:val="none" w:sz="0" w:space="0" w:color="auto"/>
      </w:divBdr>
    </w:div>
    <w:div w:id="754782186">
      <w:bodyDiv w:val="1"/>
      <w:marLeft w:val="0"/>
      <w:marRight w:val="0"/>
      <w:marTop w:val="0"/>
      <w:marBottom w:val="0"/>
      <w:divBdr>
        <w:top w:val="none" w:sz="0" w:space="0" w:color="auto"/>
        <w:left w:val="none" w:sz="0" w:space="0" w:color="auto"/>
        <w:bottom w:val="none" w:sz="0" w:space="0" w:color="auto"/>
        <w:right w:val="none" w:sz="0" w:space="0" w:color="auto"/>
      </w:divBdr>
      <w:divsChild>
        <w:div w:id="607196783">
          <w:marLeft w:val="0"/>
          <w:marRight w:val="0"/>
          <w:marTop w:val="0"/>
          <w:marBottom w:val="0"/>
          <w:divBdr>
            <w:top w:val="none" w:sz="0" w:space="0" w:color="auto"/>
            <w:left w:val="none" w:sz="0" w:space="0" w:color="auto"/>
            <w:bottom w:val="none" w:sz="0" w:space="0" w:color="auto"/>
            <w:right w:val="none" w:sz="0" w:space="0" w:color="auto"/>
          </w:divBdr>
        </w:div>
      </w:divsChild>
    </w:div>
    <w:div w:id="1108744253">
      <w:bodyDiv w:val="1"/>
      <w:marLeft w:val="0"/>
      <w:marRight w:val="0"/>
      <w:marTop w:val="0"/>
      <w:marBottom w:val="0"/>
      <w:divBdr>
        <w:top w:val="none" w:sz="0" w:space="0" w:color="auto"/>
        <w:left w:val="none" w:sz="0" w:space="0" w:color="auto"/>
        <w:bottom w:val="none" w:sz="0" w:space="0" w:color="auto"/>
        <w:right w:val="none" w:sz="0" w:space="0" w:color="auto"/>
      </w:divBdr>
    </w:div>
    <w:div w:id="1165828334">
      <w:bodyDiv w:val="1"/>
      <w:marLeft w:val="0"/>
      <w:marRight w:val="0"/>
      <w:marTop w:val="0"/>
      <w:marBottom w:val="0"/>
      <w:divBdr>
        <w:top w:val="none" w:sz="0" w:space="0" w:color="auto"/>
        <w:left w:val="none" w:sz="0" w:space="0" w:color="auto"/>
        <w:bottom w:val="none" w:sz="0" w:space="0" w:color="auto"/>
        <w:right w:val="none" w:sz="0" w:space="0" w:color="auto"/>
      </w:divBdr>
    </w:div>
    <w:div w:id="1252275308">
      <w:bodyDiv w:val="1"/>
      <w:marLeft w:val="0"/>
      <w:marRight w:val="0"/>
      <w:marTop w:val="0"/>
      <w:marBottom w:val="0"/>
      <w:divBdr>
        <w:top w:val="none" w:sz="0" w:space="0" w:color="auto"/>
        <w:left w:val="none" w:sz="0" w:space="0" w:color="auto"/>
        <w:bottom w:val="none" w:sz="0" w:space="0" w:color="auto"/>
        <w:right w:val="none" w:sz="0" w:space="0" w:color="auto"/>
      </w:divBdr>
    </w:div>
    <w:div w:id="1301223901">
      <w:bodyDiv w:val="1"/>
      <w:marLeft w:val="0"/>
      <w:marRight w:val="0"/>
      <w:marTop w:val="0"/>
      <w:marBottom w:val="0"/>
      <w:divBdr>
        <w:top w:val="none" w:sz="0" w:space="0" w:color="auto"/>
        <w:left w:val="none" w:sz="0" w:space="0" w:color="auto"/>
        <w:bottom w:val="none" w:sz="0" w:space="0" w:color="auto"/>
        <w:right w:val="none" w:sz="0" w:space="0" w:color="auto"/>
      </w:divBdr>
    </w:div>
    <w:div w:id="1664311584">
      <w:bodyDiv w:val="1"/>
      <w:marLeft w:val="0"/>
      <w:marRight w:val="0"/>
      <w:marTop w:val="0"/>
      <w:marBottom w:val="0"/>
      <w:divBdr>
        <w:top w:val="none" w:sz="0" w:space="0" w:color="auto"/>
        <w:left w:val="none" w:sz="0" w:space="0" w:color="auto"/>
        <w:bottom w:val="none" w:sz="0" w:space="0" w:color="auto"/>
        <w:right w:val="none" w:sz="0" w:space="0" w:color="auto"/>
      </w:divBdr>
    </w:div>
    <w:div w:id="1746754286">
      <w:bodyDiv w:val="1"/>
      <w:marLeft w:val="0"/>
      <w:marRight w:val="0"/>
      <w:marTop w:val="0"/>
      <w:marBottom w:val="0"/>
      <w:divBdr>
        <w:top w:val="none" w:sz="0" w:space="0" w:color="auto"/>
        <w:left w:val="none" w:sz="0" w:space="0" w:color="auto"/>
        <w:bottom w:val="none" w:sz="0" w:space="0" w:color="auto"/>
        <w:right w:val="none" w:sz="0" w:space="0" w:color="auto"/>
      </w:divBdr>
    </w:div>
    <w:div w:id="1932397101">
      <w:bodyDiv w:val="1"/>
      <w:marLeft w:val="0"/>
      <w:marRight w:val="0"/>
      <w:marTop w:val="0"/>
      <w:marBottom w:val="0"/>
      <w:divBdr>
        <w:top w:val="none" w:sz="0" w:space="0" w:color="auto"/>
        <w:left w:val="none" w:sz="0" w:space="0" w:color="auto"/>
        <w:bottom w:val="none" w:sz="0" w:space="0" w:color="auto"/>
        <w:right w:val="none" w:sz="0" w:space="0" w:color="auto"/>
      </w:divBdr>
    </w:div>
    <w:div w:id="1935552168">
      <w:bodyDiv w:val="1"/>
      <w:marLeft w:val="0"/>
      <w:marRight w:val="0"/>
      <w:marTop w:val="0"/>
      <w:marBottom w:val="0"/>
      <w:divBdr>
        <w:top w:val="none" w:sz="0" w:space="0" w:color="auto"/>
        <w:left w:val="none" w:sz="0" w:space="0" w:color="auto"/>
        <w:bottom w:val="none" w:sz="0" w:space="0" w:color="auto"/>
        <w:right w:val="none" w:sz="0" w:space="0" w:color="auto"/>
      </w:divBdr>
      <w:divsChild>
        <w:div w:id="1119491633">
          <w:marLeft w:val="0"/>
          <w:marRight w:val="0"/>
          <w:marTop w:val="0"/>
          <w:marBottom w:val="450"/>
          <w:divBdr>
            <w:top w:val="none" w:sz="0" w:space="0" w:color="auto"/>
            <w:left w:val="none" w:sz="0" w:space="0" w:color="auto"/>
            <w:bottom w:val="none" w:sz="0" w:space="0" w:color="auto"/>
            <w:right w:val="none" w:sz="0" w:space="0" w:color="auto"/>
          </w:divBdr>
        </w:div>
      </w:divsChild>
    </w:div>
    <w:div w:id="1935899307">
      <w:bodyDiv w:val="1"/>
      <w:marLeft w:val="0"/>
      <w:marRight w:val="0"/>
      <w:marTop w:val="0"/>
      <w:marBottom w:val="0"/>
      <w:divBdr>
        <w:top w:val="none" w:sz="0" w:space="0" w:color="auto"/>
        <w:left w:val="none" w:sz="0" w:space="0" w:color="auto"/>
        <w:bottom w:val="none" w:sz="0" w:space="0" w:color="auto"/>
        <w:right w:val="none" w:sz="0" w:space="0" w:color="auto"/>
      </w:divBdr>
    </w:div>
    <w:div w:id="2011368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www.pgcc.edu/go/fec/"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nationaldisabilityinstitute.org/disability-inclusive-community-development/" TargetMode="External"/><Relationship Id="rId7" Type="http://schemas.openxmlformats.org/officeDocument/2006/relationships/settings" Target="settings.xml"/><Relationship Id="rId12" Type="http://schemas.openxmlformats.org/officeDocument/2006/relationships/hyperlink" Target="https://www.fdic.gov/resources/consumers/money-smart/index.html" TargetMode="External"/><Relationship Id="rId17" Type="http://schemas.openxmlformats.org/officeDocument/2006/relationships/hyperlink" Target="https://vcwnorthern.com/pwfec/"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hyperlink" Target="https://bankworks.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ederalreserve.gov/consumerscommunities/cra_about.htm" TargetMode="External"/><Relationship Id="rId24" Type="http://schemas.openxmlformats.org/officeDocument/2006/relationships/hyperlink" Target="https://www.philadelphiafed.org/community-development/credit-and-capital/banks-community-reinvestment-act-opportunities"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nationaldisabilityinstitute.org/resources/hob-qrg-and-supplemental-guides/"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fefund.org/project/bank-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svg"/><Relationship Id="rId22" Type="http://schemas.openxmlformats.org/officeDocument/2006/relationships/hyperlink" Target="https://www.nationaldisabilityinstitute.org/webinars/cdicd-webinars/cdicd-webinar-workforce-development/" TargetMode="External"/><Relationship Id="rId27" Type="http://schemas.openxmlformats.org/officeDocument/2006/relationships/header" Target="header2.xml"/></Relationships>
</file>

<file path=word/_rels/endnotes.xml.rels><?xml version="1.0" encoding="UTF-8" standalone="yes"?>
<Relationships xmlns="http://schemas.openxmlformats.org/package/2006/relationships"><Relationship Id="rId8" Type="http://schemas.openxmlformats.org/officeDocument/2006/relationships/hyperlink" Target="https://www.fdic.gov/analysis/household-survey/2019report.pdf" TargetMode="External"/><Relationship Id="rId3" Type="http://schemas.openxmlformats.org/officeDocument/2006/relationships/hyperlink" Target="https://www.kansascityfed.org/documents/60/workforce-2017-Engaging-Workforce-CRA-Framework.pdf" TargetMode="External"/><Relationship Id="rId7" Type="http://schemas.openxmlformats.org/officeDocument/2006/relationships/hyperlink" Target="https://www.bls.gov/news.release/archives/disabl_02242021.pdf" TargetMode="External"/><Relationship Id="rId2" Type="http://schemas.openxmlformats.org/officeDocument/2006/relationships/hyperlink" Target="https://www.nationaldisabilityinstitute.org/wp-content/uploads/2019/02/disability-race-poverty-in-america.pdf" TargetMode="External"/><Relationship Id="rId1" Type="http://schemas.openxmlformats.org/officeDocument/2006/relationships/hyperlink" Target="https://www.nationaldisabilityinstitute.org/wp-content/uploads/2019/11/ndi-banking-report-2019.pdf" TargetMode="External"/><Relationship Id="rId6" Type="http://schemas.openxmlformats.org/officeDocument/2006/relationships/hyperlink" Target="https://www.nationaldisabilityinstitute.org/wp-content/uploads/2019/11/ndi-banking-report-2019.pdf" TargetMode="External"/><Relationship Id="rId11" Type="http://schemas.openxmlformats.org/officeDocument/2006/relationships/hyperlink" Target="https://www.latimes.com/business/story/2021-04-09/racist-marketing-banks-payday-lenders" TargetMode="External"/><Relationship Id="rId5" Type="http://schemas.openxmlformats.org/officeDocument/2006/relationships/hyperlink" Target="https://www.philadelphiafed.org/community-development/credit-and-capital/banks-community-reinvestment-act-opportunities" TargetMode="External"/><Relationship Id="rId10" Type="http://schemas.openxmlformats.org/officeDocument/2006/relationships/hyperlink" Target="https://www.nationaldisabilityinstitute.org/wp-content/uploads/2019/11/ndi-banking-report-2019.pdf" TargetMode="External"/><Relationship Id="rId4" Type="http://schemas.openxmlformats.org/officeDocument/2006/relationships/hyperlink" Target="https://www.learncra.com/our-new-infographic-explains-what-is-low-or-moderate-income-or-lmi/" TargetMode="External"/><Relationship Id="rId9" Type="http://schemas.openxmlformats.org/officeDocument/2006/relationships/hyperlink" Target="https://www.economicinclusion.gov/downloads/index.htm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leadcenter.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FCAB3A8D7ECCF45BB07DCA14061295D" ma:contentTypeVersion="10" ma:contentTypeDescription="Create a new document." ma:contentTypeScope="" ma:versionID="d95e5e9430a090d8b78a8cbca5f3bc14">
  <xsd:schema xmlns:xsd="http://www.w3.org/2001/XMLSchema" xmlns:xs="http://www.w3.org/2001/XMLSchema" xmlns:p="http://schemas.microsoft.com/office/2006/metadata/properties" xmlns:ns3="94c88c8d-26b5-453f-9a12-408a52f0a03f" xmlns:ns4="53dc5197-4fb9-4ab3-9ba9-e19a6ff72ad3" targetNamespace="http://schemas.microsoft.com/office/2006/metadata/properties" ma:root="true" ma:fieldsID="b411f488300c47842b0fd8cdf2ca23e0" ns3:_="" ns4:_="">
    <xsd:import namespace="94c88c8d-26b5-453f-9a12-408a52f0a03f"/>
    <xsd:import namespace="53dc5197-4fb9-4ab3-9ba9-e19a6ff72ad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88c8d-26b5-453f-9a12-408a52f0a03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dc5197-4fb9-4ab3-9ba9-e19a6ff72ad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20A38-F9FC-4116-BBA9-7866927668FA}">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53dc5197-4fb9-4ab3-9ba9-e19a6ff72ad3"/>
    <ds:schemaRef ds:uri="http://schemas.microsoft.com/office/2006/documentManagement/types"/>
    <ds:schemaRef ds:uri="94c88c8d-26b5-453f-9a12-408a52f0a03f"/>
    <ds:schemaRef ds:uri="http://www.w3.org/XML/1998/namespace"/>
    <ds:schemaRef ds:uri="http://purl.org/dc/dcmitype/"/>
  </ds:schemaRefs>
</ds:datastoreItem>
</file>

<file path=customXml/itemProps2.xml><?xml version="1.0" encoding="utf-8"?>
<ds:datastoreItem xmlns:ds="http://schemas.openxmlformats.org/officeDocument/2006/customXml" ds:itemID="{CC5BF342-95F8-4344-8452-69A3349E0E52}">
  <ds:schemaRefs>
    <ds:schemaRef ds:uri="http://schemas.microsoft.com/sharepoint/v3/contenttype/forms"/>
  </ds:schemaRefs>
</ds:datastoreItem>
</file>

<file path=customXml/itemProps3.xml><?xml version="1.0" encoding="utf-8"?>
<ds:datastoreItem xmlns:ds="http://schemas.openxmlformats.org/officeDocument/2006/customXml" ds:itemID="{43AC854D-F516-4054-BF53-6DA226EB71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88c8d-26b5-453f-9a12-408a52f0a03f"/>
    <ds:schemaRef ds:uri="53dc5197-4fb9-4ab3-9ba9-e19a6ff72a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8E6F50-CD73-4BEA-90F2-C937D70B5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2193</Words>
  <Characters>12506</Characters>
  <Application>Microsoft Office Word</Application>
  <DocSecurity>4</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Keast</dc:creator>
  <cp:keywords/>
  <dc:description/>
  <cp:lastModifiedBy>Tajudeen, Renee K - ODEP</cp:lastModifiedBy>
  <cp:revision>2</cp:revision>
  <cp:lastPrinted>2021-07-23T15:28:00Z</cp:lastPrinted>
  <dcterms:created xsi:type="dcterms:W3CDTF">2021-09-23T01:29:00Z</dcterms:created>
  <dcterms:modified xsi:type="dcterms:W3CDTF">2021-09-23T01:29:00Z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0x0101001FCAB3A8D7ECCF45BB07DCA14061295D</vt:lpwstr>
  </property>
</Properties>
</file>